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b w:val="1"/>
          <w:bCs w:val="1"/>
        </w:rPr>
      </w:pPr>
      <w:bookmarkStart w:colFirst="0" w:colLast="0" w:name="_j0393ie190f9" w:id="0"/>
      <w:bookmarkEnd w:id="0"/>
      <w:r w:rsidDel="00000000" w:rsidR="00000000" w:rsidRPr="00000000">
        <w:rPr>
          <w:b w:val="1"/>
          <w:bCs w:val="1"/>
          <w:rtl w:val="0"/>
        </w:rPr>
        <w:t xml:space="preserve">Rapport d’analyse – Kadea Telco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Kadea Telco fait face à une instabilité réseau significative impactant ses performances opérationnelles et financières. L’analyse globale révèle une durée totale d’indisponibilité de 584,9 heures, affectant 748 clients et générant une perte estimée à 10 800. Le taux de compensation global s’élève à 68,2%, traduisant une forte pression financière liée aux interruptions de service. La technologie la plus impactée est la 5G, avec 217 heures de panne, suivie de la 4G (191h) et de la 3G (177h).</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L’analyse des zones critiques met en évidence trois régions prioritaires :</w:t>
      </w:r>
    </w:p>
    <w:p w:rsidR="00000000" w:rsidDel="00000000" w:rsidP="00000000" w:rsidRDefault="00000000" w:rsidRPr="00000000" w14:paraId="00000004">
      <w:pPr>
        <w:numPr>
          <w:ilvl w:val="0"/>
          <w:numId w:val="1"/>
        </w:numPr>
        <w:spacing w:after="0" w:afterAutospacing="0" w:before="240" w:lineRule="auto"/>
        <w:ind w:left="720" w:hanging="360"/>
        <w:jc w:val="both"/>
      </w:pPr>
      <w:r w:rsidDel="00000000" w:rsidR="00000000" w:rsidRPr="00000000">
        <w:rPr>
          <w:b w:val="1"/>
          <w:bCs w:val="1"/>
          <w:rtl w:val="0"/>
        </w:rPr>
        <w:t xml:space="preserve">Nord-Kivu</w:t>
      </w:r>
      <w:r w:rsidDel="00000000" w:rsidR="00000000" w:rsidRPr="00000000">
        <w:rPr>
          <w:rtl w:val="0"/>
        </w:rPr>
        <w:t xml:space="preserve"> : Cette région concentre une part importante des pertes avec 40,5 heures de panne et un taux de compensation élevé (70,6%). La 5G est la technologie la plus affectée (17h), ce qui contribue directement aux pertes financières estimées à 580,2.</w:t>
      </w:r>
    </w:p>
    <w:p w:rsidR="00000000" w:rsidDel="00000000" w:rsidP="00000000" w:rsidRDefault="00000000" w:rsidRPr="00000000" w14:paraId="0000000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Sud-Kivu</w:t>
      </w:r>
      <w:r w:rsidDel="00000000" w:rsidR="00000000" w:rsidRPr="00000000">
        <w:rPr>
          <w:rtl w:val="0"/>
        </w:rPr>
        <w:t xml:space="preserve"> : La région présente une instabilité marquée de la 3G (24h de panne), avec un écart significatif par rapport aux autres technologies. Bien que l’impact financier soit plus modéré (243,8), la fréquence des pannes indique un problème structurel sur cette technologie.</w:t>
      </w:r>
    </w:p>
    <w:p w:rsidR="00000000" w:rsidDel="00000000" w:rsidP="00000000" w:rsidRDefault="00000000" w:rsidRPr="00000000" w14:paraId="00000006">
      <w:pPr>
        <w:numPr>
          <w:ilvl w:val="0"/>
          <w:numId w:val="1"/>
        </w:numPr>
        <w:spacing w:after="240" w:before="0" w:beforeAutospacing="0" w:lineRule="auto"/>
        <w:ind w:left="720" w:hanging="360"/>
        <w:jc w:val="both"/>
      </w:pPr>
      <w:r w:rsidDel="00000000" w:rsidR="00000000" w:rsidRPr="00000000">
        <w:rPr>
          <w:b w:val="1"/>
          <w:bCs w:val="1"/>
          <w:rtl w:val="0"/>
        </w:rPr>
        <w:t xml:space="preserve">Kongo-Central</w:t>
      </w:r>
      <w:r w:rsidDel="00000000" w:rsidR="00000000" w:rsidRPr="00000000">
        <w:rPr>
          <w:rtl w:val="0"/>
        </w:rPr>
        <w:t xml:space="preserve"> : La région se distingue par une forte instabilité de la 5G (22h de panne), générant des pertes estimées à 239,9. Le taux de compensation plus faible (43,5%) suggère une moindre pression financière mais un risque technique persistant.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L’analyse met en évidence que les pannes liées aux technologies 5G et 3G constituent les principales sources d’instabilité réseau, avec un impact direct sur la satisfaction client et les pertes financières.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Il est recommandé de :</w:t>
      </w:r>
    </w:p>
    <w:p w:rsidR="00000000" w:rsidDel="00000000" w:rsidP="00000000" w:rsidRDefault="00000000" w:rsidRPr="00000000" w14:paraId="00000009">
      <w:pPr>
        <w:numPr>
          <w:ilvl w:val="0"/>
          <w:numId w:val="2"/>
        </w:numPr>
        <w:spacing w:after="0" w:afterAutospacing="0" w:before="240" w:lineRule="auto"/>
        <w:ind w:left="720" w:hanging="360"/>
        <w:jc w:val="both"/>
      </w:pPr>
      <w:r w:rsidDel="00000000" w:rsidR="00000000" w:rsidRPr="00000000">
        <w:rPr>
          <w:rtl w:val="0"/>
        </w:rPr>
        <w:t xml:space="preserve">Prioriser les investissements sur l’infrastructure 5G dans les régions du Nord-Kivu et du Kongo-Central afin de réduire les interruptions majeures. Les pannes 5G dans le Nord-Kivu et le Kongo-Central sont les principaux moteurs de pertes financières.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rtl w:val="0"/>
        </w:rPr>
        <w:t xml:space="preserve">Renforcer la maintenance et la fiabilité du réseau 3G dans le Sud-Kivu pour limiter les pannes récurrentes.</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rtl w:val="0"/>
        </w:rPr>
        <w:t xml:space="preserve">Mettre en place un suivi proactif des antennes critiques afin d’anticiper les défaillances.</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rtl w:val="0"/>
        </w:rPr>
        <w:t xml:space="preserve">Déployer des actions de rétention ciblées pour les clients les plus impactés afin de limiter le churn.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En conclusion, une focalisation sur les technologies et régions les plus instables permettrait de réduire significativement les pertes financières et d’améliorer la qualité de service globale.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