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un8d2denv9xb" w:id="0"/>
      <w:bookmarkEnd w:id="0"/>
      <w:r w:rsidDel="00000000" w:rsidR="00000000" w:rsidRPr="00000000">
        <w:rPr>
          <w:b w:val="1"/>
          <w:sz w:val="34"/>
          <w:szCs w:val="34"/>
          <w:rtl w:val="0"/>
        </w:rPr>
        <w:t xml:space="preserve">Step 4 – Peer Review Section</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xm53k98z6ni7" w:id="1"/>
      <w:bookmarkEnd w:id="1"/>
      <w:r w:rsidDel="00000000" w:rsidR="00000000" w:rsidRPr="00000000">
        <w:rPr>
          <w:b w:val="1"/>
          <w:color w:val="000000"/>
          <w:sz w:val="26"/>
          <w:szCs w:val="26"/>
          <w:rtl w:val="0"/>
        </w:rPr>
        <w:t xml:space="preserve">Issue 2: Optimizing the Bias-Variance Tradeoff</w:t>
      </w:r>
    </w:p>
    <w:p w:rsidR="00000000" w:rsidDel="00000000" w:rsidP="00000000" w:rsidRDefault="00000000" w:rsidRPr="00000000" w14:paraId="00000003">
      <w:pPr>
        <w:spacing w:after="240" w:before="240" w:lineRule="auto"/>
        <w:rPr/>
      </w:pPr>
      <w:r w:rsidDel="00000000" w:rsidR="00000000" w:rsidRPr="00000000">
        <w:rPr>
          <w:b w:val="1"/>
          <w:rtl w:val="0"/>
        </w:rPr>
        <w:t xml:space="preserve">Author:</w:t>
      </w:r>
      <w:r w:rsidDel="00000000" w:rsidR="00000000" w:rsidRPr="00000000">
        <w:rPr>
          <w:rtl w:val="0"/>
        </w:rPr>
        <w:t xml:space="preserve"> Student B</w:t>
        <w:br w:type="textWrapping"/>
        <w:t xml:space="preserve"> </w:t>
      </w:r>
      <w:r w:rsidDel="00000000" w:rsidR="00000000" w:rsidRPr="00000000">
        <w:rPr>
          <w:b w:val="1"/>
          <w:rtl w:val="0"/>
        </w:rPr>
        <w:t xml:space="preserve">Reviewer:</w:t>
      </w:r>
      <w:r w:rsidDel="00000000" w:rsidR="00000000" w:rsidRPr="00000000">
        <w:rPr>
          <w:rtl w:val="0"/>
        </w:rPr>
        <w:t xml:space="preserve"> Student C</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gtt3np37rnw9" w:id="2"/>
      <w:bookmarkEnd w:id="2"/>
      <w:r w:rsidDel="00000000" w:rsidR="00000000" w:rsidRPr="00000000">
        <w:rPr>
          <w:b w:val="1"/>
          <w:color w:val="000000"/>
          <w:sz w:val="22"/>
          <w:szCs w:val="22"/>
          <w:rtl w:val="0"/>
        </w:rPr>
        <w:t xml:space="preserve">Review Summary</w:t>
      </w:r>
    </w:p>
    <w:p w:rsidR="00000000" w:rsidDel="00000000" w:rsidP="00000000" w:rsidRDefault="00000000" w:rsidRPr="00000000" w14:paraId="00000006">
      <w:pPr>
        <w:spacing w:after="240" w:before="240" w:lineRule="auto"/>
        <w:rPr/>
      </w:pPr>
      <w:r w:rsidDel="00000000" w:rsidR="00000000" w:rsidRPr="00000000">
        <w:rPr>
          <w:b w:val="1"/>
          <w:rtl w:val="0"/>
        </w:rPr>
        <w:t xml:space="preserve">1. Accuracy Check</w:t>
        <w:br w:type="textWrapping"/>
      </w:r>
      <w:r w:rsidDel="00000000" w:rsidR="00000000" w:rsidRPr="00000000">
        <w:rPr>
          <w:rtl w:val="0"/>
        </w:rPr>
        <w:t xml:space="preserve"> The section demonstrates a clear and accurate understanding of the bias-variance tradeoff in both technical and financial modeling contexts. Mathematical expressions, such as</w:t>
      </w:r>
    </w:p>
    <w:p w:rsidR="00000000" w:rsidDel="00000000" w:rsidP="00000000" w:rsidRDefault="00000000" w:rsidRPr="00000000" w14:paraId="00000007">
      <w:pPr>
        <w:rPr/>
      </w:pPr>
      <w:hyperlink r:id="rId6">
        <w:r w:rsidDel="00000000" w:rsidR="00000000" w:rsidRPr="00000000">
          <w:rPr/>
          <w:drawing>
            <wp:inline distB="19050" distT="19050" distL="19050" distR="19050">
              <wp:extent cx="1028700" cy="165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28700" cy="165100"/>
                      </a:xfrm>
                      <a:prstGeom prst="rect"/>
                      <a:ln/>
                    </pic:spPr>
                  </pic:pic>
                </a:graphicData>
              </a:graphic>
            </wp:inline>
          </w:drawing>
        </w:r>
      </w:hyperlink>
      <w:r w:rsidDel="00000000" w:rsidR="00000000" w:rsidRPr="00000000">
        <w:rPr>
          <w:rtl w:val="0"/>
        </w:rPr>
        <w:t xml:space="preserve"> = </w:t>
      </w:r>
      <w:hyperlink r:id="rId8">
        <w:r w:rsidDel="00000000" w:rsidR="00000000" w:rsidRPr="00000000">
          <w:rPr/>
          <w:drawing>
            <wp:inline distB="19050" distT="19050" distL="19050" distR="19050">
              <wp:extent cx="1968500" cy="1651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9685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are correctly stated and aligned with authoritative sources (James et al., 2021; Hastie et al., 2009). The descriptions of high-bias (underfitting) and high-variance (overfitting) models are conceptually accurate and appropriately contextualized for finance.</w:t>
      </w:r>
    </w:p>
    <w:p w:rsidR="00000000" w:rsidDel="00000000" w:rsidP="00000000" w:rsidRDefault="00000000" w:rsidRPr="00000000" w14:paraId="00000009">
      <w:pPr>
        <w:spacing w:after="240" w:before="240" w:lineRule="auto"/>
        <w:rPr/>
      </w:pPr>
      <w:r w:rsidDel="00000000" w:rsidR="00000000" w:rsidRPr="00000000">
        <w:rPr>
          <w:b w:val="1"/>
          <w:rtl w:val="0"/>
        </w:rPr>
        <w:t xml:space="preserve">2. Clarity and Coherence</w:t>
        <w:br w:type="textWrapping"/>
      </w:r>
      <w:r w:rsidDel="00000000" w:rsidR="00000000" w:rsidRPr="00000000">
        <w:rPr>
          <w:rtl w:val="0"/>
        </w:rPr>
        <w:t xml:space="preserve"> The section is well-organized, transitioning smoothly from theory to application. Both the </w:t>
      </w:r>
      <w:r w:rsidDel="00000000" w:rsidR="00000000" w:rsidRPr="00000000">
        <w:rPr>
          <w:i w:val="1"/>
          <w:rtl w:val="0"/>
        </w:rPr>
        <w:t xml:space="preserve">Technical</w:t>
      </w:r>
      <w:r w:rsidDel="00000000" w:rsidR="00000000" w:rsidRPr="00000000">
        <w:rPr>
          <w:rtl w:val="0"/>
        </w:rPr>
        <w:t xml:space="preserve"> and </w:t>
      </w:r>
      <w:r w:rsidDel="00000000" w:rsidR="00000000" w:rsidRPr="00000000">
        <w:rPr>
          <w:i w:val="1"/>
          <w:rtl w:val="0"/>
        </w:rPr>
        <w:t xml:space="preserve">Non-Technical</w:t>
      </w:r>
      <w:r w:rsidDel="00000000" w:rsidR="00000000" w:rsidRPr="00000000">
        <w:rPr>
          <w:rtl w:val="0"/>
        </w:rPr>
        <w:t xml:space="preserve"> sections are logically structured, with concise bullet points that enhance readability. The examples and analogies—particularly the investor comparison in the non-technical part—effectively clarify abstract ideas for broader audiences.</w:t>
      </w:r>
    </w:p>
    <w:p w:rsidR="00000000" w:rsidDel="00000000" w:rsidP="00000000" w:rsidRDefault="00000000" w:rsidRPr="00000000" w14:paraId="0000000A">
      <w:pPr>
        <w:spacing w:after="240" w:before="240" w:lineRule="auto"/>
        <w:rPr/>
      </w:pPr>
      <w:r w:rsidDel="00000000" w:rsidR="00000000" w:rsidRPr="00000000">
        <w:rPr>
          <w:b w:val="1"/>
          <w:rtl w:val="0"/>
        </w:rPr>
        <w:t xml:space="preserve">3. Spelling and Grammar</w:t>
        <w:br w:type="textWrapping"/>
      </w:r>
      <w:r w:rsidDel="00000000" w:rsidR="00000000" w:rsidRPr="00000000">
        <w:rPr>
          <w:rtl w:val="0"/>
        </w:rPr>
        <w:t xml:space="preserve"> Minor grammatical issues were found, mainly in punctuation consistency (e.g., occasional missing commas before “which”). Overall, spelling, tense usage, and capitalization are correct and consistent throughout.</w:t>
      </w:r>
    </w:p>
    <w:p w:rsidR="00000000" w:rsidDel="00000000" w:rsidP="00000000" w:rsidRDefault="00000000" w:rsidRPr="00000000" w14:paraId="0000000B">
      <w:pPr>
        <w:spacing w:after="240" w:before="240" w:lineRule="auto"/>
        <w:rPr/>
      </w:pPr>
      <w:r w:rsidDel="00000000" w:rsidR="00000000" w:rsidRPr="00000000">
        <w:rPr>
          <w:b w:val="1"/>
          <w:rtl w:val="0"/>
        </w:rPr>
        <w:t xml:space="preserve">4. Depth and Insight</w:t>
        <w:br w:type="textWrapping"/>
      </w:r>
      <w:r w:rsidDel="00000000" w:rsidR="00000000" w:rsidRPr="00000000">
        <w:rPr>
          <w:rtl w:val="0"/>
        </w:rPr>
        <w:t xml:space="preserve"> Excellent integration of both conceptual and practical dimensions. The author successfully bridges academic theory with financial relevance, particularly by emphasizing model generalization, overfitting prevention, and real-world implications in investment contexts.</w:t>
      </w:r>
    </w:p>
    <w:p w:rsidR="00000000" w:rsidDel="00000000" w:rsidP="00000000" w:rsidRDefault="00000000" w:rsidRPr="00000000" w14:paraId="0000000C">
      <w:pPr>
        <w:spacing w:after="240" w:before="240" w:lineRule="auto"/>
        <w:rPr>
          <w:b w:val="1"/>
        </w:rPr>
      </w:pPr>
      <w:r w:rsidDel="00000000" w:rsidR="00000000" w:rsidRPr="00000000">
        <w:rPr>
          <w:b w:val="1"/>
          <w:rtl w:val="0"/>
        </w:rPr>
        <w:t xml:space="preserve">5. Recommendations for Improvement</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Add a small labeled </w:t>
      </w:r>
      <w:r w:rsidDel="00000000" w:rsidR="00000000" w:rsidRPr="00000000">
        <w:rPr>
          <w:b w:val="1"/>
          <w:rtl w:val="0"/>
        </w:rPr>
        <w:t xml:space="preserve">diagram or learning curve plot</w:t>
      </w:r>
      <w:r w:rsidDel="00000000" w:rsidR="00000000" w:rsidRPr="00000000">
        <w:rPr>
          <w:rtl w:val="0"/>
        </w:rPr>
        <w:t xml:space="preserve"> to visualize the bias-variance relationship.</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Consider simplifying the technical equation formatting for accessibility in the printed version.</w:t>
        <w:br w:type="textWrapping"/>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In the </w:t>
      </w:r>
      <w:r w:rsidDel="00000000" w:rsidR="00000000" w:rsidRPr="00000000">
        <w:rPr>
          <w:i w:val="1"/>
          <w:rtl w:val="0"/>
        </w:rPr>
        <w:t xml:space="preserve">Non-Technical Section</w:t>
      </w:r>
      <w:r w:rsidDel="00000000" w:rsidR="00000000" w:rsidRPr="00000000">
        <w:rPr>
          <w:rtl w:val="0"/>
        </w:rPr>
        <w:t xml:space="preserve">, the final “Recommendations” bullet could mention “model retraining frequency” more explicitly as part of ongoing monitoring.</w:t>
        <w:br w:type="textWrapping"/>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ngo091c5pzdl" w:id="3"/>
      <w:bookmarkEnd w:id="3"/>
      <w:r w:rsidDel="00000000" w:rsidR="00000000" w:rsidRPr="00000000">
        <w:rPr>
          <w:b w:val="1"/>
          <w:color w:val="000000"/>
          <w:sz w:val="22"/>
          <w:szCs w:val="22"/>
          <w:rtl w:val="0"/>
        </w:rPr>
        <w:t xml:space="preserve">Reviewer’s Overall Evaluation</w:t>
      </w:r>
    </w:p>
    <w:p w:rsidR="00000000" w:rsidDel="00000000" w:rsidP="00000000" w:rsidRDefault="00000000" w:rsidRPr="00000000" w14:paraId="00000012">
      <w:pPr>
        <w:spacing w:after="240" w:before="240" w:lineRule="auto"/>
        <w:rPr>
          <w:b w:val="1"/>
        </w:rPr>
      </w:pPr>
      <w:r w:rsidDel="00000000" w:rsidR="00000000" w:rsidRPr="00000000">
        <w:rPr>
          <w:rtl w:val="0"/>
        </w:rPr>
        <w:t xml:space="preserve">The “Optimizing the Bias-Variance Tradeoff” section is comprehensive, technically sound, and written with clarity appropriate for both specialized and general readers. The explanations successfully demonstrate understanding of core statistical principles and their relevance to financial modeling.</w:t>
        <w:br w:type="textWrapping"/>
        <w:t xml:space="preserve"> </w:t>
      </w:r>
      <w:r w:rsidDel="00000000" w:rsidR="00000000" w:rsidRPr="00000000">
        <w:rPr>
          <w:b w:val="1"/>
          <w:rtl w:val="0"/>
        </w:rPr>
        <w:t xml:space="preserve">Final Rating:</w:t>
      </w:r>
      <w:r w:rsidDel="00000000" w:rsidR="00000000" w:rsidRPr="00000000">
        <w:rPr>
          <w:rFonts w:ascii="Arial Unicode MS" w:cs="Arial Unicode MS" w:eastAsia="Arial Unicode MS" w:hAnsi="Arial Unicode MS"/>
          <w:rtl w:val="0"/>
        </w:rPr>
        <w:t xml:space="preserve"> ✅ </w:t>
      </w:r>
      <w:r w:rsidDel="00000000" w:rsidR="00000000" w:rsidRPr="00000000">
        <w:rPr>
          <w:b w:val="1"/>
          <w:rtl w:val="0"/>
        </w:rPr>
        <w:t xml:space="preserve">Excellent (A-grade quality, minimal revisions needed)</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nkbq6xrpn03v" w:id="4"/>
      <w:bookmarkEnd w:id="4"/>
      <w:r w:rsidDel="00000000" w:rsidR="00000000" w:rsidRPr="00000000">
        <w:rPr>
          <w:b w:val="1"/>
          <w:color w:val="000000"/>
          <w:sz w:val="26"/>
          <w:szCs w:val="26"/>
          <w:rtl w:val="0"/>
        </w:rPr>
        <w:t xml:space="preserve">Step 4 Summary Table</w:t>
      </w:r>
    </w:p>
    <w:p w:rsidR="00000000" w:rsidDel="00000000" w:rsidP="00000000" w:rsidRDefault="00000000" w:rsidRPr="00000000" w14:paraId="00000015">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Issue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Issue Reviewed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Student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Issue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Issue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Student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Issue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Issue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Student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Issue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Issue 2</w:t>
            </w:r>
          </w:p>
        </w:tc>
      </w:tr>
    </w:tbl>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codecogs.com/eqnedit.php?latex=E%5B(Y%20-%20f(X))%5E2%5D#0" TargetMode="External"/><Relationship Id="rId7" Type="http://schemas.openxmlformats.org/officeDocument/2006/relationships/image" Target="media/image1.png"/><Relationship Id="rId8" Type="http://schemas.openxmlformats.org/officeDocument/2006/relationships/hyperlink" Target="https://www.codecogs.com/eqnedit.php?latex=%5Ctext%7BBias%7D%5E2%5Bf(X)%5D%20%2B%20%5Ctext%7BVar%7D%5Bf(X)%5D%20%2B%20%5Csigma%5E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