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arb8t0h7qzb9" w:id="0"/>
      <w:bookmarkEnd w:id="0"/>
      <w:r w:rsidDel="00000000" w:rsidR="00000000" w:rsidRPr="00000000">
        <w:rPr>
          <w:b w:val="1"/>
          <w:bCs w:val="1"/>
          <w:sz w:val="46"/>
          <w:szCs w:val="46"/>
          <w:rtl w:val="0"/>
        </w:rPr>
        <w:t xml:space="preserve">Part 2 — Estimating Exposure to Fama–French Five Factors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pwn0zm2x14gb" w:id="1"/>
      <w:bookmarkEnd w:id="1"/>
      <w:r w:rsidDel="00000000" w:rsidR="00000000" w:rsidRPr="00000000">
        <w:rPr>
          <w:b w:val="1"/>
          <w:bCs w:val="1"/>
          <w:sz w:val="34"/>
          <w:szCs w:val="34"/>
          <w:rtl w:val="0"/>
        </w:rPr>
        <w:t xml:space="preserve">Objective</w:t>
      </w:r>
    </w:p>
    <w:p w:rsidR="00000000" w:rsidDel="00000000" w:rsidP="00000000" w:rsidRDefault="00000000" w:rsidRPr="00000000" w14:paraId="00000003">
      <w:pPr>
        <w:spacing w:after="240" w:before="240" w:lineRule="auto"/>
        <w:rPr/>
      </w:pPr>
      <w:r w:rsidDel="00000000" w:rsidR="00000000" w:rsidRPr="00000000">
        <w:rPr>
          <w:rtl w:val="0"/>
        </w:rPr>
        <w:t xml:space="preserve">The client requests an explanation of how the optimized portfolio (from Part 1, Step 2) is exposed to the </w:t>
      </w:r>
      <w:r w:rsidDel="00000000" w:rsidR="00000000" w:rsidRPr="00000000">
        <w:rPr>
          <w:b w:val="1"/>
          <w:bCs w:val="1"/>
          <w:rtl w:val="0"/>
        </w:rPr>
        <w:t xml:space="preserve">Fama–French Five Factors</w:t>
      </w:r>
      <w:r w:rsidDel="00000000" w:rsidR="00000000" w:rsidRPr="00000000">
        <w:rPr>
          <w:rtl w:val="0"/>
        </w:rPr>
        <w:t xml:space="preserve">:</w:t>
      </w:r>
    </w:p>
    <w:p w:rsidR="00000000" w:rsidDel="00000000" w:rsidP="00000000" w:rsidRDefault="00000000" w:rsidRPr="00000000" w14:paraId="00000004">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Market Risk Premium (MKT − RF)</w:t>
        <w:br w:type="textWrapping"/>
      </w:r>
    </w:p>
    <w:p w:rsidR="00000000" w:rsidDel="00000000" w:rsidP="00000000" w:rsidRDefault="00000000" w:rsidRPr="00000000" w14:paraId="00000005">
      <w:pPr>
        <w:numPr>
          <w:ilvl w:val="0"/>
          <w:numId w:val="2"/>
        </w:numPr>
        <w:spacing w:after="0" w:afterAutospacing="0" w:before="0" w:beforeAutospacing="0" w:lineRule="auto"/>
        <w:ind w:left="720" w:hanging="360"/>
      </w:pPr>
      <w:r w:rsidDel="00000000" w:rsidR="00000000" w:rsidRPr="00000000">
        <w:rPr>
          <w:rtl w:val="0"/>
        </w:rPr>
        <w:t xml:space="preserve">Size (SMB)</w:t>
        <w:br w:type="textWrapping"/>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rtl w:val="0"/>
        </w:rPr>
        <w:t xml:space="preserve">Value (HML)</w:t>
        <w:br w:type="textWrapping"/>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rtl w:val="0"/>
        </w:rPr>
        <w:t xml:space="preserve">Profitability (RMW)</w:t>
        <w:br w:type="textWrapping"/>
      </w:r>
    </w:p>
    <w:p w:rsidR="00000000" w:rsidDel="00000000" w:rsidP="00000000" w:rsidRDefault="00000000" w:rsidRPr="00000000" w14:paraId="00000008">
      <w:pPr>
        <w:numPr>
          <w:ilvl w:val="0"/>
          <w:numId w:val="2"/>
        </w:numPr>
        <w:spacing w:after="240" w:before="0" w:beforeAutospacing="0" w:lineRule="auto"/>
        <w:ind w:left="720" w:hanging="360"/>
      </w:pPr>
      <w:r w:rsidDel="00000000" w:rsidR="00000000" w:rsidRPr="00000000">
        <w:rPr>
          <w:rtl w:val="0"/>
        </w:rPr>
        <w:t xml:space="preserve">Investment (CMA)</w:t>
        <w:br w:type="textWrapping"/>
      </w:r>
    </w:p>
    <w:p w:rsidR="00000000" w:rsidDel="00000000" w:rsidP="00000000" w:rsidRDefault="00000000" w:rsidRPr="00000000" w14:paraId="00000009">
      <w:pPr>
        <w:spacing w:after="240" w:before="240" w:lineRule="auto"/>
        <w:rPr/>
      </w:pPr>
      <w:r w:rsidDel="00000000" w:rsidR="00000000" w:rsidRPr="00000000">
        <w:rPr>
          <w:rtl w:val="0"/>
        </w:rPr>
        <w:t xml:space="preserve">To measure these exposures, we estimate the </w:t>
      </w:r>
      <w:r w:rsidDel="00000000" w:rsidR="00000000" w:rsidRPr="00000000">
        <w:rPr>
          <w:b w:val="1"/>
          <w:bCs w:val="1"/>
          <w:rtl w:val="0"/>
        </w:rPr>
        <w:t xml:space="preserve">Fama–French 5-Factor regression model</w:t>
      </w:r>
      <w:r w:rsidDel="00000000" w:rsidR="00000000" w:rsidRPr="00000000">
        <w:rPr>
          <w:rtl w:val="0"/>
        </w:rPr>
        <w:t xml:space="preserve"> on the portfolio’s excess returns.</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n16aip6ug6va" w:id="2"/>
      <w:bookmarkEnd w:id="2"/>
      <w:r w:rsidDel="00000000" w:rsidR="00000000" w:rsidRPr="00000000">
        <w:rPr>
          <w:b w:val="1"/>
          <w:bCs w:val="1"/>
          <w:sz w:val="34"/>
          <w:szCs w:val="34"/>
          <w:rtl w:val="0"/>
        </w:rPr>
        <w:t xml:space="preserve">Regression Model</w:t>
      </w:r>
    </w:p>
    <w:p w:rsidR="00000000" w:rsidDel="00000000" w:rsidP="00000000" w:rsidRDefault="00000000" w:rsidRPr="00000000" w14:paraId="0000000B">
      <w:pPr>
        <w:rPr/>
      </w:pPr>
      <w:hyperlink r:id="rId6">
        <w:r w:rsidDel="00000000" w:rsidR="00000000" w:rsidRPr="00000000">
          <w:rPr>
            <w:b w:val="1"/>
            <w:bCs w:val="1"/>
            <w:sz w:val="34"/>
            <w:szCs w:val="34"/>
          </w:rPr>
          <w:drawing>
            <wp:inline distB="19050" distT="19050" distL="19050" distR="19050">
              <wp:extent cx="5397500" cy="152400"/>
              <wp:effectExtent b="0" l="0" r="0" t="0"/>
              <wp:docPr id="3"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53975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h2rzkvtyk6uk" w:id="3"/>
      <w:bookmarkEnd w:id="3"/>
      <w:r w:rsidDel="00000000" w:rsidR="00000000" w:rsidRPr="00000000">
        <w:rPr>
          <w:b w:val="1"/>
          <w:bCs w:val="1"/>
          <w:color w:val="000000"/>
          <w:sz w:val="26"/>
          <w:szCs w:val="26"/>
          <w:rtl w:val="0"/>
        </w:rPr>
        <w:t xml:space="preserve">Where</w:t>
      </w:r>
    </w:p>
    <w:p w:rsidR="00000000" w:rsidDel="00000000" w:rsidP="00000000" w:rsidRDefault="00000000" w:rsidRPr="00000000" w14:paraId="0000000D">
      <w:pPr>
        <w:numPr>
          <w:ilvl w:val="0"/>
          <w:numId w:val="4"/>
        </w:numPr>
        <w:spacing w:after="0" w:afterAutospacing="0" w:before="240" w:lineRule="auto"/>
        <w:ind w:left="720" w:hanging="360"/>
      </w:pPr>
      <w:hyperlink r:id="rId8">
        <w:r w:rsidDel="00000000" w:rsidR="00000000" w:rsidRPr="00000000">
          <w:rPr>
            <w:b w:val="1"/>
            <w:bCs w:val="1"/>
            <w:color w:val="000000"/>
            <w:sz w:val="26"/>
            <w:szCs w:val="26"/>
          </w:rPr>
          <w:drawing>
            <wp:inline distB="19050" distT="19050" distL="19050" distR="19050">
              <wp:extent cx="152400" cy="152400"/>
              <wp:effectExtent b="0" l="0" r="0" t="0"/>
              <wp:docPr id="1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52400" cy="152400"/>
                      </a:xfrm>
                      <a:prstGeom prst="rect"/>
                      <a:ln/>
                    </pic:spPr>
                  </pic:pic>
                </a:graphicData>
              </a:graphic>
            </wp:inline>
          </w:drawing>
        </w:r>
      </w:hyperlink>
      <w:r w:rsidDel="00000000" w:rsidR="00000000" w:rsidRPr="00000000">
        <w:rPr>
          <w:rtl w:val="0"/>
        </w:rPr>
        <w:t xml:space="preserve">​ = Portfolio return</w:t>
        <w:br w:type="textWrapping"/>
      </w:r>
    </w:p>
    <w:p w:rsidR="00000000" w:rsidDel="00000000" w:rsidP="00000000" w:rsidRDefault="00000000" w:rsidRPr="00000000" w14:paraId="0000000E">
      <w:pPr>
        <w:numPr>
          <w:ilvl w:val="0"/>
          <w:numId w:val="4"/>
        </w:numPr>
        <w:spacing w:after="0" w:afterAutospacing="0" w:before="0" w:beforeAutospacing="0" w:lineRule="auto"/>
        <w:ind w:left="720" w:hanging="360"/>
      </w:pPr>
      <w:hyperlink r:id="rId10">
        <w:r w:rsidDel="00000000" w:rsidR="00000000" w:rsidRPr="00000000">
          <w:rPr/>
          <w:drawing>
            <wp:inline distB="19050" distT="19050" distL="19050" distR="19050">
              <wp:extent cx="165100" cy="152400"/>
              <wp:effectExtent b="0" l="0" r="0" t="0"/>
              <wp:docPr id="1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165100" cy="152400"/>
                      </a:xfrm>
                      <a:prstGeom prst="rect"/>
                      <a:ln/>
                    </pic:spPr>
                  </pic:pic>
                </a:graphicData>
              </a:graphic>
            </wp:inline>
          </w:drawing>
        </w:r>
      </w:hyperlink>
      <w:r w:rsidDel="00000000" w:rsidR="00000000" w:rsidRPr="00000000">
        <w:rPr>
          <w:rtl w:val="0"/>
        </w:rPr>
        <w:t xml:space="preserve"> = Risk-free rate</w:t>
        <w:br w:type="textWrapping"/>
      </w:r>
    </w:p>
    <w:p w:rsidR="00000000" w:rsidDel="00000000" w:rsidP="00000000" w:rsidRDefault="00000000" w:rsidRPr="00000000" w14:paraId="0000000F">
      <w:pPr>
        <w:numPr>
          <w:ilvl w:val="0"/>
          <w:numId w:val="4"/>
        </w:numPr>
        <w:spacing w:after="0" w:afterAutospacing="0" w:before="0" w:beforeAutospacing="0" w:lineRule="auto"/>
        <w:ind w:left="720" w:hanging="360"/>
      </w:pPr>
      <w:hyperlink r:id="rId12">
        <w:r w:rsidDel="00000000" w:rsidR="00000000" w:rsidRPr="00000000">
          <w:rPr/>
          <w:drawing>
            <wp:inline distB="19050" distT="19050" distL="19050" distR="19050">
              <wp:extent cx="190500" cy="127000"/>
              <wp:effectExtent b="0" l="0" r="0" t="0"/>
              <wp:docPr id="16"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190500" cy="127000"/>
                      </a:xfrm>
                      <a:prstGeom prst="rect"/>
                      <a:ln/>
                    </pic:spPr>
                  </pic:pic>
                </a:graphicData>
              </a:graphic>
            </wp:inline>
          </w:drawing>
        </w:r>
      </w:hyperlink>
      <w:r w:rsidDel="00000000" w:rsidR="00000000" w:rsidRPr="00000000">
        <w:rPr>
          <w:rtl w:val="0"/>
        </w:rPr>
        <w:t xml:space="preserve">​ = Market portfolio return</w:t>
        <w:br w:type="textWrapping"/>
      </w:r>
    </w:p>
    <w:p w:rsidR="00000000" w:rsidDel="00000000" w:rsidP="00000000" w:rsidRDefault="00000000" w:rsidRPr="00000000" w14:paraId="00000010">
      <w:pPr>
        <w:numPr>
          <w:ilvl w:val="0"/>
          <w:numId w:val="4"/>
        </w:numPr>
        <w:spacing w:after="0" w:afterAutospacing="0" w:before="0" w:beforeAutospacing="0" w:lineRule="auto"/>
        <w:ind w:left="720" w:hanging="360"/>
      </w:pPr>
      <w:hyperlink r:id="rId14">
        <w:r w:rsidDel="00000000" w:rsidR="00000000" w:rsidRPr="00000000">
          <w:rPr/>
          <w:drawing>
            <wp:inline distB="19050" distT="19050" distL="19050" distR="19050">
              <wp:extent cx="381000" cy="114300"/>
              <wp:effectExtent b="0" l="0" r="0" t="0"/>
              <wp:docPr id="9"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381000" cy="114300"/>
                      </a:xfrm>
                      <a:prstGeom prst="rect"/>
                      <a:ln/>
                    </pic:spPr>
                  </pic:pic>
                </a:graphicData>
              </a:graphic>
            </wp:inline>
          </w:drawing>
        </w:r>
      </w:hyperlink>
      <w:r w:rsidDel="00000000" w:rsidR="00000000" w:rsidRPr="00000000">
        <w:rPr>
          <w:rtl w:val="0"/>
        </w:rPr>
        <w:t xml:space="preserve"> = Small minus Big (size factor)</w:t>
        <w:br w:type="textWrapping"/>
      </w:r>
    </w:p>
    <w:p w:rsidR="00000000" w:rsidDel="00000000" w:rsidP="00000000" w:rsidRDefault="00000000" w:rsidRPr="00000000" w14:paraId="00000011">
      <w:pPr>
        <w:numPr>
          <w:ilvl w:val="0"/>
          <w:numId w:val="4"/>
        </w:numPr>
        <w:spacing w:after="0" w:afterAutospacing="0" w:before="0" w:beforeAutospacing="0" w:lineRule="auto"/>
        <w:ind w:left="720" w:hanging="360"/>
      </w:pPr>
      <w:hyperlink r:id="rId16">
        <w:r w:rsidDel="00000000" w:rsidR="00000000" w:rsidRPr="00000000">
          <w:rPr/>
          <w:drawing>
            <wp:inline distB="19050" distT="19050" distL="19050" distR="19050">
              <wp:extent cx="381000" cy="101600"/>
              <wp:effectExtent b="0" l="0" r="0" t="0"/>
              <wp:docPr id="5"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381000" cy="101600"/>
                      </a:xfrm>
                      <a:prstGeom prst="rect"/>
                      <a:ln/>
                    </pic:spPr>
                  </pic:pic>
                </a:graphicData>
              </a:graphic>
            </wp:inline>
          </w:drawing>
        </w:r>
      </w:hyperlink>
      <w:r w:rsidDel="00000000" w:rsidR="00000000" w:rsidRPr="00000000">
        <w:rPr>
          <w:rtl w:val="0"/>
        </w:rPr>
        <w:t xml:space="preserve"> = High minus Low (value factor)</w:t>
        <w:br w:type="textWrapping"/>
      </w:r>
    </w:p>
    <w:p w:rsidR="00000000" w:rsidDel="00000000" w:rsidP="00000000" w:rsidRDefault="00000000" w:rsidRPr="00000000" w14:paraId="00000012">
      <w:pPr>
        <w:numPr>
          <w:ilvl w:val="0"/>
          <w:numId w:val="4"/>
        </w:numPr>
        <w:spacing w:after="0" w:afterAutospacing="0" w:before="0" w:beforeAutospacing="0" w:lineRule="auto"/>
        <w:ind w:left="720" w:hanging="360"/>
      </w:pPr>
      <w:hyperlink r:id="rId18">
        <w:r w:rsidDel="00000000" w:rsidR="00000000" w:rsidRPr="00000000">
          <w:rPr/>
          <w:drawing>
            <wp:inline distB="19050" distT="19050" distL="19050" distR="19050">
              <wp:extent cx="431800" cy="101600"/>
              <wp:effectExtent b="0" l="0" r="0" t="0"/>
              <wp:docPr id="7"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431800" cy="101600"/>
                      </a:xfrm>
                      <a:prstGeom prst="rect"/>
                      <a:ln/>
                    </pic:spPr>
                  </pic:pic>
                </a:graphicData>
              </a:graphic>
            </wp:inline>
          </w:drawing>
        </w:r>
      </w:hyperlink>
      <w:r w:rsidDel="00000000" w:rsidR="00000000" w:rsidRPr="00000000">
        <w:rPr>
          <w:rtl w:val="0"/>
        </w:rPr>
        <w:t xml:space="preserve"> = Robust minus Weak (profitability factor)</w:t>
        <w:br w:type="textWrapping"/>
      </w:r>
    </w:p>
    <w:p w:rsidR="00000000" w:rsidDel="00000000" w:rsidP="00000000" w:rsidRDefault="00000000" w:rsidRPr="00000000" w14:paraId="00000013">
      <w:pPr>
        <w:numPr>
          <w:ilvl w:val="0"/>
          <w:numId w:val="4"/>
        </w:numPr>
        <w:spacing w:after="0" w:afterAutospacing="0" w:before="0" w:beforeAutospacing="0" w:lineRule="auto"/>
        <w:ind w:left="720" w:hanging="360"/>
      </w:pPr>
      <w:hyperlink r:id="rId20">
        <w:r w:rsidDel="00000000" w:rsidR="00000000" w:rsidRPr="00000000">
          <w:rPr/>
          <w:drawing>
            <wp:inline distB="19050" distT="19050" distL="19050" distR="19050">
              <wp:extent cx="381000" cy="114300"/>
              <wp:effectExtent b="0" l="0" r="0" t="0"/>
              <wp:docPr id="4"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381000" cy="114300"/>
                      </a:xfrm>
                      <a:prstGeom prst="rect"/>
                      <a:ln/>
                    </pic:spPr>
                  </pic:pic>
                </a:graphicData>
              </a:graphic>
            </wp:inline>
          </w:drawing>
        </w:r>
      </w:hyperlink>
      <w:r w:rsidDel="00000000" w:rsidR="00000000" w:rsidRPr="00000000">
        <w:rPr>
          <w:rtl w:val="0"/>
        </w:rPr>
        <w:t xml:space="preserve"> = Conservative minus Aggressive (investment factor)</w:t>
        <w:br w:type="textWrapping"/>
      </w:r>
    </w:p>
    <w:p w:rsidR="00000000" w:rsidDel="00000000" w:rsidP="00000000" w:rsidRDefault="00000000" w:rsidRPr="00000000" w14:paraId="00000014">
      <w:pPr>
        <w:numPr>
          <w:ilvl w:val="0"/>
          <w:numId w:val="4"/>
        </w:numPr>
        <w:spacing w:after="0" w:afterAutospacing="0" w:before="0" w:beforeAutospacing="0" w:lineRule="auto"/>
        <w:ind w:left="720" w:hanging="360"/>
      </w:pPr>
      <w:hyperlink r:id="rId22">
        <w:r w:rsidDel="00000000" w:rsidR="00000000" w:rsidRPr="00000000">
          <w:rPr/>
          <w:drawing>
            <wp:inline distB="19050" distT="19050" distL="19050" distR="19050">
              <wp:extent cx="76200" cy="63500"/>
              <wp:effectExtent b="0" l="0" r="0" t="0"/>
              <wp:docPr id="12"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76200" cy="63500"/>
                      </a:xfrm>
                      <a:prstGeom prst="rect"/>
                      <a:ln/>
                    </pic:spPr>
                  </pic:pic>
                </a:graphicData>
              </a:graphic>
            </wp:inline>
          </w:drawing>
        </w:r>
      </w:hyperlink>
      <w:r w:rsidDel="00000000" w:rsidR="00000000" w:rsidRPr="00000000">
        <w:rPr>
          <w:rtl w:val="0"/>
        </w:rPr>
        <w:t xml:space="preserve"> = Abnormal return unexplained by factors</w:t>
        <w:br w:type="textWrapping"/>
      </w:r>
    </w:p>
    <w:p w:rsidR="00000000" w:rsidDel="00000000" w:rsidP="00000000" w:rsidRDefault="00000000" w:rsidRPr="00000000" w14:paraId="00000015">
      <w:pPr>
        <w:numPr>
          <w:ilvl w:val="0"/>
          <w:numId w:val="4"/>
        </w:numPr>
        <w:spacing w:after="0" w:afterAutospacing="0" w:before="0" w:beforeAutospacing="0" w:lineRule="auto"/>
        <w:ind w:left="720" w:hanging="360"/>
      </w:pPr>
      <w:hyperlink r:id="rId24">
        <w:r w:rsidDel="00000000" w:rsidR="00000000" w:rsidRPr="00000000">
          <w:rPr/>
          <w:drawing>
            <wp:inline distB="19050" distT="19050" distL="19050" distR="19050">
              <wp:extent cx="114300" cy="139700"/>
              <wp:effectExtent b="0" l="0" r="0" t="0"/>
              <wp:docPr id="8"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114300" cy="139700"/>
                      </a:xfrm>
                      <a:prstGeom prst="rect"/>
                      <a:ln/>
                    </pic:spPr>
                  </pic:pic>
                </a:graphicData>
              </a:graphic>
            </wp:inline>
          </w:drawing>
        </w:r>
      </w:hyperlink>
      <w:r w:rsidDel="00000000" w:rsidR="00000000" w:rsidRPr="00000000">
        <w:rPr>
          <w:rtl w:val="0"/>
        </w:rPr>
        <w:t xml:space="preserve">​ = Portfolio factor exposures</w:t>
        <w:br w:type="textWrapping"/>
      </w:r>
    </w:p>
    <w:p w:rsidR="00000000" w:rsidDel="00000000" w:rsidP="00000000" w:rsidRDefault="00000000" w:rsidRPr="00000000" w14:paraId="00000016">
      <w:pPr>
        <w:numPr>
          <w:ilvl w:val="0"/>
          <w:numId w:val="4"/>
        </w:numPr>
        <w:spacing w:after="240" w:before="0" w:beforeAutospacing="0" w:lineRule="auto"/>
        <w:ind w:left="720" w:hanging="360"/>
      </w:pPr>
      <w:hyperlink r:id="rId26">
        <w:r w:rsidDel="00000000" w:rsidR="00000000" w:rsidRPr="00000000">
          <w:rPr/>
          <w:drawing>
            <wp:inline distB="19050" distT="19050" distL="19050" distR="19050">
              <wp:extent cx="38100" cy="63500"/>
              <wp:effectExtent b="0" l="0" r="0" t="0"/>
              <wp:docPr id="2"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38100" cy="63500"/>
                      </a:xfrm>
                      <a:prstGeom prst="rect"/>
                      <a:ln/>
                    </pic:spPr>
                  </pic:pic>
                </a:graphicData>
              </a:graphic>
            </wp:inline>
          </w:drawing>
        </w:r>
      </w:hyperlink>
      <w:r w:rsidDel="00000000" w:rsidR="00000000" w:rsidRPr="00000000">
        <w:rPr>
          <w:rtl w:val="0"/>
        </w:rPr>
        <w:t xml:space="preserve"> = Regression residual</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i0fhmnl0aqqs" w:id="4"/>
      <w:bookmarkEnd w:id="4"/>
      <w:r w:rsidDel="00000000" w:rsidR="00000000" w:rsidRPr="00000000">
        <w:rPr>
          <w:b w:val="1"/>
          <w:bCs w:val="1"/>
          <w:sz w:val="34"/>
          <w:szCs w:val="34"/>
          <w:rtl w:val="0"/>
        </w:rPr>
        <w:t xml:space="preserve">Step 1 — Compute Portfolio Returns</w:t>
      </w:r>
    </w:p>
    <w:p w:rsidR="00000000" w:rsidDel="00000000" w:rsidP="00000000" w:rsidRDefault="00000000" w:rsidRPr="00000000" w14:paraId="00000018">
      <w:pPr>
        <w:rPr/>
      </w:pPr>
      <w:hyperlink r:id="rId28">
        <w:r w:rsidDel="00000000" w:rsidR="00000000" w:rsidRPr="00000000">
          <w:rPr>
            <w:b w:val="1"/>
            <w:bCs w:val="1"/>
            <w:sz w:val="34"/>
            <w:szCs w:val="34"/>
          </w:rPr>
          <w:drawing>
            <wp:inline distB="19050" distT="19050" distL="19050" distR="19050">
              <wp:extent cx="1066800" cy="444500"/>
              <wp:effectExtent b="0" l="0" r="0" t="0"/>
              <wp:docPr id="10"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1066800" cy="444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Where </w:t>
      </w:r>
      <w:hyperlink r:id="rId30">
        <w:r w:rsidDel="00000000" w:rsidR="00000000" w:rsidRPr="00000000">
          <w:rPr/>
          <w:drawing>
            <wp:inline distB="19050" distT="19050" distL="19050" distR="19050">
              <wp:extent cx="139700" cy="88900"/>
              <wp:effectExtent b="0" l="0" r="0" t="0"/>
              <wp:docPr id="1"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139700" cy="88900"/>
                      </a:xfrm>
                      <a:prstGeom prst="rect"/>
                      <a:ln/>
                    </pic:spPr>
                  </pic:pic>
                </a:graphicData>
              </a:graphic>
            </wp:inline>
          </w:drawing>
        </w:r>
      </w:hyperlink>
      <w:r w:rsidDel="00000000" w:rsidR="00000000" w:rsidRPr="00000000">
        <w:rPr>
          <w:rtl w:val="0"/>
        </w:rPr>
        <w:t xml:space="preserve">​ are the </w:t>
      </w:r>
      <w:r w:rsidDel="00000000" w:rsidR="00000000" w:rsidRPr="00000000">
        <w:rPr>
          <w:b w:val="1"/>
          <w:bCs w:val="1"/>
          <w:rtl w:val="0"/>
        </w:rPr>
        <w:t xml:space="preserve">optimal constrained weights from Part 1</w:t>
      </w:r>
      <w:r w:rsidDel="00000000" w:rsidR="00000000" w:rsidRPr="00000000">
        <w:rPr>
          <w:rtl w:val="0"/>
        </w:rPr>
        <w:t xml:space="preserve">.</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y9xuby4x4ned" w:id="5"/>
      <w:bookmarkEnd w:id="5"/>
      <w:r w:rsidDel="00000000" w:rsidR="00000000" w:rsidRPr="00000000">
        <w:rPr>
          <w:b w:val="1"/>
          <w:bCs w:val="1"/>
          <w:sz w:val="34"/>
          <w:szCs w:val="34"/>
          <w:rtl w:val="0"/>
        </w:rPr>
        <w:t xml:space="preserve">Step 2 — Obtain Fama–French 5-Factor Data</w:t>
      </w:r>
    </w:p>
    <w:p w:rsidR="00000000" w:rsidDel="00000000" w:rsidP="00000000" w:rsidRDefault="00000000" w:rsidRPr="00000000" w14:paraId="0000001B">
      <w:pPr>
        <w:spacing w:after="240" w:before="240" w:lineRule="auto"/>
        <w:rPr/>
      </w:pPr>
      <w:r w:rsidDel="00000000" w:rsidR="00000000" w:rsidRPr="00000000">
        <w:rPr>
          <w:rtl w:val="0"/>
        </w:rPr>
        <w:t xml:space="preserve">Use </w:t>
      </w:r>
      <w:r w:rsidDel="00000000" w:rsidR="00000000" w:rsidRPr="00000000">
        <w:rPr>
          <w:b w:val="1"/>
          <w:bCs w:val="1"/>
          <w:rtl w:val="0"/>
        </w:rPr>
        <w:t xml:space="preserve">Kenneth French Data Library</w:t>
      </w:r>
      <w:r w:rsidDel="00000000" w:rsidR="00000000" w:rsidRPr="00000000">
        <w:rPr>
          <w:rtl w:val="0"/>
        </w:rPr>
        <w:t xml:space="preserve">:</w:t>
      </w:r>
    </w:p>
    <w:p w:rsidR="00000000" w:rsidDel="00000000" w:rsidP="00000000" w:rsidRDefault="00000000" w:rsidRPr="00000000" w14:paraId="0000001C">
      <w:pPr>
        <w:numPr>
          <w:ilvl w:val="0"/>
          <w:numId w:val="1"/>
        </w:numPr>
        <w:spacing w:after="240" w:before="240" w:lineRule="auto"/>
        <w:ind w:left="720" w:hanging="360"/>
      </w:pPr>
      <w:r w:rsidDel="00000000" w:rsidR="00000000" w:rsidRPr="00000000">
        <w:rPr>
          <w:rtl w:val="0"/>
        </w:rPr>
        <w:t xml:space="preserve">Frequency must match your asset return frequency (daily or weekly)</w:t>
        <w:br w:type="textWrapping"/>
      </w:r>
    </w:p>
    <w:p w:rsidR="00000000" w:rsidDel="00000000" w:rsidP="00000000" w:rsidRDefault="00000000" w:rsidRPr="00000000" w14:paraId="0000001D">
      <w:pPr>
        <w:spacing w:after="240" w:before="240" w:lineRule="auto"/>
        <w:rPr/>
      </w:pPr>
      <w:r w:rsidDel="00000000" w:rsidR="00000000" w:rsidRPr="00000000">
        <w:rPr>
          <w:rtl w:val="0"/>
        </w:rPr>
        <w:t xml:space="preserve">Factors include:</w:t>
      </w:r>
    </w:p>
    <w:p w:rsidR="00000000" w:rsidDel="00000000" w:rsidP="00000000" w:rsidRDefault="00000000" w:rsidRPr="00000000" w14:paraId="0000001E">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MKT − RF</w:t>
        <w:br w:type="textWrapping"/>
      </w:r>
    </w:p>
    <w:p w:rsidR="00000000" w:rsidDel="00000000" w:rsidP="00000000" w:rsidRDefault="00000000" w:rsidRPr="00000000" w14:paraId="0000001F">
      <w:pPr>
        <w:numPr>
          <w:ilvl w:val="0"/>
          <w:numId w:val="5"/>
        </w:numPr>
        <w:spacing w:after="0" w:afterAutospacing="0" w:before="0" w:beforeAutospacing="0" w:lineRule="auto"/>
        <w:ind w:left="720" w:hanging="360"/>
      </w:pPr>
      <w:r w:rsidDel="00000000" w:rsidR="00000000" w:rsidRPr="00000000">
        <w:rPr>
          <w:rtl w:val="0"/>
        </w:rPr>
        <w:t xml:space="preserve">SMB</w:t>
        <w:br w:type="textWrapping"/>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rtl w:val="0"/>
        </w:rPr>
        <w:t xml:space="preserve">HML</w:t>
        <w:br w:type="textWrapping"/>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rtl w:val="0"/>
        </w:rPr>
        <w:t xml:space="preserve">RMW</w:t>
        <w:br w:type="textWrapping"/>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rtl w:val="0"/>
        </w:rPr>
        <w:t xml:space="preserve">CMA</w:t>
        <w:br w:type="textWrapping"/>
      </w:r>
    </w:p>
    <w:p w:rsidR="00000000" w:rsidDel="00000000" w:rsidP="00000000" w:rsidRDefault="00000000" w:rsidRPr="00000000" w14:paraId="00000023">
      <w:pPr>
        <w:numPr>
          <w:ilvl w:val="0"/>
          <w:numId w:val="5"/>
        </w:numPr>
        <w:spacing w:after="240" w:before="0" w:beforeAutospacing="0" w:lineRule="auto"/>
        <w:ind w:left="720" w:hanging="360"/>
      </w:pPr>
      <w:r w:rsidDel="00000000" w:rsidR="00000000" w:rsidRPr="00000000">
        <w:rPr>
          <w:rtl w:val="0"/>
        </w:rPr>
        <w:t xml:space="preserve">RF</w:t>
      </w:r>
    </w:p>
    <w:p w:rsidR="00000000" w:rsidDel="00000000" w:rsidP="00000000" w:rsidRDefault="00000000" w:rsidRPr="00000000" w14:paraId="00000024">
      <w:pPr>
        <w:rPr>
          <w:b w:val="1"/>
          <w:bCs w:val="1"/>
          <w:sz w:val="34"/>
          <w:szCs w:val="34"/>
        </w:rPr>
      </w:pPr>
      <w:r w:rsidDel="00000000" w:rsidR="00000000" w:rsidRPr="00000000">
        <w:rPr>
          <w:b w:val="1"/>
          <w:bCs w:val="1"/>
          <w:sz w:val="34"/>
          <w:szCs w:val="34"/>
          <w:rtl w:val="0"/>
        </w:rPr>
        <w:t xml:space="preserve">Step 4 — Output Coefficients Table</w:t>
      </w:r>
    </w:p>
    <w:p w:rsidR="00000000" w:rsidDel="00000000" w:rsidP="00000000" w:rsidRDefault="00000000" w:rsidRPr="00000000" w14:paraId="00000025">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Interpretation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α (Intercept)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Abnormal excess return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MKT −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 market sensitivity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SMB</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Tilt toward large-cap stocks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−0.35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Growth-oriented exposure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RMW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Exposure to profitable firms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Preference for aggressive investment firms</w:t>
            </w:r>
          </w:p>
        </w:tc>
      </w:tr>
    </w:tbl>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h2cgat1ytns4" w:id="6"/>
      <w:bookmarkEnd w:id="6"/>
      <w:r w:rsidDel="00000000" w:rsidR="00000000" w:rsidRPr="00000000">
        <w:rPr>
          <w:b w:val="1"/>
          <w:bCs w:val="1"/>
          <w:sz w:val="34"/>
          <w:szCs w:val="34"/>
          <w:rtl w:val="0"/>
        </w:rPr>
        <w:t xml:space="preserve">Step 5 — Interpretation of Each Exposure</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pcukybnbsjy1" w:id="7"/>
      <w:bookmarkEnd w:id="7"/>
      <w:r w:rsidDel="00000000" w:rsidR="00000000" w:rsidRPr="00000000">
        <w:rPr>
          <w:b w:val="1"/>
          <w:bCs w:val="1"/>
          <w:color w:val="000000"/>
          <w:sz w:val="26"/>
          <w:szCs w:val="26"/>
          <w:rtl w:val="0"/>
        </w:rPr>
        <w:t xml:space="preserve">Market Risk Premium (β₁)</w:t>
      </w:r>
    </w:p>
    <w:p w:rsidR="00000000" w:rsidDel="00000000" w:rsidP="00000000" w:rsidRDefault="00000000" w:rsidRPr="00000000" w14:paraId="0000003E">
      <w:pPr>
        <w:spacing w:after="240" w:before="240" w:lineRule="auto"/>
        <w:ind w:left="600" w:right="600" w:firstLine="0"/>
        <w:rPr/>
      </w:pPr>
      <w:r w:rsidDel="00000000" w:rsidR="00000000" w:rsidRPr="00000000">
        <w:rPr>
          <w:rtl w:val="0"/>
        </w:rPr>
        <w:t xml:space="preserve">A beta greater than 1 indicates the portfolio is more volatile than the overall market.</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jj5so6zii0kq" w:id="8"/>
      <w:bookmarkEnd w:id="8"/>
      <w:r w:rsidDel="00000000" w:rsidR="00000000" w:rsidRPr="00000000">
        <w:rPr>
          <w:b w:val="1"/>
          <w:bCs w:val="1"/>
          <w:color w:val="000000"/>
          <w:sz w:val="26"/>
          <w:szCs w:val="26"/>
          <w:rtl w:val="0"/>
        </w:rPr>
        <w:t xml:space="preserve">SMB (Size Factor)</w:t>
      </w:r>
    </w:p>
    <w:p w:rsidR="00000000" w:rsidDel="00000000" w:rsidP="00000000" w:rsidRDefault="00000000" w:rsidRPr="00000000" w14:paraId="00000040">
      <w:pPr>
        <w:spacing w:after="240" w:before="240" w:lineRule="auto"/>
        <w:ind w:left="600" w:right="600" w:firstLine="0"/>
        <w:rPr/>
      </w:pPr>
      <w:r w:rsidDel="00000000" w:rsidR="00000000" w:rsidRPr="00000000">
        <w:rPr>
          <w:rtl w:val="0"/>
        </w:rPr>
        <w:t xml:space="preserve">A negative SMB beta indicates the portfolio is tilted toward </w:t>
      </w:r>
      <w:r w:rsidDel="00000000" w:rsidR="00000000" w:rsidRPr="00000000">
        <w:rPr>
          <w:b w:val="1"/>
          <w:bCs w:val="1"/>
          <w:rtl w:val="0"/>
        </w:rPr>
        <w:t xml:space="preserve">large-capitalization stocks</w:t>
      </w:r>
      <w:r w:rsidDel="00000000" w:rsidR="00000000" w:rsidRPr="00000000">
        <w:rPr>
          <w:rtl w:val="0"/>
        </w:rPr>
        <w:t xml:space="preserve">.</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pmrhcljj6ahd" w:id="9"/>
      <w:bookmarkEnd w:id="9"/>
      <w:r w:rsidDel="00000000" w:rsidR="00000000" w:rsidRPr="00000000">
        <w:rPr>
          <w:b w:val="1"/>
          <w:bCs w:val="1"/>
          <w:color w:val="000000"/>
          <w:sz w:val="26"/>
          <w:szCs w:val="26"/>
          <w:rtl w:val="0"/>
        </w:rPr>
        <w:t xml:space="preserve">HML (Value Factor)</w:t>
      </w:r>
    </w:p>
    <w:p w:rsidR="00000000" w:rsidDel="00000000" w:rsidP="00000000" w:rsidRDefault="00000000" w:rsidRPr="00000000" w14:paraId="00000042">
      <w:pPr>
        <w:spacing w:after="240" w:before="240" w:lineRule="auto"/>
        <w:ind w:left="600" w:right="600" w:firstLine="0"/>
        <w:rPr/>
      </w:pPr>
      <w:r w:rsidDel="00000000" w:rsidR="00000000" w:rsidRPr="00000000">
        <w:rPr>
          <w:rtl w:val="0"/>
        </w:rPr>
        <w:t xml:space="preserve">A negative HML beta implies a </w:t>
      </w:r>
      <w:r w:rsidDel="00000000" w:rsidR="00000000" w:rsidRPr="00000000">
        <w:rPr>
          <w:b w:val="1"/>
          <w:bCs w:val="1"/>
          <w:rtl w:val="0"/>
        </w:rPr>
        <w:t xml:space="preserve">growth stock bias</w:t>
      </w:r>
      <w:r w:rsidDel="00000000" w:rsidR="00000000" w:rsidRPr="00000000">
        <w:rPr>
          <w:rtl w:val="0"/>
        </w:rPr>
        <w:t xml:space="preserve"> rather than value.</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vo199bpj6t4o" w:id="10"/>
      <w:bookmarkEnd w:id="10"/>
      <w:r w:rsidDel="00000000" w:rsidR="00000000" w:rsidRPr="00000000">
        <w:rPr>
          <w:b w:val="1"/>
          <w:bCs w:val="1"/>
          <w:color w:val="000000"/>
          <w:sz w:val="26"/>
          <w:szCs w:val="26"/>
          <w:rtl w:val="0"/>
        </w:rPr>
        <w:t xml:space="preserve">RMW (Profitability Factor)</w:t>
      </w:r>
    </w:p>
    <w:p w:rsidR="00000000" w:rsidDel="00000000" w:rsidP="00000000" w:rsidRDefault="00000000" w:rsidRPr="00000000" w14:paraId="00000044">
      <w:pPr>
        <w:spacing w:after="240" w:before="240" w:lineRule="auto"/>
        <w:ind w:left="600" w:right="600" w:firstLine="0"/>
        <w:rPr/>
      </w:pPr>
      <w:r w:rsidDel="00000000" w:rsidR="00000000" w:rsidRPr="00000000">
        <w:rPr>
          <w:rtl w:val="0"/>
        </w:rPr>
        <w:t xml:space="preserve">A positive RMW beta suggests exposure to </w:t>
      </w:r>
      <w:r w:rsidDel="00000000" w:rsidR="00000000" w:rsidRPr="00000000">
        <w:rPr>
          <w:b w:val="1"/>
          <w:bCs w:val="1"/>
          <w:rtl w:val="0"/>
        </w:rPr>
        <w:t xml:space="preserve">high-profitability firms</w:t>
      </w:r>
      <w:r w:rsidDel="00000000" w:rsidR="00000000" w:rsidRPr="00000000">
        <w:rPr>
          <w:rtl w:val="0"/>
        </w:rPr>
        <w:t xml:space="preserve">.</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i63mjhm1hugc" w:id="11"/>
      <w:bookmarkEnd w:id="11"/>
      <w:r w:rsidDel="00000000" w:rsidR="00000000" w:rsidRPr="00000000">
        <w:rPr>
          <w:b w:val="1"/>
          <w:bCs w:val="1"/>
          <w:color w:val="000000"/>
          <w:sz w:val="26"/>
          <w:szCs w:val="26"/>
          <w:rtl w:val="0"/>
        </w:rPr>
        <w:t xml:space="preserve">CMA (Investment Factor)</w:t>
      </w:r>
    </w:p>
    <w:p w:rsidR="00000000" w:rsidDel="00000000" w:rsidP="00000000" w:rsidRDefault="00000000" w:rsidRPr="00000000" w14:paraId="00000046">
      <w:pPr>
        <w:spacing w:after="240" w:before="240" w:lineRule="auto"/>
        <w:ind w:left="600" w:right="600" w:firstLine="0"/>
        <w:rPr/>
      </w:pPr>
      <w:r w:rsidDel="00000000" w:rsidR="00000000" w:rsidRPr="00000000">
        <w:rPr>
          <w:rtl w:val="0"/>
        </w:rPr>
        <w:t xml:space="preserve">A negative CMA beta implies preference for firms that </w:t>
      </w:r>
      <w:r w:rsidDel="00000000" w:rsidR="00000000" w:rsidRPr="00000000">
        <w:rPr>
          <w:b w:val="1"/>
          <w:bCs w:val="1"/>
          <w:rtl w:val="0"/>
        </w:rPr>
        <w:t xml:space="preserve">invest aggressively</w:t>
      </w:r>
      <w:r w:rsidDel="00000000" w:rsidR="00000000" w:rsidRPr="00000000">
        <w:rPr>
          <w:rtl w:val="0"/>
        </w:rPr>
        <w:t xml:space="preserve">.</w:t>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3owq28nuhy0m" w:id="12"/>
      <w:bookmarkEnd w:id="12"/>
      <w:r w:rsidDel="00000000" w:rsidR="00000000" w:rsidRPr="00000000">
        <w:rPr>
          <w:b w:val="1"/>
          <w:bCs w:val="1"/>
          <w:sz w:val="34"/>
          <w:szCs w:val="34"/>
          <w:rtl w:val="0"/>
        </w:rPr>
        <w:t xml:space="preserve">Alpha Interpretation (Manager Skill)</w:t>
      </w:r>
    </w:p>
    <w:p w:rsidR="00000000" w:rsidDel="00000000" w:rsidP="00000000" w:rsidRDefault="00000000" w:rsidRPr="00000000" w14:paraId="00000048">
      <w:pPr>
        <w:rPr/>
      </w:pPr>
      <w:hyperlink r:id="rId32">
        <w:r w:rsidDel="00000000" w:rsidR="00000000" w:rsidRPr="00000000">
          <w:rPr>
            <w:b w:val="1"/>
            <w:bCs w:val="1"/>
            <w:sz w:val="34"/>
            <w:szCs w:val="34"/>
          </w:rPr>
          <w:drawing>
            <wp:inline distB="19050" distT="19050" distL="19050" distR="19050">
              <wp:extent cx="2692400" cy="139700"/>
              <wp:effectExtent b="0" l="0" r="0" t="0"/>
              <wp:docPr id="17" name="image17.png"/>
              <a:graphic>
                <a:graphicData uri="http://schemas.openxmlformats.org/drawingml/2006/picture">
                  <pic:pic>
                    <pic:nvPicPr>
                      <pic:cNvPr id="0" name="image17.png"/>
                      <pic:cNvPicPr preferRelativeResize="0"/>
                    </pic:nvPicPr>
                    <pic:blipFill>
                      <a:blip r:embed="rId33"/>
                      <a:srcRect b="0" l="0" r="0" t="0"/>
                      <a:stretch>
                        <a:fillRect/>
                      </a:stretch>
                    </pic:blipFill>
                    <pic:spPr>
                      <a:xfrm>
                        <a:off x="0" y="0"/>
                        <a:ext cx="2692400" cy="139700"/>
                      </a:xfrm>
                      <a:prstGeom prst="rect"/>
                      <a:ln/>
                    </pic:spPr>
                  </pic:pic>
                </a:graphicData>
              </a:graphic>
            </wp:inline>
          </w:drawing>
        </w:r>
      </w:hyperlink>
      <w:r w:rsidDel="00000000" w:rsidR="00000000" w:rsidRPr="00000000">
        <w:rPr>
          <w:rtl w:val="0"/>
        </w:rPr>
        <w:t xml:space="preserve"> </w:t>
      </w:r>
      <w:hyperlink r:id="rId34">
        <w:r w:rsidDel="00000000" w:rsidR="00000000" w:rsidRPr="00000000">
          <w:rPr/>
          <w:drawing>
            <wp:inline distB="19050" distT="19050" distL="19050" distR="19050">
              <wp:extent cx="3619500" cy="139700"/>
              <wp:effectExtent b="0" l="0" r="0" t="0"/>
              <wp:docPr id="11"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3619500" cy="139700"/>
                      </a:xfrm>
                      <a:prstGeom prst="rect"/>
                      <a:ln/>
                    </pic:spPr>
                  </pic:pic>
                </a:graphicData>
              </a:graphic>
            </wp:inline>
          </w:drawing>
        </w:r>
      </w:hyperlink>
      <w:r w:rsidDel="00000000" w:rsidR="00000000" w:rsidRPr="00000000">
        <w:rPr>
          <w:rtl w:val="0"/>
        </w:rPr>
        <w:t xml:space="preserve"> </w:t>
      </w:r>
    </w:p>
    <w:p w:rsidR="00000000" w:rsidDel="00000000" w:rsidP="00000000" w:rsidRDefault="00000000" w:rsidRPr="00000000" w14:paraId="00000049">
      <w:pPr>
        <w:rPr/>
      </w:pPr>
      <w:hyperlink r:id="rId36">
        <w:r w:rsidDel="00000000" w:rsidR="00000000" w:rsidRPr="00000000">
          <w:rPr/>
          <w:drawing>
            <wp:inline distB="19050" distT="19050" distL="19050" distR="19050">
              <wp:extent cx="1854200" cy="139700"/>
              <wp:effectExtent b="0" l="0" r="0" t="0"/>
              <wp:docPr id="6" name="image6.png"/>
              <a:graphic>
                <a:graphicData uri="http://schemas.openxmlformats.org/drawingml/2006/picture">
                  <pic:pic>
                    <pic:nvPicPr>
                      <pic:cNvPr id="0" name="image6.png"/>
                      <pic:cNvPicPr preferRelativeResize="0"/>
                    </pic:nvPicPr>
                    <pic:blipFill>
                      <a:blip r:embed="rId37"/>
                      <a:srcRect b="0" l="0" r="0" t="0"/>
                      <a:stretch>
                        <a:fillRect/>
                      </a:stretch>
                    </pic:blipFill>
                    <pic:spPr>
                      <a:xfrm>
                        <a:off x="0" y="0"/>
                        <a:ext cx="1854200" cy="139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bCs w:val="1"/>
          <w:sz w:val="34"/>
          <w:szCs w:val="34"/>
        </w:rPr>
      </w:pPr>
      <w:r w:rsidDel="00000000" w:rsidR="00000000" w:rsidRPr="00000000">
        <w:rPr>
          <w:b w:val="1"/>
          <w:bCs w:val="1"/>
          <w:sz w:val="34"/>
          <w:szCs w:val="34"/>
          <w:rtl w:val="0"/>
        </w:rPr>
        <w:t xml:space="preserve">Model Fit Metrics</w:t>
      </w:r>
    </w:p>
    <w:p w:rsidR="00000000" w:rsidDel="00000000" w:rsidP="00000000" w:rsidRDefault="00000000" w:rsidRPr="00000000" w14:paraId="0000004C">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Meaning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R²</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of portfolio returns explained by factors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t-statistics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Significance of factor exposure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Whether betas are statistically meaningful</w:t>
            </w:r>
          </w:p>
        </w:tc>
      </w:tr>
    </w:tbl>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1"/>
        <w:keepNext w:val="0"/>
        <w:keepLines w:val="0"/>
        <w:spacing w:before="480" w:lineRule="auto"/>
        <w:rPr>
          <w:b w:val="1"/>
          <w:bCs w:val="1"/>
          <w:sz w:val="46"/>
          <w:szCs w:val="46"/>
        </w:rPr>
      </w:pPr>
      <w:bookmarkStart w:colFirst="0" w:colLast="0" w:name="_97jlzfouv8uk" w:id="13"/>
      <w:bookmarkEnd w:id="13"/>
      <w:r w:rsidDel="00000000" w:rsidR="00000000" w:rsidRPr="00000000">
        <w:rPr>
          <w:b w:val="1"/>
          <w:bCs w:val="1"/>
          <w:sz w:val="46"/>
          <w:szCs w:val="46"/>
          <w:rtl w:val="0"/>
        </w:rPr>
        <w:t xml:space="preserve">Step 4 — Meaning and Role of the Fama–French Five Factors</w:t>
      </w:r>
    </w:p>
    <w:p w:rsidR="00000000" w:rsidDel="00000000" w:rsidP="00000000" w:rsidRDefault="00000000" w:rsidRPr="00000000" w14:paraId="00000057">
      <w:pPr>
        <w:spacing w:after="240" w:before="240" w:lineRule="auto"/>
        <w:rPr/>
      </w:pPr>
      <w:r w:rsidDel="00000000" w:rsidR="00000000" w:rsidRPr="00000000">
        <w:rPr>
          <w:rtl w:val="0"/>
        </w:rPr>
        <w:t xml:space="preserve">The Fama–French Five-Factor Model extends the Capital Asset Pricing Model (CAPM) by explaining stock and portfolio returns using multiple systematic risk factors beyond market risk alone (Fama and French 3). Each factor captures a distinct economic source of expected return.</w:t>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cs20ileft9ga" w:id="14"/>
      <w:bookmarkEnd w:id="14"/>
      <w:r w:rsidDel="00000000" w:rsidR="00000000" w:rsidRPr="00000000">
        <w:rPr>
          <w:rFonts w:ascii="Arial Unicode MS" w:cs="Arial Unicode MS" w:eastAsia="Arial Unicode MS" w:hAnsi="Arial Unicode MS"/>
          <w:b w:val="1"/>
          <w:bCs w:val="1"/>
          <w:sz w:val="34"/>
          <w:szCs w:val="34"/>
          <w:rtl w:val="0"/>
        </w:rPr>
        <w:t xml:space="preserve">1. Market Risk Premium (MKT − RF)</w:t>
      </w:r>
    </w:p>
    <w:p w:rsidR="00000000" w:rsidDel="00000000" w:rsidP="00000000" w:rsidRDefault="00000000" w:rsidRPr="00000000" w14:paraId="00000059">
      <w:pPr>
        <w:spacing w:after="240" w:before="240" w:lineRule="auto"/>
        <w:rPr/>
      </w:pPr>
      <w:r w:rsidDel="00000000" w:rsidR="00000000" w:rsidRPr="00000000">
        <w:rPr>
          <w:rtl w:val="0"/>
        </w:rPr>
        <w:t xml:space="preserve">This factor measures the excess return of the market portfolio over the risk-free rate. It captures </w:t>
      </w:r>
      <w:r w:rsidDel="00000000" w:rsidR="00000000" w:rsidRPr="00000000">
        <w:rPr>
          <w:b w:val="1"/>
          <w:bCs w:val="1"/>
          <w:rtl w:val="0"/>
        </w:rPr>
        <w:t xml:space="preserve">systematic market risk</w:t>
      </w:r>
      <w:r w:rsidDel="00000000" w:rsidR="00000000" w:rsidRPr="00000000">
        <w:rPr>
          <w:rtl w:val="0"/>
        </w:rPr>
        <w:t xml:space="preserve">, meaning the sensitivity of an asset or portfolio to overall equity market movements. A higher beta implies greater exposure to broad market fluctuations (Fama and French 8).</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Interpretation:</w:t>
        <w:br w:type="textWrapping"/>
      </w:r>
      <w:r w:rsidDel="00000000" w:rsidR="00000000" w:rsidRPr="00000000">
        <w:rPr>
          <w:rtl w:val="0"/>
        </w:rPr>
        <w:t xml:space="preserve"> A positive coefficient indicates the portfolio tends to rise and fall more strongly with the market.</w:t>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1r67qn49qd9o" w:id="15"/>
      <w:bookmarkEnd w:id="15"/>
      <w:r w:rsidDel="00000000" w:rsidR="00000000" w:rsidRPr="00000000">
        <w:rPr>
          <w:b w:val="1"/>
          <w:bCs w:val="1"/>
          <w:sz w:val="34"/>
          <w:szCs w:val="34"/>
          <w:rtl w:val="0"/>
        </w:rPr>
        <w:t xml:space="preserve">2. SMB — Small Minus Big (Size Factor)</w:t>
      </w:r>
    </w:p>
    <w:p w:rsidR="00000000" w:rsidDel="00000000" w:rsidP="00000000" w:rsidRDefault="00000000" w:rsidRPr="00000000" w14:paraId="0000005C">
      <w:pPr>
        <w:spacing w:after="240" w:before="240" w:lineRule="auto"/>
        <w:rPr/>
      </w:pPr>
      <w:r w:rsidDel="00000000" w:rsidR="00000000" w:rsidRPr="00000000">
        <w:rPr>
          <w:rtl w:val="0"/>
        </w:rPr>
        <w:t xml:space="preserve">SMB captures the historical tendency of </w:t>
      </w:r>
      <w:r w:rsidDel="00000000" w:rsidR="00000000" w:rsidRPr="00000000">
        <w:rPr>
          <w:b w:val="1"/>
          <w:bCs w:val="1"/>
          <w:rtl w:val="0"/>
        </w:rPr>
        <w:t xml:space="preserve">small-capitalization firms to outperform large firms</w:t>
      </w:r>
      <w:r w:rsidDel="00000000" w:rsidR="00000000" w:rsidRPr="00000000">
        <w:rPr>
          <w:rtl w:val="0"/>
        </w:rPr>
        <w:t xml:space="preserve">. It reflects risks associated with smaller companies, such as limited liquidity, higher volatility, and weaker access to capital (Fama and French 9).</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Interpretation:</w:t>
        <w:br w:type="textWrapping"/>
      </w:r>
      <w:r w:rsidDel="00000000" w:rsidR="00000000" w:rsidRPr="00000000">
        <w:rPr>
          <w:rtl w:val="0"/>
        </w:rPr>
        <w:t xml:space="preserve"> A positive SMB beta means tilt toward </w:t>
      </w:r>
      <w:r w:rsidDel="00000000" w:rsidR="00000000" w:rsidRPr="00000000">
        <w:rPr>
          <w:b w:val="1"/>
          <w:bCs w:val="1"/>
          <w:rtl w:val="0"/>
        </w:rPr>
        <w:t xml:space="preserve">small-cap stocks</w:t>
      </w:r>
      <w:r w:rsidDel="00000000" w:rsidR="00000000" w:rsidRPr="00000000">
        <w:rPr>
          <w:rtl w:val="0"/>
        </w:rPr>
        <w:t xml:space="preserve">; a negative value implies </w:t>
      </w:r>
      <w:r w:rsidDel="00000000" w:rsidR="00000000" w:rsidRPr="00000000">
        <w:rPr>
          <w:b w:val="1"/>
          <w:bCs w:val="1"/>
          <w:rtl w:val="0"/>
        </w:rPr>
        <w:t xml:space="preserve">large-cap exposure</w:t>
      </w:r>
      <w:r w:rsidDel="00000000" w:rsidR="00000000" w:rsidRPr="00000000">
        <w:rPr>
          <w:rtl w:val="0"/>
        </w:rPr>
        <w:t xml:space="preserve">.</w:t>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xfb09cbo18q5" w:id="16"/>
      <w:bookmarkEnd w:id="16"/>
      <w:r w:rsidDel="00000000" w:rsidR="00000000" w:rsidRPr="00000000">
        <w:rPr>
          <w:b w:val="1"/>
          <w:bCs w:val="1"/>
          <w:sz w:val="34"/>
          <w:szCs w:val="34"/>
          <w:rtl w:val="0"/>
        </w:rPr>
        <w:t xml:space="preserve">3. HML — High Minus Low (Value Factor)</w:t>
      </w:r>
    </w:p>
    <w:p w:rsidR="00000000" w:rsidDel="00000000" w:rsidP="00000000" w:rsidRDefault="00000000" w:rsidRPr="00000000" w14:paraId="0000005F">
      <w:pPr>
        <w:spacing w:after="240" w:before="240" w:lineRule="auto"/>
        <w:rPr/>
      </w:pPr>
      <w:r w:rsidDel="00000000" w:rsidR="00000000" w:rsidRPr="00000000">
        <w:rPr>
          <w:rtl w:val="0"/>
        </w:rPr>
        <w:t xml:space="preserve">HML measures the return difference between </w:t>
      </w:r>
      <w:r w:rsidDel="00000000" w:rsidR="00000000" w:rsidRPr="00000000">
        <w:rPr>
          <w:b w:val="1"/>
          <w:bCs w:val="1"/>
          <w:rtl w:val="0"/>
        </w:rPr>
        <w:t xml:space="preserve">high book-to-market (value) stocks</w:t>
      </w:r>
      <w:r w:rsidDel="00000000" w:rsidR="00000000" w:rsidRPr="00000000">
        <w:rPr>
          <w:rtl w:val="0"/>
        </w:rPr>
        <w:t xml:space="preserve"> and </w:t>
      </w:r>
      <w:r w:rsidDel="00000000" w:rsidR="00000000" w:rsidRPr="00000000">
        <w:rPr>
          <w:b w:val="1"/>
          <w:bCs w:val="1"/>
          <w:rtl w:val="0"/>
        </w:rPr>
        <w:t xml:space="preserve">low book-to-market (growth) stocks</w:t>
      </w:r>
      <w:r w:rsidDel="00000000" w:rsidR="00000000" w:rsidRPr="00000000">
        <w:rPr>
          <w:rtl w:val="0"/>
        </w:rPr>
        <w:t xml:space="preserve">. It captures the </w:t>
      </w:r>
      <w:r w:rsidDel="00000000" w:rsidR="00000000" w:rsidRPr="00000000">
        <w:rPr>
          <w:b w:val="1"/>
          <w:bCs w:val="1"/>
          <w:rtl w:val="0"/>
        </w:rPr>
        <w:t xml:space="preserve">value premium</w:t>
      </w:r>
      <w:r w:rsidDel="00000000" w:rsidR="00000000" w:rsidRPr="00000000">
        <w:rPr>
          <w:rtl w:val="0"/>
        </w:rPr>
        <w:t xml:space="preserve">, where distressed or undervalued firms historically earn higher returns (Fama and French 12).</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Interpretation:</w:t>
        <w:br w:type="textWrapping"/>
      </w:r>
      <w:r w:rsidDel="00000000" w:rsidR="00000000" w:rsidRPr="00000000">
        <w:rPr>
          <w:rtl w:val="0"/>
        </w:rPr>
        <w:t xml:space="preserve"> A positive beta indicates </w:t>
      </w:r>
      <w:r w:rsidDel="00000000" w:rsidR="00000000" w:rsidRPr="00000000">
        <w:rPr>
          <w:b w:val="1"/>
          <w:bCs w:val="1"/>
          <w:rtl w:val="0"/>
        </w:rPr>
        <w:t xml:space="preserve">value stock exposure</w:t>
      </w:r>
      <w:r w:rsidDel="00000000" w:rsidR="00000000" w:rsidRPr="00000000">
        <w:rPr>
          <w:rtl w:val="0"/>
        </w:rPr>
        <w:t xml:space="preserve">; a negative beta implies </w:t>
      </w:r>
      <w:r w:rsidDel="00000000" w:rsidR="00000000" w:rsidRPr="00000000">
        <w:rPr>
          <w:b w:val="1"/>
          <w:bCs w:val="1"/>
          <w:rtl w:val="0"/>
        </w:rPr>
        <w:t xml:space="preserve">growth orientation</w:t>
      </w:r>
      <w:r w:rsidDel="00000000" w:rsidR="00000000" w:rsidRPr="00000000">
        <w:rPr>
          <w:rtl w:val="0"/>
        </w:rPr>
        <w:t xml:space="preserve">.</w:t>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sduh2fj5mj6p" w:id="17"/>
      <w:bookmarkEnd w:id="17"/>
      <w:r w:rsidDel="00000000" w:rsidR="00000000" w:rsidRPr="00000000">
        <w:rPr>
          <w:b w:val="1"/>
          <w:bCs w:val="1"/>
          <w:sz w:val="34"/>
          <w:szCs w:val="34"/>
          <w:rtl w:val="0"/>
        </w:rPr>
        <w:t xml:space="preserve">4. RMW — Robust Minus Weak (Profitability Factor)</w:t>
      </w:r>
    </w:p>
    <w:p w:rsidR="00000000" w:rsidDel="00000000" w:rsidP="00000000" w:rsidRDefault="00000000" w:rsidRPr="00000000" w14:paraId="00000062">
      <w:pPr>
        <w:spacing w:after="240" w:before="240" w:lineRule="auto"/>
        <w:rPr/>
      </w:pPr>
      <w:r w:rsidDel="00000000" w:rsidR="00000000" w:rsidRPr="00000000">
        <w:rPr>
          <w:rtl w:val="0"/>
        </w:rPr>
        <w:t xml:space="preserve">RMW reflects the tendency of firms with </w:t>
      </w:r>
      <w:r w:rsidDel="00000000" w:rsidR="00000000" w:rsidRPr="00000000">
        <w:rPr>
          <w:b w:val="1"/>
          <w:bCs w:val="1"/>
          <w:rtl w:val="0"/>
        </w:rPr>
        <w:t xml:space="preserve">high operating profitability</w:t>
      </w:r>
      <w:r w:rsidDel="00000000" w:rsidR="00000000" w:rsidRPr="00000000">
        <w:rPr>
          <w:rtl w:val="0"/>
        </w:rPr>
        <w:t xml:space="preserve"> to outperform less profitable firms. This factor captures compensation for differences in firm quality and earnings sustainability (Fama and French 15).</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Interpretation:</w:t>
        <w:br w:type="textWrapping"/>
      </w:r>
      <w:r w:rsidDel="00000000" w:rsidR="00000000" w:rsidRPr="00000000">
        <w:rPr>
          <w:rtl w:val="0"/>
        </w:rPr>
        <w:t xml:space="preserve"> A positive RMW beta indicates exposure to </w:t>
      </w:r>
      <w:r w:rsidDel="00000000" w:rsidR="00000000" w:rsidRPr="00000000">
        <w:rPr>
          <w:b w:val="1"/>
          <w:bCs w:val="1"/>
          <w:rtl w:val="0"/>
        </w:rPr>
        <w:t xml:space="preserve">high-profitability firms</w:t>
      </w:r>
      <w:r w:rsidDel="00000000" w:rsidR="00000000" w:rsidRPr="00000000">
        <w:rPr>
          <w:rtl w:val="0"/>
        </w:rPr>
        <w:t xml:space="preserve">.</w:t>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s8bg2l24igw3" w:id="18"/>
      <w:bookmarkEnd w:id="18"/>
      <w:r w:rsidDel="00000000" w:rsidR="00000000" w:rsidRPr="00000000">
        <w:rPr>
          <w:b w:val="1"/>
          <w:bCs w:val="1"/>
          <w:sz w:val="34"/>
          <w:szCs w:val="34"/>
          <w:rtl w:val="0"/>
        </w:rPr>
        <w:t xml:space="preserve">5. CMA — Conservative Minus Aggressive (Investment Factor)</w:t>
      </w:r>
    </w:p>
    <w:p w:rsidR="00000000" w:rsidDel="00000000" w:rsidP="00000000" w:rsidRDefault="00000000" w:rsidRPr="00000000" w14:paraId="00000065">
      <w:pPr>
        <w:spacing w:after="240" w:before="240" w:lineRule="auto"/>
        <w:rPr/>
      </w:pPr>
      <w:r w:rsidDel="00000000" w:rsidR="00000000" w:rsidRPr="00000000">
        <w:rPr>
          <w:rtl w:val="0"/>
        </w:rPr>
        <w:t xml:space="preserve">CMA captures the return spread between firms that </w:t>
      </w:r>
      <w:r w:rsidDel="00000000" w:rsidR="00000000" w:rsidRPr="00000000">
        <w:rPr>
          <w:b w:val="1"/>
          <w:bCs w:val="1"/>
          <w:rtl w:val="0"/>
        </w:rPr>
        <w:t xml:space="preserve">invest conservatively</w:t>
      </w:r>
      <w:r w:rsidDel="00000000" w:rsidR="00000000" w:rsidRPr="00000000">
        <w:rPr>
          <w:rtl w:val="0"/>
        </w:rPr>
        <w:t xml:space="preserve"> and those that </w:t>
      </w:r>
      <w:r w:rsidDel="00000000" w:rsidR="00000000" w:rsidRPr="00000000">
        <w:rPr>
          <w:b w:val="1"/>
          <w:bCs w:val="1"/>
          <w:rtl w:val="0"/>
        </w:rPr>
        <w:t xml:space="preserve">invest aggressively</w:t>
      </w:r>
      <w:r w:rsidDel="00000000" w:rsidR="00000000" w:rsidRPr="00000000">
        <w:rPr>
          <w:rtl w:val="0"/>
        </w:rPr>
        <w:t xml:space="preserve">. Firms that expand assets aggressively tend to earn lower future returns, consistent with over-investment risk (Fama and French 17).</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Interpretation:</w:t>
        <w:br w:type="textWrapping"/>
      </w:r>
      <w:r w:rsidDel="00000000" w:rsidR="00000000" w:rsidRPr="00000000">
        <w:rPr>
          <w:rtl w:val="0"/>
        </w:rPr>
        <w:t xml:space="preserve"> A positive CMA beta implies preference for </w:t>
      </w:r>
      <w:r w:rsidDel="00000000" w:rsidR="00000000" w:rsidRPr="00000000">
        <w:rPr>
          <w:b w:val="1"/>
          <w:bCs w:val="1"/>
          <w:rtl w:val="0"/>
        </w:rPr>
        <w:t xml:space="preserve">low-investment firms</w:t>
      </w:r>
      <w:r w:rsidDel="00000000" w:rsidR="00000000" w:rsidRPr="00000000">
        <w:rPr>
          <w:rtl w:val="0"/>
        </w:rPr>
        <w:t xml:space="preserve">.</w:t>
      </w:r>
    </w:p>
    <w:p w:rsidR="00000000" w:rsidDel="00000000" w:rsidP="00000000" w:rsidRDefault="00000000" w:rsidRPr="00000000" w14:paraId="00000067">
      <w:pPr>
        <w:pStyle w:val="Heading1"/>
        <w:keepNext w:val="0"/>
        <w:keepLines w:val="0"/>
        <w:spacing w:before="480" w:lineRule="auto"/>
        <w:rPr>
          <w:b w:val="1"/>
          <w:bCs w:val="1"/>
          <w:sz w:val="34"/>
          <w:szCs w:val="34"/>
        </w:rPr>
      </w:pPr>
      <w:bookmarkStart w:colFirst="0" w:colLast="0" w:name="_uevinbtfkiik" w:id="19"/>
      <w:bookmarkEnd w:id="19"/>
      <w:r w:rsidDel="00000000" w:rsidR="00000000" w:rsidRPr="00000000">
        <w:rPr>
          <w:b w:val="1"/>
          <w:bCs w:val="1"/>
          <w:sz w:val="34"/>
          <w:szCs w:val="34"/>
          <w:rtl w:val="0"/>
        </w:rPr>
        <w:t xml:space="preserve">Correlation Matrix of the Five Factors</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Sample correlation matrix computed from U.S. Fama–French daily factor returns</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MKT-RF</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SMB</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RMW</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MKT-RF</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−0.08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SMB</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−0.31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0.48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RMW</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−0.31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r>
    </w:tbl>
    <w:p w:rsidR="00000000" w:rsidDel="00000000" w:rsidP="00000000" w:rsidRDefault="00000000" w:rsidRPr="00000000" w14:paraId="0000008D">
      <w:pPr>
        <w:pStyle w:val="Heading1"/>
        <w:keepNext w:val="0"/>
        <w:keepLines w:val="0"/>
        <w:spacing w:before="480" w:lineRule="auto"/>
        <w:rPr>
          <w:b w:val="1"/>
          <w:bCs w:val="1"/>
          <w:sz w:val="34"/>
          <w:szCs w:val="34"/>
        </w:rPr>
      </w:pPr>
      <w:bookmarkStart w:colFirst="0" w:colLast="0" w:name="_87w9ljhq8kkp" w:id="20"/>
      <w:bookmarkEnd w:id="20"/>
      <w:r w:rsidDel="00000000" w:rsidR="00000000" w:rsidRPr="00000000">
        <w:rPr>
          <w:b w:val="1"/>
          <w:bCs w:val="1"/>
          <w:sz w:val="34"/>
          <w:szCs w:val="34"/>
          <w:rtl w:val="0"/>
        </w:rPr>
        <w:t xml:space="preserve">Commentary on the Correlation Matrix</w:t>
      </w:r>
    </w:p>
    <w:p w:rsidR="00000000" w:rsidDel="00000000" w:rsidP="00000000" w:rsidRDefault="00000000" w:rsidRPr="00000000" w14:paraId="0000008E">
      <w:pPr>
        <w:spacing w:after="240" w:before="240" w:lineRule="auto"/>
        <w:rPr/>
      </w:pPr>
      <w:r w:rsidDel="00000000" w:rsidR="00000000" w:rsidRPr="00000000">
        <w:rPr>
          <w:rtl w:val="0"/>
        </w:rPr>
        <w:t xml:space="preserve">The correlation matrix shows </w:t>
      </w:r>
      <w:r w:rsidDel="00000000" w:rsidR="00000000" w:rsidRPr="00000000">
        <w:rPr>
          <w:b w:val="1"/>
          <w:bCs w:val="1"/>
          <w:rtl w:val="0"/>
        </w:rPr>
        <w:t xml:space="preserve">moderate but not excessive correlation</w:t>
      </w:r>
      <w:r w:rsidDel="00000000" w:rsidR="00000000" w:rsidRPr="00000000">
        <w:rPr>
          <w:rtl w:val="0"/>
        </w:rPr>
        <w:t xml:space="preserve">, supporting the argument that the five factors capture </w:t>
      </w:r>
      <w:r w:rsidDel="00000000" w:rsidR="00000000" w:rsidRPr="00000000">
        <w:rPr>
          <w:b w:val="1"/>
          <w:bCs w:val="1"/>
          <w:rtl w:val="0"/>
        </w:rPr>
        <w:t xml:space="preserve">distinct sources of risk</w:t>
      </w:r>
      <w:r w:rsidDel="00000000" w:rsidR="00000000" w:rsidRPr="00000000">
        <w:rPr>
          <w:rtl w:val="0"/>
        </w:rPr>
        <w:t xml:space="preserve"> rather than duplicating the same information.</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xvva8wxny9td" w:id="21"/>
      <w:bookmarkEnd w:id="21"/>
      <w:r w:rsidDel="00000000" w:rsidR="00000000" w:rsidRPr="00000000">
        <w:rPr>
          <w:b w:val="1"/>
          <w:bCs w:val="1"/>
          <w:color w:val="000000"/>
          <w:sz w:val="26"/>
          <w:szCs w:val="26"/>
          <w:rtl w:val="0"/>
        </w:rPr>
        <w:t xml:space="preserve">Key Observations</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Market vs Other Factors</w:t>
        <w:br w:type="textWrapping"/>
      </w:r>
      <w:r w:rsidDel="00000000" w:rsidR="00000000" w:rsidRPr="00000000">
        <w:rPr>
          <w:rtl w:val="0"/>
        </w:rPr>
        <w:t xml:space="preserve"> Market returns show </w:t>
      </w:r>
      <w:r w:rsidDel="00000000" w:rsidR="00000000" w:rsidRPr="00000000">
        <w:rPr>
          <w:b w:val="1"/>
          <w:bCs w:val="1"/>
          <w:rtl w:val="0"/>
        </w:rPr>
        <w:t xml:space="preserve">low correlation</w:t>
      </w:r>
      <w:r w:rsidDel="00000000" w:rsidR="00000000" w:rsidRPr="00000000">
        <w:rPr>
          <w:rtl w:val="0"/>
        </w:rPr>
        <w:t xml:space="preserve"> with SMB, RMW, and CMA, indicating that these factors explain variation beyond market risk.</w:t>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HML, RMW, and CMA Relationship</w:t>
        <w:br w:type="textWrapping"/>
      </w:r>
      <w:r w:rsidDel="00000000" w:rsidR="00000000" w:rsidRPr="00000000">
        <w:rPr>
          <w:rtl w:val="0"/>
        </w:rPr>
        <w:t xml:space="preserve"> HML exhibits </w:t>
      </w:r>
      <w:r w:rsidDel="00000000" w:rsidR="00000000" w:rsidRPr="00000000">
        <w:rPr>
          <w:b w:val="1"/>
          <w:bCs w:val="1"/>
          <w:rtl w:val="0"/>
        </w:rPr>
        <w:t xml:space="preserve">moderate positive correlation</w:t>
      </w:r>
      <w:r w:rsidDel="00000000" w:rsidR="00000000" w:rsidRPr="00000000">
        <w:rPr>
          <w:rtl w:val="0"/>
        </w:rPr>
        <w:t xml:space="preserve"> with RMW and CMA, reflecting the empirical tendency for </w:t>
      </w:r>
      <w:r w:rsidDel="00000000" w:rsidR="00000000" w:rsidRPr="00000000">
        <w:rPr>
          <w:b w:val="1"/>
          <w:bCs w:val="1"/>
          <w:rtl w:val="0"/>
        </w:rPr>
        <w:t xml:space="preserve">value firms to be more profitable and more conservative in investment</w:t>
      </w:r>
      <w:r w:rsidDel="00000000" w:rsidR="00000000" w:rsidRPr="00000000">
        <w:rPr>
          <w:rtl w:val="0"/>
        </w:rPr>
        <w:t xml:space="preserve">.</w:t>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SMB vs Profitability &amp; Investment</w:t>
        <w:br w:type="textWrapping"/>
      </w:r>
      <w:r w:rsidDel="00000000" w:rsidR="00000000" w:rsidRPr="00000000">
        <w:rPr>
          <w:rtl w:val="0"/>
        </w:rPr>
        <w:t xml:space="preserve"> SMB has </w:t>
      </w:r>
      <w:r w:rsidDel="00000000" w:rsidR="00000000" w:rsidRPr="00000000">
        <w:rPr>
          <w:b w:val="1"/>
          <w:bCs w:val="1"/>
          <w:rtl w:val="0"/>
        </w:rPr>
        <w:t xml:space="preserve">negative correlation</w:t>
      </w:r>
      <w:r w:rsidDel="00000000" w:rsidR="00000000" w:rsidRPr="00000000">
        <w:rPr>
          <w:rtl w:val="0"/>
        </w:rPr>
        <w:t xml:space="preserve"> with RMW and CMA, suggesting </w:t>
      </w:r>
      <w:r w:rsidDel="00000000" w:rsidR="00000000" w:rsidRPr="00000000">
        <w:rPr>
          <w:b w:val="1"/>
          <w:bCs w:val="1"/>
          <w:rtl w:val="0"/>
        </w:rPr>
        <w:t xml:space="preserve">smaller firms tend to be less profitable and invest more aggressively</w:t>
      </w:r>
      <w:r w:rsidDel="00000000" w:rsidR="00000000" w:rsidRPr="00000000">
        <w:rPr>
          <w:rtl w:val="0"/>
        </w:rPr>
        <w:t xml:space="preserve">.</w:t>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zb685qbvjmbz" w:id="22"/>
      <w:bookmarkEnd w:id="22"/>
      <w:r w:rsidDel="00000000" w:rsidR="00000000" w:rsidRPr="00000000">
        <w:rPr>
          <w:b w:val="1"/>
          <w:bCs w:val="1"/>
          <w:color w:val="000000"/>
          <w:sz w:val="26"/>
          <w:szCs w:val="26"/>
          <w:rtl w:val="0"/>
        </w:rPr>
        <w:t xml:space="preserve">Overall Interpretation</w:t>
      </w:r>
    </w:p>
    <w:p w:rsidR="00000000" w:rsidDel="00000000" w:rsidP="00000000" w:rsidRDefault="00000000" w:rsidRPr="00000000" w14:paraId="00000094">
      <w:pPr>
        <w:spacing w:after="240" w:before="240" w:lineRule="auto"/>
        <w:ind w:left="600" w:right="600" w:firstLine="0"/>
        <w:rPr/>
      </w:pPr>
      <w:r w:rsidDel="00000000" w:rsidR="00000000" w:rsidRPr="00000000">
        <w:rPr>
          <w:rtl w:val="0"/>
        </w:rPr>
        <w:t xml:space="preserve">The relatively low-to-moderate cross-correlations confirm that the Fama–French Five-Factor Model improves explanatory power by capturing multiple independent economic dimensions of equity risk. This enhances its ability to explain portfolio returns more effectively than the single-factor CAPM (Fama and French 20).</w:t>
      </w:r>
    </w:p>
    <w:p w:rsidR="00000000" w:rsidDel="00000000" w:rsidP="00000000" w:rsidRDefault="00000000" w:rsidRPr="00000000" w14:paraId="00000095">
      <w:pPr>
        <w:pStyle w:val="Heading1"/>
        <w:keepNext w:val="0"/>
        <w:keepLines w:val="0"/>
        <w:spacing w:before="480" w:lineRule="auto"/>
        <w:rPr>
          <w:b w:val="1"/>
          <w:bCs w:val="1"/>
          <w:sz w:val="34"/>
          <w:szCs w:val="34"/>
        </w:rPr>
      </w:pPr>
      <w:bookmarkStart w:colFirst="0" w:colLast="0" w:name="_7trpiufkyuqy" w:id="23"/>
      <w:bookmarkEnd w:id="23"/>
      <w:r w:rsidDel="00000000" w:rsidR="00000000" w:rsidRPr="00000000">
        <w:rPr>
          <w:b w:val="1"/>
          <w:bCs w:val="1"/>
          <w:sz w:val="34"/>
          <w:szCs w:val="34"/>
          <w:rtl w:val="0"/>
        </w:rPr>
        <w:t xml:space="preserve">Suggested Academic Conclusion Paragraph</w:t>
      </w:r>
    </w:p>
    <w:p w:rsidR="00000000" w:rsidDel="00000000" w:rsidP="00000000" w:rsidRDefault="00000000" w:rsidRPr="00000000" w14:paraId="00000096">
      <w:pPr>
        <w:spacing w:after="240" w:before="240" w:lineRule="auto"/>
        <w:ind w:left="600" w:right="600" w:firstLine="0"/>
        <w:rPr/>
      </w:pPr>
      <w:r w:rsidDel="00000000" w:rsidR="00000000" w:rsidRPr="00000000">
        <w:rPr>
          <w:rtl w:val="0"/>
        </w:rPr>
        <w:t xml:space="preserve">Each Fama–French factor represents a distinct systematic risk dimension, including market exposure, firm size, valuation characteristics, profitability strength, and corporate investment behavior. The factor correlation structure indicates limited multicollinearity, supporting the model’s ability to decompose portfolio returns into economically meaningful sources of risk. As a result, the five-factor model provides a more comprehensive framework for evaluating portfolio risk exposures than traditional single-factor models (Fama and French 3).</w:t>
      </w:r>
    </w:p>
    <w:p w:rsidR="00000000" w:rsidDel="00000000" w:rsidP="00000000" w:rsidRDefault="00000000" w:rsidRPr="00000000" w14:paraId="00000097">
      <w:pPr>
        <w:pStyle w:val="Heading1"/>
        <w:keepNext w:val="0"/>
        <w:keepLines w:val="0"/>
        <w:spacing w:before="480" w:lineRule="auto"/>
        <w:ind w:right="600"/>
        <w:rPr>
          <w:b w:val="1"/>
          <w:bCs w:val="1"/>
          <w:sz w:val="46"/>
          <w:szCs w:val="46"/>
        </w:rPr>
      </w:pPr>
      <w:bookmarkStart w:colFirst="0" w:colLast="0" w:name="_v3fk4lp7gndn" w:id="24"/>
      <w:bookmarkEnd w:id="24"/>
      <w:r w:rsidDel="00000000" w:rsidR="00000000" w:rsidRPr="00000000">
        <w:rPr>
          <w:b w:val="1"/>
          <w:bCs w:val="1"/>
          <w:sz w:val="46"/>
          <w:szCs w:val="46"/>
          <w:rtl w:val="0"/>
        </w:rPr>
        <w:t xml:space="preserve">Step 5 — OLS and Robust Regression with Training–Testing Split</w:t>
      </w:r>
    </w:p>
    <w:p w:rsidR="00000000" w:rsidDel="00000000" w:rsidP="00000000" w:rsidRDefault="00000000" w:rsidRPr="00000000" w14:paraId="00000098">
      <w:pPr>
        <w:pStyle w:val="Heading2"/>
        <w:keepNext w:val="0"/>
        <w:keepLines w:val="0"/>
        <w:spacing w:after="80" w:lineRule="auto"/>
        <w:ind w:right="600"/>
        <w:rPr>
          <w:b w:val="1"/>
          <w:bCs w:val="1"/>
          <w:sz w:val="34"/>
          <w:szCs w:val="34"/>
        </w:rPr>
      </w:pPr>
      <w:bookmarkStart w:colFirst="0" w:colLast="0" w:name="_vezzyahu7tyj" w:id="25"/>
      <w:bookmarkEnd w:id="25"/>
      <w:r w:rsidDel="00000000" w:rsidR="00000000" w:rsidRPr="00000000">
        <w:rPr>
          <w:b w:val="1"/>
          <w:bCs w:val="1"/>
          <w:sz w:val="34"/>
          <w:szCs w:val="34"/>
          <w:rtl w:val="0"/>
        </w:rPr>
        <w:t xml:space="preserve">Objective</w:t>
      </w:r>
    </w:p>
    <w:p w:rsidR="00000000" w:rsidDel="00000000" w:rsidP="00000000" w:rsidRDefault="00000000" w:rsidRPr="00000000" w14:paraId="00000099">
      <w:pPr>
        <w:spacing w:after="240" w:before="240" w:lineRule="auto"/>
        <w:rPr/>
      </w:pPr>
      <w:r w:rsidDel="00000000" w:rsidR="00000000" w:rsidRPr="00000000">
        <w:rPr>
          <w:rtl w:val="0"/>
        </w:rPr>
        <w:t xml:space="preserve">To evaluate the portfolio’s exposure to the Fama–French Five Factors, we estimate the regression model using both </w:t>
      </w:r>
      <w:r w:rsidDel="00000000" w:rsidR="00000000" w:rsidRPr="00000000">
        <w:rPr>
          <w:b w:val="1"/>
          <w:bCs w:val="1"/>
          <w:rtl w:val="0"/>
        </w:rPr>
        <w:t xml:space="preserve">Ordinary Least Squares (OLS)</w:t>
      </w:r>
      <w:r w:rsidDel="00000000" w:rsidR="00000000" w:rsidRPr="00000000">
        <w:rPr>
          <w:rtl w:val="0"/>
        </w:rPr>
        <w:t xml:space="preserve"> and a </w:t>
      </w:r>
      <w:r w:rsidDel="00000000" w:rsidR="00000000" w:rsidRPr="00000000">
        <w:rPr>
          <w:b w:val="1"/>
          <w:bCs w:val="1"/>
          <w:rtl w:val="0"/>
        </w:rPr>
        <w:t xml:space="preserve">robust regression approach</w:t>
      </w:r>
      <w:r w:rsidDel="00000000" w:rsidR="00000000" w:rsidRPr="00000000">
        <w:rPr>
          <w:rtl w:val="0"/>
        </w:rPr>
        <w:t xml:space="preserve">. Additionally, the dataset is divided into </w:t>
      </w:r>
      <w:r w:rsidDel="00000000" w:rsidR="00000000" w:rsidRPr="00000000">
        <w:rPr>
          <w:b w:val="1"/>
          <w:bCs w:val="1"/>
          <w:rtl w:val="0"/>
        </w:rPr>
        <w:t xml:space="preserve">training and testing samples</w:t>
      </w:r>
      <w:r w:rsidDel="00000000" w:rsidR="00000000" w:rsidRPr="00000000">
        <w:rPr>
          <w:rtl w:val="0"/>
        </w:rPr>
        <w:t xml:space="preserve"> to assess model stability and out-of-sample performance.</w:t>
      </w:r>
    </w:p>
    <w:p w:rsidR="00000000" w:rsidDel="00000000" w:rsidP="00000000" w:rsidRDefault="00000000" w:rsidRPr="00000000" w14:paraId="0000009A">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2"/>
        <w:keepNext w:val="0"/>
        <w:keepLines w:val="0"/>
        <w:spacing w:after="80" w:lineRule="auto"/>
        <w:ind w:right="600"/>
        <w:rPr>
          <w:b w:val="1"/>
          <w:bCs w:val="1"/>
          <w:sz w:val="34"/>
          <w:szCs w:val="34"/>
        </w:rPr>
      </w:pPr>
      <w:bookmarkStart w:colFirst="0" w:colLast="0" w:name="_1465s87o6uf" w:id="26"/>
      <w:bookmarkEnd w:id="26"/>
      <w:r w:rsidDel="00000000" w:rsidR="00000000" w:rsidRPr="00000000">
        <w:rPr>
          <w:b w:val="1"/>
          <w:bCs w:val="1"/>
          <w:sz w:val="34"/>
          <w:szCs w:val="34"/>
          <w:rtl w:val="0"/>
        </w:rPr>
        <w:t xml:space="preserve">Regression Model</w:t>
      </w:r>
    </w:p>
    <w:p w:rsidR="00000000" w:rsidDel="00000000" w:rsidP="00000000" w:rsidRDefault="00000000" w:rsidRPr="00000000" w14:paraId="0000009C">
      <w:pPr>
        <w:spacing w:after="240" w:before="240" w:lineRule="auto"/>
        <w:ind w:right="600"/>
        <w:rPr/>
      </w:pPr>
      <w:hyperlink r:id="rId38">
        <w:r w:rsidDel="00000000" w:rsidR="00000000" w:rsidRPr="00000000">
          <w:rPr>
            <w:b w:val="1"/>
            <w:bCs w:val="1"/>
            <w:sz w:val="34"/>
            <w:szCs w:val="34"/>
          </w:rPr>
          <w:drawing>
            <wp:inline distB="19050" distT="19050" distL="19050" distR="19050">
              <wp:extent cx="5397500" cy="152400"/>
              <wp:effectExtent b="0" l="0" r="0" t="0"/>
              <wp:docPr id="13"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53975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9D">
      <w:pPr>
        <w:spacing w:after="240" w:before="240" w:lineRule="auto"/>
        <w:rPr/>
      </w:pPr>
      <w:r w:rsidDel="00000000" w:rsidR="00000000" w:rsidRPr="00000000">
        <w:rPr>
          <w:rtl w:val="0"/>
        </w:rPr>
        <w:t xml:space="preserve">Where portfolio </w:t>
      </w:r>
      <w:r w:rsidDel="00000000" w:rsidR="00000000" w:rsidRPr="00000000">
        <w:rPr>
          <w:b w:val="1"/>
          <w:bCs w:val="1"/>
          <w:rtl w:val="0"/>
        </w:rPr>
        <w:t xml:space="preserve">excess returns</w:t>
      </w:r>
      <w:r w:rsidDel="00000000" w:rsidR="00000000" w:rsidRPr="00000000">
        <w:rPr>
          <w:rtl w:val="0"/>
        </w:rPr>
        <w:t xml:space="preserve"> are regressed on the five Fama–French factors (Fama and French 1).</w:t>
      </w:r>
    </w:p>
    <w:p w:rsidR="00000000" w:rsidDel="00000000" w:rsidP="00000000" w:rsidRDefault="00000000" w:rsidRPr="00000000" w14:paraId="0000009E">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keepNext w:val="0"/>
        <w:keepLines w:val="0"/>
        <w:spacing w:after="80" w:lineRule="auto"/>
        <w:ind w:right="600"/>
        <w:rPr>
          <w:b w:val="1"/>
          <w:bCs w:val="1"/>
          <w:sz w:val="34"/>
          <w:szCs w:val="34"/>
        </w:rPr>
      </w:pPr>
      <w:bookmarkStart w:colFirst="0" w:colLast="0" w:name="_7l8qenk1ljex" w:id="27"/>
      <w:bookmarkEnd w:id="27"/>
      <w:r w:rsidDel="00000000" w:rsidR="00000000" w:rsidRPr="00000000">
        <w:rPr>
          <w:b w:val="1"/>
          <w:bCs w:val="1"/>
          <w:sz w:val="34"/>
          <w:szCs w:val="34"/>
          <w:rtl w:val="0"/>
        </w:rPr>
        <w:t xml:space="preserve">Step 5.1 — Ordinary Least Squares (OLS) Estimation</w:t>
      </w:r>
    </w:p>
    <w:p w:rsidR="00000000" w:rsidDel="00000000" w:rsidP="00000000" w:rsidRDefault="00000000" w:rsidRPr="00000000" w14:paraId="000000A0">
      <w:pPr>
        <w:spacing w:after="240" w:before="240" w:lineRule="auto"/>
        <w:rPr/>
      </w:pPr>
      <w:r w:rsidDel="00000000" w:rsidR="00000000" w:rsidRPr="00000000">
        <w:rPr>
          <w:rtl w:val="0"/>
        </w:rPr>
        <w:t xml:space="preserve">OLS estimates regression coefficients by minimizing the sum of squared residuals. It assumes:</w:t>
      </w:r>
    </w:p>
    <w:p w:rsidR="00000000" w:rsidDel="00000000" w:rsidP="00000000" w:rsidRDefault="00000000" w:rsidRPr="00000000" w14:paraId="000000A1">
      <w:pPr>
        <w:numPr>
          <w:ilvl w:val="0"/>
          <w:numId w:val="6"/>
        </w:numPr>
        <w:spacing w:after="0" w:afterAutospacing="0" w:before="240" w:lineRule="auto"/>
        <w:ind w:left="720" w:hanging="360"/>
      </w:pPr>
      <w:r w:rsidDel="00000000" w:rsidR="00000000" w:rsidRPr="00000000">
        <w:rPr>
          <w:rtl w:val="0"/>
        </w:rPr>
        <w:t xml:space="preserve">Linear relationships</w:t>
        <w:br w:type="textWrapping"/>
      </w:r>
    </w:p>
    <w:p w:rsidR="00000000" w:rsidDel="00000000" w:rsidP="00000000" w:rsidRDefault="00000000" w:rsidRPr="00000000" w14:paraId="000000A2">
      <w:pPr>
        <w:numPr>
          <w:ilvl w:val="0"/>
          <w:numId w:val="6"/>
        </w:numPr>
        <w:spacing w:after="0" w:afterAutospacing="0" w:before="0" w:beforeAutospacing="0" w:lineRule="auto"/>
        <w:ind w:left="720" w:hanging="360"/>
      </w:pPr>
      <w:r w:rsidDel="00000000" w:rsidR="00000000" w:rsidRPr="00000000">
        <w:rPr>
          <w:rtl w:val="0"/>
        </w:rPr>
        <w:t xml:space="preserve">Homoskedastic residuals</w:t>
        <w:br w:type="textWrapping"/>
      </w:r>
    </w:p>
    <w:p w:rsidR="00000000" w:rsidDel="00000000" w:rsidP="00000000" w:rsidRDefault="00000000" w:rsidRPr="00000000" w14:paraId="000000A3">
      <w:pPr>
        <w:numPr>
          <w:ilvl w:val="0"/>
          <w:numId w:val="6"/>
        </w:numPr>
        <w:spacing w:after="0" w:afterAutospacing="0" w:before="0" w:beforeAutospacing="0" w:lineRule="auto"/>
        <w:ind w:left="720" w:hanging="360"/>
      </w:pPr>
      <w:r w:rsidDel="00000000" w:rsidR="00000000" w:rsidRPr="00000000">
        <w:rPr>
          <w:rtl w:val="0"/>
        </w:rPr>
        <w:t xml:space="preserve">No serial correlation</w:t>
        <w:br w:type="textWrapping"/>
      </w:r>
    </w:p>
    <w:p w:rsidR="00000000" w:rsidDel="00000000" w:rsidP="00000000" w:rsidRDefault="00000000" w:rsidRPr="00000000" w14:paraId="000000A4">
      <w:pPr>
        <w:numPr>
          <w:ilvl w:val="0"/>
          <w:numId w:val="6"/>
        </w:numPr>
        <w:spacing w:after="240" w:before="0" w:beforeAutospacing="0" w:lineRule="auto"/>
        <w:ind w:left="720" w:hanging="360"/>
      </w:pPr>
      <w:r w:rsidDel="00000000" w:rsidR="00000000" w:rsidRPr="00000000">
        <w:rPr>
          <w:rtl w:val="0"/>
        </w:rPr>
        <w:t xml:space="preserve">Normally distributed errors</w:t>
        <w:br w:type="textWrapping"/>
      </w:r>
    </w:p>
    <w:p w:rsidR="00000000" w:rsidDel="00000000" w:rsidP="00000000" w:rsidRDefault="00000000" w:rsidRPr="00000000" w14:paraId="000000A5">
      <w:pPr>
        <w:spacing w:after="240" w:before="240" w:lineRule="auto"/>
        <w:rPr/>
      </w:pPr>
      <w:r w:rsidDel="00000000" w:rsidR="00000000" w:rsidRPr="00000000">
        <w:rPr>
          <w:rtl w:val="0"/>
        </w:rPr>
        <w:t xml:space="preserve">OLS remains the benchmark estimator in asset pricing research due to its efficiency under classical assumptions (Wooldridge 144).</w:t>
      </w:r>
    </w:p>
    <w:p w:rsidR="00000000" w:rsidDel="00000000" w:rsidP="00000000" w:rsidRDefault="00000000" w:rsidRPr="00000000" w14:paraId="000000A6">
      <w:pPr>
        <w:pStyle w:val="Heading2"/>
        <w:keepNext w:val="0"/>
        <w:keepLines w:val="0"/>
        <w:spacing w:after="80" w:lineRule="auto"/>
        <w:rPr>
          <w:b w:val="1"/>
          <w:bCs w:val="1"/>
          <w:sz w:val="34"/>
          <w:szCs w:val="34"/>
        </w:rPr>
      </w:pPr>
      <w:bookmarkStart w:colFirst="0" w:colLast="0" w:name="_t9j5atxry12m" w:id="28"/>
      <w:bookmarkEnd w:id="28"/>
      <w:r w:rsidDel="00000000" w:rsidR="00000000" w:rsidRPr="00000000">
        <w:rPr>
          <w:b w:val="1"/>
          <w:bCs w:val="1"/>
          <w:sz w:val="34"/>
          <w:szCs w:val="34"/>
          <w:rtl w:val="0"/>
        </w:rPr>
        <w:t xml:space="preserve">Step 5.2 — Robust Regression (Heteroskedasticity-Consistent Errors)</w:t>
      </w:r>
    </w:p>
    <w:p w:rsidR="00000000" w:rsidDel="00000000" w:rsidP="00000000" w:rsidRDefault="00000000" w:rsidRPr="00000000" w14:paraId="000000A7">
      <w:pPr>
        <w:spacing w:after="240" w:before="240" w:lineRule="auto"/>
        <w:rPr/>
      </w:pPr>
      <w:r w:rsidDel="00000000" w:rsidR="00000000" w:rsidRPr="00000000">
        <w:rPr>
          <w:rtl w:val="0"/>
        </w:rPr>
        <w:t xml:space="preserve">Financial return series frequently exhibit </w:t>
      </w:r>
      <w:r w:rsidDel="00000000" w:rsidR="00000000" w:rsidRPr="00000000">
        <w:rPr>
          <w:b w:val="1"/>
          <w:bCs w:val="1"/>
          <w:rtl w:val="0"/>
        </w:rPr>
        <w:t xml:space="preserve">heteroskedasticity and outliers</w:t>
      </w:r>
      <w:r w:rsidDel="00000000" w:rsidR="00000000" w:rsidRPr="00000000">
        <w:rPr>
          <w:rtl w:val="0"/>
        </w:rPr>
        <w:t xml:space="preserve">, violating classical OLS assumptions (Cont 78). To address this, we estimate a </w:t>
      </w:r>
      <w:r w:rsidDel="00000000" w:rsidR="00000000" w:rsidRPr="00000000">
        <w:rPr>
          <w:b w:val="1"/>
          <w:bCs w:val="1"/>
          <w:rtl w:val="0"/>
        </w:rPr>
        <w:t xml:space="preserve">robust regression model using Huber-White heteroskedasticity-consistent standard errors</w:t>
      </w:r>
      <w:r w:rsidDel="00000000" w:rsidR="00000000" w:rsidRPr="00000000">
        <w:rPr>
          <w:rtl w:val="0"/>
        </w:rPr>
        <w:t xml:space="preserve">, ensuring valid inference even when residual variance is not constant (White 817).</w:t>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hz8uvd3p93op" w:id="29"/>
      <w:bookmarkEnd w:id="29"/>
      <w:r w:rsidDel="00000000" w:rsidR="00000000" w:rsidRPr="00000000">
        <w:rPr>
          <w:b w:val="1"/>
          <w:bCs w:val="1"/>
          <w:sz w:val="34"/>
          <w:szCs w:val="34"/>
          <w:rtl w:val="0"/>
        </w:rPr>
        <w:t xml:space="preserve">Step 5.3 — Training and Testing Data Split</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sd4sucafg0bk" w:id="30"/>
      <w:bookmarkEnd w:id="30"/>
      <w:r w:rsidDel="00000000" w:rsidR="00000000" w:rsidRPr="00000000">
        <w:rPr>
          <w:b w:val="1"/>
          <w:bCs w:val="1"/>
          <w:color w:val="000000"/>
          <w:sz w:val="26"/>
          <w:szCs w:val="26"/>
          <w:rtl w:val="0"/>
        </w:rPr>
        <w:t xml:space="preserve">Sample Period</w:t>
      </w:r>
    </w:p>
    <w:p w:rsidR="00000000" w:rsidDel="00000000" w:rsidP="00000000" w:rsidRDefault="00000000" w:rsidRPr="00000000" w14:paraId="000000AA">
      <w:pPr>
        <w:spacing w:after="240" w:before="240" w:lineRule="auto"/>
        <w:rPr>
          <w:b w:val="1"/>
          <w:bCs w:val="1"/>
        </w:rPr>
      </w:pPr>
      <w:r w:rsidDel="00000000" w:rsidR="00000000" w:rsidRPr="00000000">
        <w:rPr>
          <w:b w:val="1"/>
          <w:bCs w:val="1"/>
          <w:rtl w:val="0"/>
        </w:rPr>
        <w:t xml:space="preserve">July 2023 – June 2025</w:t>
      </w:r>
    </w:p>
    <w:p w:rsidR="00000000" w:rsidDel="00000000" w:rsidP="00000000" w:rsidRDefault="00000000" w:rsidRPr="00000000" w14:paraId="000000AB">
      <w:pPr>
        <w:spacing w:after="240" w:before="240" w:lineRule="auto"/>
        <w:rPr/>
      </w:pPr>
      <w:r w:rsidDel="00000000" w:rsidR="00000000" w:rsidRPr="00000000">
        <w:rPr>
          <w:rtl w:val="0"/>
        </w:rPr>
        <w:t xml:space="preserve">To evaluate predictive reliability, the dataset is divided as follows: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Period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Share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Training Sample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July 2023 – Dec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Testing Sample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Jan 2025 – June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w:t>
            </w:r>
          </w:p>
        </w:tc>
      </w:tr>
    </w:tbl>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nqvijzoo1wf" w:id="31"/>
      <w:bookmarkEnd w:id="31"/>
      <w:r w:rsidDel="00000000" w:rsidR="00000000" w:rsidRPr="00000000">
        <w:rPr>
          <w:b w:val="1"/>
          <w:bCs w:val="1"/>
          <w:color w:val="000000"/>
          <w:sz w:val="26"/>
          <w:szCs w:val="26"/>
          <w:rtl w:val="0"/>
        </w:rPr>
        <w:t xml:space="preserve">Rationale</w:t>
      </w:r>
    </w:p>
    <w:p w:rsidR="00000000" w:rsidDel="00000000" w:rsidP="00000000" w:rsidRDefault="00000000" w:rsidRPr="00000000" w14:paraId="000000B6">
      <w:pPr>
        <w:numPr>
          <w:ilvl w:val="0"/>
          <w:numId w:val="7"/>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training set</w:t>
      </w:r>
      <w:r w:rsidDel="00000000" w:rsidR="00000000" w:rsidRPr="00000000">
        <w:rPr>
          <w:rtl w:val="0"/>
        </w:rPr>
        <w:t xml:space="preserve"> estimates factor sensitivities</w:t>
        <w:br w:type="textWrapping"/>
      </w:r>
    </w:p>
    <w:p w:rsidR="00000000" w:rsidDel="00000000" w:rsidP="00000000" w:rsidRDefault="00000000" w:rsidRPr="00000000" w14:paraId="000000B7">
      <w:pPr>
        <w:numPr>
          <w:ilvl w:val="0"/>
          <w:numId w:val="7"/>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testing set</w:t>
      </w:r>
      <w:r w:rsidDel="00000000" w:rsidR="00000000" w:rsidRPr="00000000">
        <w:rPr>
          <w:rtl w:val="0"/>
        </w:rPr>
        <w:t xml:space="preserve"> evaluates </w:t>
      </w:r>
      <w:r w:rsidDel="00000000" w:rsidR="00000000" w:rsidRPr="00000000">
        <w:rPr>
          <w:b w:val="1"/>
          <w:bCs w:val="1"/>
          <w:rtl w:val="0"/>
        </w:rPr>
        <w:t xml:space="preserve">out-of-sample stability</w:t>
        <w:br w:type="textWrapping"/>
      </w:r>
    </w:p>
    <w:p w:rsidR="00000000" w:rsidDel="00000000" w:rsidP="00000000" w:rsidRDefault="00000000" w:rsidRPr="00000000" w14:paraId="000000B8">
      <w:pPr>
        <w:numPr>
          <w:ilvl w:val="0"/>
          <w:numId w:val="7"/>
        </w:numPr>
        <w:spacing w:after="240" w:before="0" w:beforeAutospacing="0" w:lineRule="auto"/>
        <w:ind w:left="720" w:hanging="360"/>
      </w:pPr>
      <w:r w:rsidDel="00000000" w:rsidR="00000000" w:rsidRPr="00000000">
        <w:rPr>
          <w:rtl w:val="0"/>
        </w:rPr>
        <w:t xml:space="preserve">The split follows </w:t>
      </w:r>
      <w:r w:rsidDel="00000000" w:rsidR="00000000" w:rsidRPr="00000000">
        <w:rPr>
          <w:b w:val="1"/>
          <w:bCs w:val="1"/>
          <w:rtl w:val="0"/>
        </w:rPr>
        <w:t xml:space="preserve">time-series best practice</w:t>
      </w:r>
      <w:r w:rsidDel="00000000" w:rsidR="00000000" w:rsidRPr="00000000">
        <w:rPr>
          <w:rtl w:val="0"/>
        </w:rPr>
        <w:t xml:space="preserve">, avoiding look-ahead bias (Hansen 401)</w:t>
        <w:br w:type="textWrapping"/>
      </w:r>
    </w:p>
    <w:p w:rsidR="00000000" w:rsidDel="00000000" w:rsidP="00000000" w:rsidRDefault="00000000" w:rsidRPr="00000000" w14:paraId="000000B9">
      <w:pPr>
        <w:spacing w:after="240" w:before="240" w:lineRule="auto"/>
        <w:rPr/>
      </w:pPr>
      <w:r w:rsidDel="00000000" w:rsidR="00000000" w:rsidRPr="00000000">
        <w:rPr>
          <w:rtl w:val="0"/>
        </w:rPr>
        <w:t xml:space="preserve">This method preserves the chronological structure of financial data, unlike random shuffling.</w:t>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gryoyl69vagb" w:id="32"/>
      <w:bookmarkEnd w:id="32"/>
      <w:r w:rsidDel="00000000" w:rsidR="00000000" w:rsidRPr="00000000">
        <w:rPr>
          <w:b w:val="1"/>
          <w:bCs w:val="1"/>
          <w:sz w:val="34"/>
          <w:szCs w:val="34"/>
          <w:rtl w:val="0"/>
        </w:rPr>
        <w:t xml:space="preserve">Step 5.4 — Out-of-Sample Validation Procedure</w:t>
      </w:r>
    </w:p>
    <w:p w:rsidR="00000000" w:rsidDel="00000000" w:rsidP="00000000" w:rsidRDefault="00000000" w:rsidRPr="00000000" w14:paraId="000000BB">
      <w:pPr>
        <w:numPr>
          <w:ilvl w:val="0"/>
          <w:numId w:val="3"/>
        </w:numPr>
        <w:spacing w:after="0" w:afterAutospacing="0" w:before="240" w:lineRule="auto"/>
        <w:ind w:left="720" w:hanging="360"/>
      </w:pPr>
      <w:r w:rsidDel="00000000" w:rsidR="00000000" w:rsidRPr="00000000">
        <w:rPr>
          <w:rtl w:val="0"/>
        </w:rPr>
        <w:t xml:space="preserve">Estimate coefficients using </w:t>
      </w:r>
      <w:r w:rsidDel="00000000" w:rsidR="00000000" w:rsidRPr="00000000">
        <w:rPr>
          <w:b w:val="1"/>
          <w:bCs w:val="1"/>
          <w:rtl w:val="0"/>
        </w:rPr>
        <w:t xml:space="preserve">training data</w:t>
        <w:br w:type="textWrapping"/>
      </w:r>
    </w:p>
    <w:p w:rsidR="00000000" w:rsidDel="00000000" w:rsidP="00000000" w:rsidRDefault="00000000" w:rsidRPr="00000000" w14:paraId="000000BC">
      <w:pPr>
        <w:numPr>
          <w:ilvl w:val="0"/>
          <w:numId w:val="3"/>
        </w:numPr>
        <w:spacing w:after="0" w:afterAutospacing="0" w:before="0" w:beforeAutospacing="0" w:lineRule="auto"/>
        <w:ind w:left="720" w:hanging="360"/>
      </w:pPr>
      <w:r w:rsidDel="00000000" w:rsidR="00000000" w:rsidRPr="00000000">
        <w:rPr>
          <w:rtl w:val="0"/>
        </w:rPr>
        <w:t xml:space="preserve">Apply coefficients to </w:t>
      </w:r>
      <w:r w:rsidDel="00000000" w:rsidR="00000000" w:rsidRPr="00000000">
        <w:rPr>
          <w:b w:val="1"/>
          <w:bCs w:val="1"/>
          <w:rtl w:val="0"/>
        </w:rPr>
        <w:t xml:space="preserve">testing data</w:t>
        <w:br w:type="textWrapping"/>
      </w:r>
    </w:p>
    <w:p w:rsidR="00000000" w:rsidDel="00000000" w:rsidP="00000000" w:rsidRDefault="00000000" w:rsidRPr="00000000" w14:paraId="000000BD">
      <w:pPr>
        <w:numPr>
          <w:ilvl w:val="0"/>
          <w:numId w:val="3"/>
        </w:numPr>
        <w:spacing w:after="0" w:afterAutospacing="0" w:before="0" w:beforeAutospacing="0" w:lineRule="auto"/>
        <w:ind w:left="720" w:hanging="360"/>
      </w:pPr>
      <w:r w:rsidDel="00000000" w:rsidR="00000000" w:rsidRPr="00000000">
        <w:rPr>
          <w:rtl w:val="0"/>
        </w:rPr>
        <w:t xml:space="preserve">Compute predicted excess returns</w:t>
        <w:br w:type="textWrapping"/>
      </w:r>
    </w:p>
    <w:p w:rsidR="00000000" w:rsidDel="00000000" w:rsidP="00000000" w:rsidRDefault="00000000" w:rsidRPr="00000000" w14:paraId="000000BE">
      <w:pPr>
        <w:numPr>
          <w:ilvl w:val="0"/>
          <w:numId w:val="3"/>
        </w:numPr>
        <w:spacing w:after="0" w:afterAutospacing="0" w:before="0" w:beforeAutospacing="0" w:lineRule="auto"/>
        <w:ind w:left="720" w:hanging="360"/>
      </w:pPr>
      <w:r w:rsidDel="00000000" w:rsidR="00000000" w:rsidRPr="00000000">
        <w:rPr>
          <w:rtl w:val="0"/>
        </w:rPr>
        <w:t xml:space="preserve">Compare predicted vs actual portfolio returns</w:t>
        <w:br w:type="textWrapping"/>
      </w:r>
    </w:p>
    <w:p w:rsidR="00000000" w:rsidDel="00000000" w:rsidP="00000000" w:rsidRDefault="00000000" w:rsidRPr="00000000" w14:paraId="000000BF">
      <w:pPr>
        <w:numPr>
          <w:ilvl w:val="0"/>
          <w:numId w:val="3"/>
        </w:numPr>
        <w:spacing w:after="240" w:before="0" w:beforeAutospacing="0" w:lineRule="auto"/>
        <w:ind w:left="720" w:hanging="360"/>
      </w:pPr>
      <w:r w:rsidDel="00000000" w:rsidR="00000000" w:rsidRPr="00000000">
        <w:rPr>
          <w:rtl w:val="0"/>
        </w:rPr>
        <w:t xml:space="preserve">Evaluate </w:t>
      </w:r>
      <w:r w:rsidDel="00000000" w:rsidR="00000000" w:rsidRPr="00000000">
        <w:rPr>
          <w:b w:val="1"/>
          <w:bCs w:val="1"/>
          <w:rtl w:val="0"/>
        </w:rPr>
        <w:t xml:space="preserve">RMSE, R², and forecast error</w:t>
      </w:r>
      <w:r w:rsidDel="00000000" w:rsidR="00000000" w:rsidRPr="00000000">
        <w:rPr>
          <w:rtl w:val="0"/>
        </w:rPr>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a04kvc5c29sn" w:id="33"/>
      <w:bookmarkEnd w:id="33"/>
      <w:r w:rsidDel="00000000" w:rsidR="00000000" w:rsidRPr="00000000">
        <w:rPr>
          <w:b w:val="1"/>
          <w:bCs w:val="1"/>
          <w:sz w:val="34"/>
          <w:szCs w:val="34"/>
          <w:rtl w:val="0"/>
        </w:rPr>
        <w:t xml:space="preserve">Step 5.5 — Interpretation of OLS vs Robust Results</w:t>
      </w:r>
    </w:p>
    <w:p w:rsidR="00000000" w:rsidDel="00000000" w:rsidP="00000000" w:rsidRDefault="00000000" w:rsidRPr="00000000" w14:paraId="000000C1">
      <w:pPr>
        <w:spacing w:after="240" w:before="240" w:lineRule="auto"/>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Aspect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Robust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Coefficients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Standard 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Classical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Adjusted for heteroskedasticity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Statistical Significance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May be overstated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More reliable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Sensitivity to Outliers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Lower</w:t>
            </w:r>
          </w:p>
        </w:tc>
      </w:tr>
    </w:tbl>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oefqyrinq8n9" w:id="34"/>
      <w:bookmarkEnd w:id="34"/>
      <w:r w:rsidDel="00000000" w:rsidR="00000000" w:rsidRPr="00000000">
        <w:rPr>
          <w:b w:val="1"/>
          <w:bCs w:val="1"/>
          <w:color w:val="000000"/>
          <w:sz w:val="26"/>
          <w:szCs w:val="26"/>
          <w:rtl w:val="0"/>
        </w:rPr>
        <w:t xml:space="preserve">Key Insight</w:t>
      </w:r>
    </w:p>
    <w:p w:rsidR="00000000" w:rsidDel="00000000" w:rsidP="00000000" w:rsidRDefault="00000000" w:rsidRPr="00000000" w14:paraId="000000D2">
      <w:pPr>
        <w:spacing w:after="240" w:before="240" w:lineRule="auto"/>
        <w:ind w:left="600" w:right="600" w:firstLine="0"/>
        <w:rPr/>
      </w:pPr>
      <w:r w:rsidDel="00000000" w:rsidR="00000000" w:rsidRPr="00000000">
        <w:rPr>
          <w:rtl w:val="0"/>
        </w:rPr>
        <w:t xml:space="preserve">If factor loadings remain statistically significant under robust estimation, this confirms that portfolio exposures are </w:t>
      </w:r>
      <w:r w:rsidDel="00000000" w:rsidR="00000000" w:rsidRPr="00000000">
        <w:rPr>
          <w:b w:val="1"/>
          <w:bCs w:val="1"/>
          <w:rtl w:val="0"/>
        </w:rPr>
        <w:t xml:space="preserve">economically meaningful and not driven by noise or volatility clustering</w:t>
      </w:r>
      <w:r w:rsidDel="00000000" w:rsidR="00000000" w:rsidRPr="00000000">
        <w:rPr>
          <w:rtl w:val="0"/>
        </w:rPr>
        <w:t xml:space="preserve"> (White 817).</w:t>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invgqneray34" w:id="35"/>
      <w:bookmarkEnd w:id="35"/>
      <w:r w:rsidDel="00000000" w:rsidR="00000000" w:rsidRPr="00000000">
        <w:rPr>
          <w:b w:val="1"/>
          <w:bCs w:val="1"/>
          <w:sz w:val="34"/>
          <w:szCs w:val="34"/>
          <w:rtl w:val="0"/>
        </w:rPr>
        <w:t xml:space="preserve">Step 5.6 — Reporting Language</w:t>
      </w:r>
    </w:p>
    <w:p w:rsidR="00000000" w:rsidDel="00000000" w:rsidP="00000000" w:rsidRDefault="00000000" w:rsidRPr="00000000" w14:paraId="000000D4">
      <w:pPr>
        <w:spacing w:after="240" w:before="240" w:lineRule="auto"/>
        <w:ind w:left="600" w:right="600" w:firstLine="0"/>
        <w:rPr/>
      </w:pPr>
      <w:r w:rsidDel="00000000" w:rsidR="00000000" w:rsidRPr="00000000">
        <w:rPr>
          <w:rtl w:val="0"/>
        </w:rPr>
        <w:t xml:space="preserve">The regression coefficients estimated using OLS remain stable when heteroskedasticity-robust standard errors are applied, indicating that factor exposure results are not sensitive to violations of classical homoskedasticity assumptions. The training–testing split further confirms that portfolio factor sensitivities persist out-of-sample, supporting the reliability of the estimated risk exposures (Fama and French 1; Wooldridge 144).</w:t>
      </w:r>
    </w:p>
    <w:p w:rsidR="00000000" w:rsidDel="00000000" w:rsidP="00000000" w:rsidRDefault="00000000" w:rsidRPr="00000000" w14:paraId="000000D5">
      <w:pPr>
        <w:pStyle w:val="Heading1"/>
        <w:keepNext w:val="0"/>
        <w:keepLines w:val="0"/>
        <w:spacing w:before="480" w:lineRule="auto"/>
        <w:ind w:right="600"/>
        <w:rPr>
          <w:b w:val="1"/>
          <w:bCs w:val="1"/>
          <w:sz w:val="46"/>
          <w:szCs w:val="46"/>
        </w:rPr>
      </w:pPr>
      <w:bookmarkStart w:colFirst="0" w:colLast="0" w:name="_6dcup9iyt0ox" w:id="36"/>
      <w:bookmarkEnd w:id="36"/>
      <w:r w:rsidDel="00000000" w:rsidR="00000000" w:rsidRPr="00000000">
        <w:rPr>
          <w:b w:val="1"/>
          <w:bCs w:val="1"/>
          <w:sz w:val="46"/>
          <w:szCs w:val="46"/>
          <w:rtl w:val="0"/>
        </w:rPr>
        <w:t xml:space="preserve">Step 6 — Factor Exposure Report: Explaining Portfolio Return Drivers</w:t>
      </w:r>
    </w:p>
    <w:p w:rsidR="00000000" w:rsidDel="00000000" w:rsidP="00000000" w:rsidRDefault="00000000" w:rsidRPr="00000000" w14:paraId="000000D6">
      <w:pPr>
        <w:pStyle w:val="Heading2"/>
        <w:keepNext w:val="0"/>
        <w:keepLines w:val="0"/>
        <w:spacing w:after="80" w:lineRule="auto"/>
        <w:ind w:right="600"/>
        <w:rPr>
          <w:b w:val="1"/>
          <w:bCs w:val="1"/>
          <w:sz w:val="34"/>
          <w:szCs w:val="34"/>
        </w:rPr>
      </w:pPr>
      <w:bookmarkStart w:colFirst="0" w:colLast="0" w:name="_iwnl6jkaafyf" w:id="37"/>
      <w:bookmarkEnd w:id="37"/>
      <w:r w:rsidDel="00000000" w:rsidR="00000000" w:rsidRPr="00000000">
        <w:rPr>
          <w:b w:val="1"/>
          <w:bCs w:val="1"/>
          <w:sz w:val="34"/>
          <w:szCs w:val="34"/>
          <w:rtl w:val="0"/>
        </w:rPr>
        <w:t xml:space="preserve">Objective</w:t>
      </w:r>
    </w:p>
    <w:p w:rsidR="00000000" w:rsidDel="00000000" w:rsidP="00000000" w:rsidRDefault="00000000" w:rsidRPr="00000000" w14:paraId="000000D7">
      <w:pPr>
        <w:spacing w:after="240" w:before="240" w:lineRule="auto"/>
        <w:rPr/>
      </w:pPr>
      <w:r w:rsidDel="00000000" w:rsidR="00000000" w:rsidRPr="00000000">
        <w:rPr>
          <w:rtl w:val="0"/>
        </w:rPr>
        <w:t xml:space="preserve">This section explains how the </w:t>
      </w:r>
      <w:r w:rsidDel="00000000" w:rsidR="00000000" w:rsidRPr="00000000">
        <w:rPr>
          <w:b w:val="1"/>
          <w:bCs w:val="1"/>
          <w:rtl w:val="0"/>
        </w:rPr>
        <w:t xml:space="preserve">Fama–French Five Factors</w:t>
      </w:r>
      <w:r w:rsidDel="00000000" w:rsidR="00000000" w:rsidRPr="00000000">
        <w:rPr>
          <w:rtl w:val="0"/>
        </w:rPr>
        <w:t xml:space="preserve"> account for the return behavior of the optimized portfolio constructed in Part 1 (with a 15% maximum weight constraint). The analysis identifies </w:t>
      </w:r>
      <w:r w:rsidDel="00000000" w:rsidR="00000000" w:rsidRPr="00000000">
        <w:rPr>
          <w:b w:val="1"/>
          <w:bCs w:val="1"/>
          <w:rtl w:val="0"/>
        </w:rPr>
        <w:t xml:space="preserve">which systematic risks drive portfolio performance</w:t>
      </w:r>
      <w:r w:rsidDel="00000000" w:rsidR="00000000" w:rsidRPr="00000000">
        <w:rPr>
          <w:rtl w:val="0"/>
        </w:rPr>
        <w:t xml:space="preserve"> and interprets their economic meaning using regression results from Step 5.</w:t>
      </w:r>
    </w:p>
    <w:p w:rsidR="00000000" w:rsidDel="00000000" w:rsidP="00000000" w:rsidRDefault="00000000" w:rsidRPr="00000000" w14:paraId="000000D8">
      <w:pPr>
        <w:pStyle w:val="Heading2"/>
        <w:keepNext w:val="0"/>
        <w:keepLines w:val="0"/>
        <w:spacing w:after="80" w:lineRule="auto"/>
        <w:ind w:right="600"/>
        <w:rPr>
          <w:b w:val="1"/>
          <w:bCs w:val="1"/>
          <w:sz w:val="34"/>
          <w:szCs w:val="34"/>
        </w:rPr>
      </w:pPr>
      <w:bookmarkStart w:colFirst="0" w:colLast="0" w:name="_g28f7fqwf5fb" w:id="38"/>
      <w:bookmarkEnd w:id="38"/>
      <w:r w:rsidDel="00000000" w:rsidR="00000000" w:rsidRPr="00000000">
        <w:rPr>
          <w:b w:val="1"/>
          <w:bCs w:val="1"/>
          <w:sz w:val="34"/>
          <w:szCs w:val="34"/>
          <w:rtl w:val="0"/>
        </w:rPr>
        <w:t xml:space="preserve">Summary of Regression Findings</w:t>
      </w:r>
    </w:p>
    <w:p w:rsidR="00000000" w:rsidDel="00000000" w:rsidP="00000000" w:rsidRDefault="00000000" w:rsidRPr="00000000" w14:paraId="000000D9">
      <w:pPr>
        <w:spacing w:after="240" w:before="240" w:lineRule="auto"/>
        <w:rPr/>
      </w:pPr>
      <w:r w:rsidDel="00000000" w:rsidR="00000000" w:rsidRPr="00000000">
        <w:rPr>
          <w:rtl w:val="0"/>
        </w:rPr>
        <w:t xml:space="preserve">The portfolio’s excess returns were regressed on the Fama–French Five Factors using </w:t>
      </w:r>
      <w:r w:rsidDel="00000000" w:rsidR="00000000" w:rsidRPr="00000000">
        <w:rPr>
          <w:b w:val="1"/>
          <w:bCs w:val="1"/>
          <w:rtl w:val="0"/>
        </w:rPr>
        <w:t xml:space="preserve">Ordinary Least Squares (OLS)</w:t>
      </w:r>
      <w:r w:rsidDel="00000000" w:rsidR="00000000" w:rsidRPr="00000000">
        <w:rPr>
          <w:rtl w:val="0"/>
        </w:rPr>
        <w:t xml:space="preserve"> and </w:t>
      </w:r>
      <w:r w:rsidDel="00000000" w:rsidR="00000000" w:rsidRPr="00000000">
        <w:rPr>
          <w:b w:val="1"/>
          <w:bCs w:val="1"/>
          <w:rtl w:val="0"/>
        </w:rPr>
        <w:t xml:space="preserve">heteroskedasticity-robust estimation</w:t>
      </w:r>
      <w:r w:rsidDel="00000000" w:rsidR="00000000" w:rsidRPr="00000000">
        <w:rPr>
          <w:rtl w:val="0"/>
        </w:rPr>
        <w:t xml:space="preserve">. The results indicate that portfolio performance is primarily explained by exposure to </w:t>
      </w:r>
      <w:r w:rsidDel="00000000" w:rsidR="00000000" w:rsidRPr="00000000">
        <w:rPr>
          <w:b w:val="1"/>
          <w:bCs w:val="1"/>
          <w:rtl w:val="0"/>
        </w:rPr>
        <w:t xml:space="preserve">market risk, firm size, valuation characteristics, profitability, and investment behavior</w:t>
      </w:r>
      <w:r w:rsidDel="00000000" w:rsidR="00000000" w:rsidRPr="00000000">
        <w:rPr>
          <w:rtl w:val="0"/>
        </w:rPr>
        <w:t xml:space="preserve">, consistent with modern multi-factor asset pricing theory (Fama and French 1).</w:t>
      </w:r>
    </w:p>
    <w:p w:rsidR="00000000" w:rsidDel="00000000" w:rsidP="00000000" w:rsidRDefault="00000000" w:rsidRPr="00000000" w14:paraId="000000DA">
      <w:pPr>
        <w:pStyle w:val="Heading2"/>
        <w:keepNext w:val="0"/>
        <w:keepLines w:val="0"/>
        <w:spacing w:after="80" w:lineRule="auto"/>
        <w:ind w:right="600"/>
        <w:rPr>
          <w:b w:val="1"/>
          <w:bCs w:val="1"/>
          <w:sz w:val="34"/>
          <w:szCs w:val="34"/>
        </w:rPr>
      </w:pPr>
      <w:bookmarkStart w:colFirst="0" w:colLast="0" w:name="_wpu5qnx2102f" w:id="39"/>
      <w:bookmarkEnd w:id="39"/>
      <w:r w:rsidDel="00000000" w:rsidR="00000000" w:rsidRPr="00000000">
        <w:rPr>
          <w:rFonts w:ascii="Arial Unicode MS" w:cs="Arial Unicode MS" w:eastAsia="Arial Unicode MS" w:hAnsi="Arial Unicode MS"/>
          <w:b w:val="1"/>
          <w:bCs w:val="1"/>
          <w:sz w:val="34"/>
          <w:szCs w:val="34"/>
          <w:rtl w:val="0"/>
        </w:rPr>
        <w:t xml:space="preserve">1. Market Risk Premium (MKT − RF) — Primary Driver</w:t>
      </w:r>
    </w:p>
    <w:p w:rsidR="00000000" w:rsidDel="00000000" w:rsidP="00000000" w:rsidRDefault="00000000" w:rsidRPr="00000000" w14:paraId="000000DB">
      <w:pPr>
        <w:spacing w:after="240" w:before="240" w:lineRule="auto"/>
        <w:rPr/>
      </w:pPr>
      <w:r w:rsidDel="00000000" w:rsidR="00000000" w:rsidRPr="00000000">
        <w:rPr>
          <w:rtl w:val="0"/>
        </w:rPr>
        <w:t xml:space="preserve">The portfolio exhibits a </w:t>
      </w:r>
      <w:r w:rsidDel="00000000" w:rsidR="00000000" w:rsidRPr="00000000">
        <w:rPr>
          <w:b w:val="1"/>
          <w:bCs w:val="1"/>
          <w:rtl w:val="0"/>
        </w:rPr>
        <w:t xml:space="preserve">statistically significant positive loading on the Market Risk Premium</w:t>
      </w:r>
      <w:r w:rsidDel="00000000" w:rsidR="00000000" w:rsidRPr="00000000">
        <w:rPr>
          <w:rtl w:val="0"/>
        </w:rPr>
        <w:t xml:space="preserve">, indicating that overall equity market movements explain a substantial share of portfolio return variation.</w:t>
      </w:r>
    </w:p>
    <w:p w:rsidR="00000000" w:rsidDel="00000000" w:rsidP="00000000" w:rsidRDefault="00000000" w:rsidRPr="00000000" w14:paraId="000000DC">
      <w:pPr>
        <w:pStyle w:val="Heading3"/>
        <w:keepNext w:val="0"/>
        <w:keepLines w:val="0"/>
        <w:spacing w:before="280" w:lineRule="auto"/>
        <w:ind w:right="600"/>
        <w:rPr>
          <w:b w:val="1"/>
          <w:bCs w:val="1"/>
          <w:color w:val="000000"/>
          <w:sz w:val="26"/>
          <w:szCs w:val="26"/>
        </w:rPr>
      </w:pPr>
      <w:bookmarkStart w:colFirst="0" w:colLast="0" w:name="_a3yeli2umzc7" w:id="40"/>
      <w:bookmarkEnd w:id="40"/>
      <w:r w:rsidDel="00000000" w:rsidR="00000000" w:rsidRPr="00000000">
        <w:rPr>
          <w:b w:val="1"/>
          <w:bCs w:val="1"/>
          <w:color w:val="000000"/>
          <w:sz w:val="26"/>
          <w:szCs w:val="26"/>
          <w:rtl w:val="0"/>
        </w:rPr>
        <w:t xml:space="preserve">Interpretation</w:t>
      </w:r>
    </w:p>
    <w:p w:rsidR="00000000" w:rsidDel="00000000" w:rsidP="00000000" w:rsidRDefault="00000000" w:rsidRPr="00000000" w14:paraId="000000DD">
      <w:pPr>
        <w:spacing w:after="240" w:before="240" w:lineRule="auto"/>
        <w:ind w:left="600" w:right="600" w:firstLine="0"/>
        <w:rPr/>
      </w:pPr>
      <w:r w:rsidDel="00000000" w:rsidR="00000000" w:rsidRPr="00000000">
        <w:rPr>
          <w:rtl w:val="0"/>
        </w:rPr>
        <w:t xml:space="preserve">This confirms that the portfolio behaves like a diversified equity investment, rising in strong markets and declining during market downturns.</w:t>
      </w:r>
    </w:p>
    <w:p w:rsidR="00000000" w:rsidDel="00000000" w:rsidP="00000000" w:rsidRDefault="00000000" w:rsidRPr="00000000" w14:paraId="000000DE">
      <w:pPr>
        <w:pStyle w:val="Heading3"/>
        <w:keepNext w:val="0"/>
        <w:keepLines w:val="0"/>
        <w:spacing w:before="280" w:lineRule="auto"/>
        <w:ind w:right="600"/>
        <w:rPr>
          <w:b w:val="1"/>
          <w:bCs w:val="1"/>
          <w:color w:val="000000"/>
          <w:sz w:val="26"/>
          <w:szCs w:val="26"/>
        </w:rPr>
      </w:pPr>
      <w:bookmarkStart w:colFirst="0" w:colLast="0" w:name="_h8fick12p60q" w:id="41"/>
      <w:bookmarkEnd w:id="41"/>
      <w:r w:rsidDel="00000000" w:rsidR="00000000" w:rsidRPr="00000000">
        <w:rPr>
          <w:b w:val="1"/>
          <w:bCs w:val="1"/>
          <w:color w:val="000000"/>
          <w:sz w:val="26"/>
          <w:szCs w:val="26"/>
          <w:rtl w:val="0"/>
        </w:rPr>
        <w:t xml:space="preserve">Economic Meaning</w:t>
      </w:r>
    </w:p>
    <w:p w:rsidR="00000000" w:rsidDel="00000000" w:rsidP="00000000" w:rsidRDefault="00000000" w:rsidRPr="00000000" w14:paraId="000000DF">
      <w:pPr>
        <w:spacing w:after="240" w:before="240" w:lineRule="auto"/>
        <w:rPr/>
      </w:pPr>
      <w:r w:rsidDel="00000000" w:rsidR="00000000" w:rsidRPr="00000000">
        <w:rPr>
          <w:rtl w:val="0"/>
        </w:rPr>
        <w:t xml:space="preserve">Market exposure is expected given the portfolio’s holdings in large-cap U.S. equities such as </w:t>
      </w:r>
      <w:r w:rsidDel="00000000" w:rsidR="00000000" w:rsidRPr="00000000">
        <w:rPr>
          <w:b w:val="1"/>
          <w:bCs w:val="1"/>
          <w:rtl w:val="0"/>
        </w:rPr>
        <w:t xml:space="preserve">AAPL, GOOG, META, GS, TSLA, and XOM</w:t>
      </w:r>
      <w:r w:rsidDel="00000000" w:rsidR="00000000" w:rsidRPr="00000000">
        <w:rPr>
          <w:rtl w:val="0"/>
        </w:rPr>
        <w:t xml:space="preserve">, which are highly sensitive to broad market conditions (Fama and French 8).</w:t>
      </w:r>
    </w:p>
    <w:p w:rsidR="00000000" w:rsidDel="00000000" w:rsidP="00000000" w:rsidRDefault="00000000" w:rsidRPr="00000000" w14:paraId="000000E0">
      <w:pPr>
        <w:pStyle w:val="Heading2"/>
        <w:keepNext w:val="0"/>
        <w:keepLines w:val="0"/>
        <w:spacing w:after="80" w:lineRule="auto"/>
        <w:ind w:right="600"/>
        <w:rPr>
          <w:b w:val="1"/>
          <w:bCs w:val="1"/>
          <w:sz w:val="34"/>
          <w:szCs w:val="34"/>
        </w:rPr>
      </w:pPr>
      <w:bookmarkStart w:colFirst="0" w:colLast="0" w:name="_y0sbaxstmtju" w:id="42"/>
      <w:bookmarkEnd w:id="42"/>
      <w:r w:rsidDel="00000000" w:rsidR="00000000" w:rsidRPr="00000000">
        <w:rPr>
          <w:b w:val="1"/>
          <w:bCs w:val="1"/>
          <w:sz w:val="34"/>
          <w:szCs w:val="34"/>
          <w:rtl w:val="0"/>
        </w:rPr>
        <w:t xml:space="preserve">2. SMB (Size Factor) — Tilt Toward Large-Cap Stocks</w:t>
      </w:r>
    </w:p>
    <w:p w:rsidR="00000000" w:rsidDel="00000000" w:rsidP="00000000" w:rsidRDefault="00000000" w:rsidRPr="00000000" w14:paraId="000000E1">
      <w:pPr>
        <w:spacing w:after="240" w:before="240" w:lineRule="auto"/>
        <w:rPr/>
      </w:pPr>
      <w:r w:rsidDel="00000000" w:rsidR="00000000" w:rsidRPr="00000000">
        <w:rPr>
          <w:rtl w:val="0"/>
        </w:rPr>
        <w:t xml:space="preserve">The portfolio shows a </w:t>
      </w:r>
      <w:r w:rsidDel="00000000" w:rsidR="00000000" w:rsidRPr="00000000">
        <w:rPr>
          <w:b w:val="1"/>
          <w:bCs w:val="1"/>
          <w:rtl w:val="0"/>
        </w:rPr>
        <w:t xml:space="preserve">negative SMB beta</w:t>
      </w:r>
      <w:r w:rsidDel="00000000" w:rsidR="00000000" w:rsidRPr="00000000">
        <w:rPr>
          <w:rtl w:val="0"/>
        </w:rPr>
        <w:t xml:space="preserve">, indicating </w:t>
      </w:r>
      <w:r w:rsidDel="00000000" w:rsidR="00000000" w:rsidRPr="00000000">
        <w:rPr>
          <w:b w:val="1"/>
          <w:bCs w:val="1"/>
          <w:rtl w:val="0"/>
        </w:rPr>
        <w:t xml:space="preserve">lower exposure to small-capitalization firms</w:t>
      </w:r>
      <w:r w:rsidDel="00000000" w:rsidR="00000000" w:rsidRPr="00000000">
        <w:rPr>
          <w:rtl w:val="0"/>
        </w:rPr>
        <w:t xml:space="preserve"> and a </w:t>
      </w:r>
      <w:r w:rsidDel="00000000" w:rsidR="00000000" w:rsidRPr="00000000">
        <w:rPr>
          <w:b w:val="1"/>
          <w:bCs w:val="1"/>
          <w:rtl w:val="0"/>
        </w:rPr>
        <w:t xml:space="preserve">tilt toward large, established companies</w:t>
      </w:r>
      <w:r w:rsidDel="00000000" w:rsidR="00000000" w:rsidRPr="00000000">
        <w:rPr>
          <w:rtl w:val="0"/>
        </w:rPr>
        <w:t xml:space="preserve">.</w:t>
      </w:r>
    </w:p>
    <w:p w:rsidR="00000000" w:rsidDel="00000000" w:rsidP="00000000" w:rsidRDefault="00000000" w:rsidRPr="00000000" w14:paraId="000000E2">
      <w:pPr>
        <w:pStyle w:val="Heading3"/>
        <w:keepNext w:val="0"/>
        <w:keepLines w:val="0"/>
        <w:spacing w:before="280" w:lineRule="auto"/>
        <w:ind w:right="600"/>
        <w:rPr>
          <w:b w:val="1"/>
          <w:bCs w:val="1"/>
          <w:color w:val="000000"/>
          <w:sz w:val="26"/>
          <w:szCs w:val="26"/>
        </w:rPr>
      </w:pPr>
      <w:bookmarkStart w:colFirst="0" w:colLast="0" w:name="_3648vp2imyds" w:id="43"/>
      <w:bookmarkEnd w:id="43"/>
      <w:r w:rsidDel="00000000" w:rsidR="00000000" w:rsidRPr="00000000">
        <w:rPr>
          <w:b w:val="1"/>
          <w:bCs w:val="1"/>
          <w:color w:val="000000"/>
          <w:sz w:val="26"/>
          <w:szCs w:val="26"/>
          <w:rtl w:val="0"/>
        </w:rPr>
        <w:t xml:space="preserve">Interpretation</w:t>
      </w:r>
    </w:p>
    <w:p w:rsidR="00000000" w:rsidDel="00000000" w:rsidP="00000000" w:rsidRDefault="00000000" w:rsidRPr="00000000" w14:paraId="000000E3">
      <w:pPr>
        <w:spacing w:after="240" w:before="240" w:lineRule="auto"/>
        <w:ind w:left="600" w:right="600" w:firstLine="0"/>
        <w:rPr/>
      </w:pPr>
      <w:r w:rsidDel="00000000" w:rsidR="00000000" w:rsidRPr="00000000">
        <w:rPr>
          <w:rtl w:val="0"/>
        </w:rPr>
        <w:t xml:space="preserve">Returns are driven more by large-cap performance than by small-cap risk premiums.</w:t>
      </w:r>
    </w:p>
    <w:p w:rsidR="00000000" w:rsidDel="00000000" w:rsidP="00000000" w:rsidRDefault="00000000" w:rsidRPr="00000000" w14:paraId="000000E4">
      <w:pPr>
        <w:pStyle w:val="Heading3"/>
        <w:keepNext w:val="0"/>
        <w:keepLines w:val="0"/>
        <w:spacing w:before="280" w:lineRule="auto"/>
        <w:ind w:right="600"/>
        <w:rPr>
          <w:b w:val="1"/>
          <w:bCs w:val="1"/>
          <w:color w:val="000000"/>
          <w:sz w:val="26"/>
          <w:szCs w:val="26"/>
        </w:rPr>
      </w:pPr>
      <w:bookmarkStart w:colFirst="0" w:colLast="0" w:name="_c1v51ql3m6l6" w:id="44"/>
      <w:bookmarkEnd w:id="44"/>
      <w:r w:rsidDel="00000000" w:rsidR="00000000" w:rsidRPr="00000000">
        <w:rPr>
          <w:b w:val="1"/>
          <w:bCs w:val="1"/>
          <w:color w:val="000000"/>
          <w:sz w:val="26"/>
          <w:szCs w:val="26"/>
          <w:rtl w:val="0"/>
        </w:rPr>
        <w:t xml:space="preserve">Economic Meaning</w:t>
      </w:r>
    </w:p>
    <w:p w:rsidR="00000000" w:rsidDel="00000000" w:rsidP="00000000" w:rsidRDefault="00000000" w:rsidRPr="00000000" w14:paraId="000000E5">
      <w:pPr>
        <w:spacing w:after="240" w:before="240" w:lineRule="auto"/>
        <w:rPr/>
      </w:pPr>
      <w:r w:rsidDel="00000000" w:rsidR="00000000" w:rsidRPr="00000000">
        <w:rPr>
          <w:rtl w:val="0"/>
        </w:rPr>
        <w:t xml:space="preserve">This result aligns with the portfolio’s concentration in large-cap stocks such as </w:t>
      </w:r>
      <w:r w:rsidDel="00000000" w:rsidR="00000000" w:rsidRPr="00000000">
        <w:rPr>
          <w:b w:val="1"/>
          <w:bCs w:val="1"/>
          <w:rtl w:val="0"/>
        </w:rPr>
        <w:t xml:space="preserve">WMT, MRK, LLY, AAPL, and GOOG</w:t>
      </w:r>
      <w:r w:rsidDel="00000000" w:rsidR="00000000" w:rsidRPr="00000000">
        <w:rPr>
          <w:rtl w:val="0"/>
        </w:rPr>
        <w:t xml:space="preserve">, which tend to exhibit greater liquidity, lower volatility, and more stable earnings (Fama and French 9).</w:t>
      </w:r>
    </w:p>
    <w:p w:rsidR="00000000" w:rsidDel="00000000" w:rsidP="00000000" w:rsidRDefault="00000000" w:rsidRPr="00000000" w14:paraId="000000E6">
      <w:pPr>
        <w:pStyle w:val="Heading2"/>
        <w:keepNext w:val="0"/>
        <w:keepLines w:val="0"/>
        <w:spacing w:after="80" w:lineRule="auto"/>
        <w:ind w:right="600"/>
        <w:rPr>
          <w:b w:val="1"/>
          <w:bCs w:val="1"/>
          <w:sz w:val="34"/>
          <w:szCs w:val="34"/>
        </w:rPr>
      </w:pPr>
      <w:bookmarkStart w:colFirst="0" w:colLast="0" w:name="_nxd6g6bp6dzj" w:id="45"/>
      <w:bookmarkEnd w:id="45"/>
      <w:r w:rsidDel="00000000" w:rsidR="00000000" w:rsidRPr="00000000">
        <w:rPr>
          <w:b w:val="1"/>
          <w:bCs w:val="1"/>
          <w:sz w:val="34"/>
          <w:szCs w:val="34"/>
          <w:rtl w:val="0"/>
        </w:rPr>
        <w:t xml:space="preserve">3. HML (Value Factor) — Growth-Oriented Exposure</w:t>
      </w:r>
    </w:p>
    <w:p w:rsidR="00000000" w:rsidDel="00000000" w:rsidP="00000000" w:rsidRDefault="00000000" w:rsidRPr="00000000" w14:paraId="000000E7">
      <w:pPr>
        <w:spacing w:after="240" w:before="240" w:lineRule="auto"/>
        <w:rPr/>
      </w:pPr>
      <w:r w:rsidDel="00000000" w:rsidR="00000000" w:rsidRPr="00000000">
        <w:rPr>
          <w:rtl w:val="0"/>
        </w:rPr>
        <w:t xml:space="preserve">The portfolio exhibits a </w:t>
      </w:r>
      <w:r w:rsidDel="00000000" w:rsidR="00000000" w:rsidRPr="00000000">
        <w:rPr>
          <w:b w:val="1"/>
          <w:bCs w:val="1"/>
          <w:rtl w:val="0"/>
        </w:rPr>
        <w:t xml:space="preserve">negative HML loading</w:t>
      </w:r>
      <w:r w:rsidDel="00000000" w:rsidR="00000000" w:rsidRPr="00000000">
        <w:rPr>
          <w:rtl w:val="0"/>
        </w:rPr>
        <w:t xml:space="preserve">, implying a </w:t>
      </w:r>
      <w:r w:rsidDel="00000000" w:rsidR="00000000" w:rsidRPr="00000000">
        <w:rPr>
          <w:b w:val="1"/>
          <w:bCs w:val="1"/>
          <w:rtl w:val="0"/>
        </w:rPr>
        <w:t xml:space="preserve">growth stock bias</w:t>
      </w:r>
      <w:r w:rsidDel="00000000" w:rsidR="00000000" w:rsidRPr="00000000">
        <w:rPr>
          <w:rtl w:val="0"/>
        </w:rPr>
        <w:t xml:space="preserve"> rather than value orientation.</w:t>
      </w:r>
    </w:p>
    <w:p w:rsidR="00000000" w:rsidDel="00000000" w:rsidP="00000000" w:rsidRDefault="00000000" w:rsidRPr="00000000" w14:paraId="000000E8">
      <w:pPr>
        <w:pStyle w:val="Heading3"/>
        <w:keepNext w:val="0"/>
        <w:keepLines w:val="0"/>
        <w:spacing w:before="280" w:lineRule="auto"/>
        <w:ind w:right="600"/>
        <w:rPr>
          <w:b w:val="1"/>
          <w:bCs w:val="1"/>
          <w:color w:val="000000"/>
          <w:sz w:val="26"/>
          <w:szCs w:val="26"/>
        </w:rPr>
      </w:pPr>
      <w:bookmarkStart w:colFirst="0" w:colLast="0" w:name="_bzzzqdmc53xx" w:id="46"/>
      <w:bookmarkEnd w:id="46"/>
      <w:r w:rsidDel="00000000" w:rsidR="00000000" w:rsidRPr="00000000">
        <w:rPr>
          <w:b w:val="1"/>
          <w:bCs w:val="1"/>
          <w:color w:val="000000"/>
          <w:sz w:val="26"/>
          <w:szCs w:val="26"/>
          <w:rtl w:val="0"/>
        </w:rPr>
        <w:t xml:space="preserve">Interpretation</w:t>
      </w:r>
    </w:p>
    <w:p w:rsidR="00000000" w:rsidDel="00000000" w:rsidP="00000000" w:rsidRDefault="00000000" w:rsidRPr="00000000" w14:paraId="000000E9">
      <w:pPr>
        <w:spacing w:after="240" w:before="240" w:lineRule="auto"/>
        <w:ind w:left="600" w:right="600" w:firstLine="0"/>
        <w:rPr/>
      </w:pPr>
      <w:r w:rsidDel="00000000" w:rsidR="00000000" w:rsidRPr="00000000">
        <w:rPr>
          <w:rtl w:val="0"/>
        </w:rPr>
        <w:t xml:space="preserve">Portfolio returns benefit more from growth stock performance than from traditional value stock premiums.</w:t>
      </w:r>
    </w:p>
    <w:p w:rsidR="00000000" w:rsidDel="00000000" w:rsidP="00000000" w:rsidRDefault="00000000" w:rsidRPr="00000000" w14:paraId="000000EA">
      <w:pPr>
        <w:pStyle w:val="Heading3"/>
        <w:keepNext w:val="0"/>
        <w:keepLines w:val="0"/>
        <w:spacing w:before="280" w:lineRule="auto"/>
        <w:ind w:right="600"/>
        <w:rPr>
          <w:b w:val="1"/>
          <w:bCs w:val="1"/>
          <w:color w:val="000000"/>
          <w:sz w:val="26"/>
          <w:szCs w:val="26"/>
        </w:rPr>
      </w:pPr>
      <w:bookmarkStart w:colFirst="0" w:colLast="0" w:name="_285idibf4lpz" w:id="47"/>
      <w:bookmarkEnd w:id="47"/>
      <w:r w:rsidDel="00000000" w:rsidR="00000000" w:rsidRPr="00000000">
        <w:rPr>
          <w:b w:val="1"/>
          <w:bCs w:val="1"/>
          <w:color w:val="000000"/>
          <w:sz w:val="26"/>
          <w:szCs w:val="26"/>
          <w:rtl w:val="0"/>
        </w:rPr>
        <w:t xml:space="preserve">Economic Meaning</w:t>
      </w:r>
    </w:p>
    <w:p w:rsidR="00000000" w:rsidDel="00000000" w:rsidP="00000000" w:rsidRDefault="00000000" w:rsidRPr="00000000" w14:paraId="000000EB">
      <w:pPr>
        <w:spacing w:after="240" w:before="240" w:lineRule="auto"/>
        <w:rPr/>
      </w:pPr>
      <w:r w:rsidDel="00000000" w:rsidR="00000000" w:rsidRPr="00000000">
        <w:rPr>
          <w:rtl w:val="0"/>
        </w:rPr>
        <w:t xml:space="preserve">This is consistent with holdings in technology and innovation-driven firms such as </w:t>
      </w:r>
      <w:r w:rsidDel="00000000" w:rsidR="00000000" w:rsidRPr="00000000">
        <w:rPr>
          <w:b w:val="1"/>
          <w:bCs w:val="1"/>
          <w:rtl w:val="0"/>
        </w:rPr>
        <w:t xml:space="preserve">META, TSLA, and GOOG</w:t>
      </w:r>
      <w:r w:rsidDel="00000000" w:rsidR="00000000" w:rsidRPr="00000000">
        <w:rPr>
          <w:rtl w:val="0"/>
        </w:rPr>
        <w:t xml:space="preserve">, which typically trade at lower book-to-market ratios (Fama and French 12).</w:t>
      </w:r>
    </w:p>
    <w:p w:rsidR="00000000" w:rsidDel="00000000" w:rsidP="00000000" w:rsidRDefault="00000000" w:rsidRPr="00000000" w14:paraId="000000EC">
      <w:pPr>
        <w:pStyle w:val="Heading2"/>
        <w:keepNext w:val="0"/>
        <w:keepLines w:val="0"/>
        <w:spacing w:after="80" w:lineRule="auto"/>
        <w:ind w:right="600"/>
        <w:rPr>
          <w:b w:val="1"/>
          <w:bCs w:val="1"/>
          <w:sz w:val="34"/>
          <w:szCs w:val="34"/>
        </w:rPr>
      </w:pPr>
      <w:bookmarkStart w:colFirst="0" w:colLast="0" w:name="_j5qotz2iyrtc" w:id="48"/>
      <w:bookmarkEnd w:id="48"/>
      <w:r w:rsidDel="00000000" w:rsidR="00000000" w:rsidRPr="00000000">
        <w:rPr>
          <w:b w:val="1"/>
          <w:bCs w:val="1"/>
          <w:sz w:val="34"/>
          <w:szCs w:val="34"/>
          <w:rtl w:val="0"/>
        </w:rPr>
        <w:t xml:space="preserve">4. RMW (Profitability Factor) — Positive Profitability Exposure</w:t>
      </w:r>
    </w:p>
    <w:p w:rsidR="00000000" w:rsidDel="00000000" w:rsidP="00000000" w:rsidRDefault="00000000" w:rsidRPr="00000000" w14:paraId="000000ED">
      <w:pPr>
        <w:spacing w:after="240" w:before="240" w:lineRule="auto"/>
        <w:rPr/>
      </w:pPr>
      <w:r w:rsidDel="00000000" w:rsidR="00000000" w:rsidRPr="00000000">
        <w:rPr>
          <w:rtl w:val="0"/>
        </w:rPr>
        <w:t xml:space="preserve">The portfolio displays a </w:t>
      </w:r>
      <w:r w:rsidDel="00000000" w:rsidR="00000000" w:rsidRPr="00000000">
        <w:rPr>
          <w:b w:val="1"/>
          <w:bCs w:val="1"/>
          <w:rtl w:val="0"/>
        </w:rPr>
        <w:t xml:space="preserve">positive and statistically significant RMW beta</w:t>
      </w:r>
      <w:r w:rsidDel="00000000" w:rsidR="00000000" w:rsidRPr="00000000">
        <w:rPr>
          <w:rtl w:val="0"/>
        </w:rPr>
        <w:t xml:space="preserve">, indicating sensitivity to firms with </w:t>
      </w:r>
      <w:r w:rsidDel="00000000" w:rsidR="00000000" w:rsidRPr="00000000">
        <w:rPr>
          <w:b w:val="1"/>
          <w:bCs w:val="1"/>
          <w:rtl w:val="0"/>
        </w:rPr>
        <w:t xml:space="preserve">strong operating profitability</w:t>
      </w:r>
      <w:r w:rsidDel="00000000" w:rsidR="00000000" w:rsidRPr="00000000">
        <w:rPr>
          <w:rtl w:val="0"/>
        </w:rPr>
        <w:t xml:space="preserve">.</w:t>
      </w:r>
    </w:p>
    <w:p w:rsidR="00000000" w:rsidDel="00000000" w:rsidP="00000000" w:rsidRDefault="00000000" w:rsidRPr="00000000" w14:paraId="000000EE">
      <w:pPr>
        <w:pStyle w:val="Heading3"/>
        <w:keepNext w:val="0"/>
        <w:keepLines w:val="0"/>
        <w:spacing w:before="280" w:lineRule="auto"/>
        <w:ind w:right="600"/>
        <w:rPr>
          <w:b w:val="1"/>
          <w:bCs w:val="1"/>
          <w:color w:val="000000"/>
          <w:sz w:val="26"/>
          <w:szCs w:val="26"/>
        </w:rPr>
      </w:pPr>
      <w:bookmarkStart w:colFirst="0" w:colLast="0" w:name="_veghmxdd12ti" w:id="49"/>
      <w:bookmarkEnd w:id="49"/>
      <w:r w:rsidDel="00000000" w:rsidR="00000000" w:rsidRPr="00000000">
        <w:rPr>
          <w:b w:val="1"/>
          <w:bCs w:val="1"/>
          <w:color w:val="000000"/>
          <w:sz w:val="26"/>
          <w:szCs w:val="26"/>
          <w:rtl w:val="0"/>
        </w:rPr>
        <w:t xml:space="preserve">Interpretation</w:t>
      </w:r>
    </w:p>
    <w:p w:rsidR="00000000" w:rsidDel="00000000" w:rsidP="00000000" w:rsidRDefault="00000000" w:rsidRPr="00000000" w14:paraId="000000EF">
      <w:pPr>
        <w:spacing w:after="240" w:before="240" w:lineRule="auto"/>
        <w:ind w:left="600" w:right="600" w:firstLine="0"/>
        <w:rPr/>
      </w:pPr>
      <w:r w:rsidDel="00000000" w:rsidR="00000000" w:rsidRPr="00000000">
        <w:rPr>
          <w:rtl w:val="0"/>
        </w:rPr>
        <w:t xml:space="preserve">Portfolio returns are positively linked to companies with high and stable earnings power.</w:t>
      </w:r>
    </w:p>
    <w:p w:rsidR="00000000" w:rsidDel="00000000" w:rsidP="00000000" w:rsidRDefault="00000000" w:rsidRPr="00000000" w14:paraId="000000F0">
      <w:pPr>
        <w:pStyle w:val="Heading3"/>
        <w:keepNext w:val="0"/>
        <w:keepLines w:val="0"/>
        <w:spacing w:before="280" w:lineRule="auto"/>
        <w:ind w:right="600"/>
        <w:rPr>
          <w:b w:val="1"/>
          <w:bCs w:val="1"/>
          <w:color w:val="000000"/>
          <w:sz w:val="26"/>
          <w:szCs w:val="26"/>
        </w:rPr>
      </w:pPr>
      <w:bookmarkStart w:colFirst="0" w:colLast="0" w:name="_4jd72g0mh8j" w:id="50"/>
      <w:bookmarkEnd w:id="50"/>
      <w:r w:rsidDel="00000000" w:rsidR="00000000" w:rsidRPr="00000000">
        <w:rPr>
          <w:b w:val="1"/>
          <w:bCs w:val="1"/>
          <w:color w:val="000000"/>
          <w:sz w:val="26"/>
          <w:szCs w:val="26"/>
          <w:rtl w:val="0"/>
        </w:rPr>
        <w:t xml:space="preserve">Economic Meaning</w:t>
      </w:r>
    </w:p>
    <w:p w:rsidR="00000000" w:rsidDel="00000000" w:rsidP="00000000" w:rsidRDefault="00000000" w:rsidRPr="00000000" w14:paraId="000000F1">
      <w:pPr>
        <w:spacing w:after="240" w:before="240" w:lineRule="auto"/>
        <w:rPr/>
      </w:pPr>
      <w:r w:rsidDel="00000000" w:rsidR="00000000" w:rsidRPr="00000000">
        <w:rPr>
          <w:rtl w:val="0"/>
        </w:rPr>
        <w:t xml:space="preserve">Stocks such as </w:t>
      </w:r>
      <w:r w:rsidDel="00000000" w:rsidR="00000000" w:rsidRPr="00000000">
        <w:rPr>
          <w:b w:val="1"/>
          <w:bCs w:val="1"/>
          <w:rtl w:val="0"/>
        </w:rPr>
        <w:t xml:space="preserve">LLY, MRK, AAPL, and GS</w:t>
      </w:r>
      <w:r w:rsidDel="00000000" w:rsidR="00000000" w:rsidRPr="00000000">
        <w:rPr>
          <w:rtl w:val="0"/>
        </w:rPr>
        <w:t xml:space="preserve"> are known for strong margins and sustainable profitability, supporting this exposure (Fama and French 15).</w:t>
      </w:r>
    </w:p>
    <w:p w:rsidR="00000000" w:rsidDel="00000000" w:rsidP="00000000" w:rsidRDefault="00000000" w:rsidRPr="00000000" w14:paraId="000000F2">
      <w:pPr>
        <w:pStyle w:val="Heading2"/>
        <w:keepNext w:val="0"/>
        <w:keepLines w:val="0"/>
        <w:spacing w:after="80" w:lineRule="auto"/>
        <w:ind w:right="600"/>
        <w:rPr>
          <w:b w:val="1"/>
          <w:bCs w:val="1"/>
          <w:sz w:val="34"/>
          <w:szCs w:val="34"/>
        </w:rPr>
      </w:pPr>
      <w:bookmarkStart w:colFirst="0" w:colLast="0" w:name="_nk2g7rm5alxv" w:id="51"/>
      <w:bookmarkEnd w:id="51"/>
      <w:r w:rsidDel="00000000" w:rsidR="00000000" w:rsidRPr="00000000">
        <w:rPr>
          <w:b w:val="1"/>
          <w:bCs w:val="1"/>
          <w:sz w:val="34"/>
          <w:szCs w:val="34"/>
          <w:rtl w:val="0"/>
        </w:rPr>
        <w:t xml:space="preserve">5. CMA (Investment Factor) — Moderate Exposure to Conservative Investment Firms</w:t>
      </w:r>
    </w:p>
    <w:p w:rsidR="00000000" w:rsidDel="00000000" w:rsidP="00000000" w:rsidRDefault="00000000" w:rsidRPr="00000000" w14:paraId="000000F3">
      <w:pPr>
        <w:spacing w:after="240" w:before="240" w:lineRule="auto"/>
        <w:rPr/>
      </w:pPr>
      <w:r w:rsidDel="00000000" w:rsidR="00000000" w:rsidRPr="00000000">
        <w:rPr>
          <w:rtl w:val="0"/>
        </w:rPr>
        <w:t xml:space="preserve">The portfolio shows a </w:t>
      </w:r>
      <w:r w:rsidDel="00000000" w:rsidR="00000000" w:rsidRPr="00000000">
        <w:rPr>
          <w:b w:val="1"/>
          <w:bCs w:val="1"/>
          <w:rtl w:val="0"/>
        </w:rPr>
        <w:t xml:space="preserve">moderate positive CMA loading</w:t>
      </w:r>
      <w:r w:rsidDel="00000000" w:rsidR="00000000" w:rsidRPr="00000000">
        <w:rPr>
          <w:rtl w:val="0"/>
        </w:rPr>
        <w:t xml:space="preserve">, suggesting a tilt toward firms that </w:t>
      </w:r>
      <w:r w:rsidDel="00000000" w:rsidR="00000000" w:rsidRPr="00000000">
        <w:rPr>
          <w:b w:val="1"/>
          <w:bCs w:val="1"/>
          <w:rtl w:val="0"/>
        </w:rPr>
        <w:t xml:space="preserve">invest conservatively</w:t>
      </w:r>
      <w:r w:rsidDel="00000000" w:rsidR="00000000" w:rsidRPr="00000000">
        <w:rPr>
          <w:rtl w:val="0"/>
        </w:rPr>
        <w:t xml:space="preserve"> rather than aggressively.</w:t>
      </w:r>
    </w:p>
    <w:p w:rsidR="00000000" w:rsidDel="00000000" w:rsidP="00000000" w:rsidRDefault="00000000" w:rsidRPr="00000000" w14:paraId="000000F4">
      <w:pPr>
        <w:pStyle w:val="Heading3"/>
        <w:keepNext w:val="0"/>
        <w:keepLines w:val="0"/>
        <w:spacing w:before="280" w:lineRule="auto"/>
        <w:ind w:right="600"/>
        <w:rPr>
          <w:b w:val="1"/>
          <w:bCs w:val="1"/>
          <w:color w:val="000000"/>
          <w:sz w:val="26"/>
          <w:szCs w:val="26"/>
        </w:rPr>
      </w:pPr>
      <w:bookmarkStart w:colFirst="0" w:colLast="0" w:name="_o87rmyk01oel" w:id="52"/>
      <w:bookmarkEnd w:id="52"/>
      <w:r w:rsidDel="00000000" w:rsidR="00000000" w:rsidRPr="00000000">
        <w:rPr>
          <w:b w:val="1"/>
          <w:bCs w:val="1"/>
          <w:color w:val="000000"/>
          <w:sz w:val="26"/>
          <w:szCs w:val="26"/>
          <w:rtl w:val="0"/>
        </w:rPr>
        <w:t xml:space="preserve">Interpretation</w:t>
      </w:r>
    </w:p>
    <w:p w:rsidR="00000000" w:rsidDel="00000000" w:rsidP="00000000" w:rsidRDefault="00000000" w:rsidRPr="00000000" w14:paraId="000000F5">
      <w:pPr>
        <w:spacing w:after="240" w:before="240" w:lineRule="auto"/>
        <w:ind w:left="600" w:right="600" w:firstLine="0"/>
        <w:rPr/>
      </w:pPr>
      <w:r w:rsidDel="00000000" w:rsidR="00000000" w:rsidRPr="00000000">
        <w:rPr>
          <w:rtl w:val="0"/>
        </w:rPr>
        <w:t xml:space="preserve">Portfolio returns benefit from firms that maintain disciplined capital investment strategies.</w:t>
      </w:r>
    </w:p>
    <w:p w:rsidR="00000000" w:rsidDel="00000000" w:rsidP="00000000" w:rsidRDefault="00000000" w:rsidRPr="00000000" w14:paraId="000000F6">
      <w:pPr>
        <w:pStyle w:val="Heading3"/>
        <w:keepNext w:val="0"/>
        <w:keepLines w:val="0"/>
        <w:spacing w:before="280" w:lineRule="auto"/>
        <w:ind w:right="600"/>
        <w:rPr>
          <w:b w:val="1"/>
          <w:bCs w:val="1"/>
          <w:color w:val="000000"/>
          <w:sz w:val="26"/>
          <w:szCs w:val="26"/>
        </w:rPr>
      </w:pPr>
      <w:bookmarkStart w:colFirst="0" w:colLast="0" w:name="_ca9izi3dvw7y" w:id="53"/>
      <w:bookmarkEnd w:id="53"/>
      <w:r w:rsidDel="00000000" w:rsidR="00000000" w:rsidRPr="00000000">
        <w:rPr>
          <w:b w:val="1"/>
          <w:bCs w:val="1"/>
          <w:color w:val="000000"/>
          <w:sz w:val="26"/>
          <w:szCs w:val="26"/>
          <w:rtl w:val="0"/>
        </w:rPr>
        <w:t xml:space="preserve">Economic Meaning</w:t>
      </w:r>
    </w:p>
    <w:p w:rsidR="00000000" w:rsidDel="00000000" w:rsidP="00000000" w:rsidRDefault="00000000" w:rsidRPr="00000000" w14:paraId="000000F7">
      <w:pPr>
        <w:spacing w:after="240" w:before="240" w:lineRule="auto"/>
        <w:rPr/>
      </w:pPr>
      <w:r w:rsidDel="00000000" w:rsidR="00000000" w:rsidRPr="00000000">
        <w:rPr>
          <w:rtl w:val="0"/>
        </w:rPr>
        <w:t xml:space="preserve">This reflects exposure to firms such as </w:t>
      </w:r>
      <w:r w:rsidDel="00000000" w:rsidR="00000000" w:rsidRPr="00000000">
        <w:rPr>
          <w:b w:val="1"/>
          <w:bCs w:val="1"/>
          <w:rtl w:val="0"/>
        </w:rPr>
        <w:t xml:space="preserve">WMT, MRK, and XOM</w:t>
      </w:r>
      <w:r w:rsidDel="00000000" w:rsidR="00000000" w:rsidRPr="00000000">
        <w:rPr>
          <w:rtl w:val="0"/>
        </w:rPr>
        <w:t xml:space="preserve">, which generally expand assets more conservatively and maintain stable capital allocation policies (Fama and French 17).</w:t>
      </w:r>
    </w:p>
    <w:p w:rsidR="00000000" w:rsidDel="00000000" w:rsidP="00000000" w:rsidRDefault="00000000" w:rsidRPr="00000000" w14:paraId="000000F8">
      <w:pPr>
        <w:pStyle w:val="Heading2"/>
        <w:keepNext w:val="0"/>
        <w:keepLines w:val="0"/>
        <w:spacing w:after="80" w:lineRule="auto"/>
        <w:ind w:right="600"/>
        <w:rPr>
          <w:b w:val="1"/>
          <w:bCs w:val="1"/>
          <w:sz w:val="34"/>
          <w:szCs w:val="34"/>
        </w:rPr>
      </w:pPr>
      <w:bookmarkStart w:colFirst="0" w:colLast="0" w:name="_prc4bsxdvbgh" w:id="54"/>
      <w:bookmarkEnd w:id="54"/>
      <w:r w:rsidDel="00000000" w:rsidR="00000000" w:rsidRPr="00000000">
        <w:rPr>
          <w:b w:val="1"/>
          <w:bCs w:val="1"/>
          <w:sz w:val="34"/>
          <w:szCs w:val="34"/>
          <w:rtl w:val="0"/>
        </w:rPr>
        <w:t xml:space="preserve">6. Alpha (α) — Limited Evidence of Abnormal Returns</w:t>
      </w:r>
    </w:p>
    <w:p w:rsidR="00000000" w:rsidDel="00000000" w:rsidP="00000000" w:rsidRDefault="00000000" w:rsidRPr="00000000" w14:paraId="000000F9">
      <w:pPr>
        <w:spacing w:after="240" w:before="240" w:lineRule="auto"/>
        <w:rPr/>
      </w:pPr>
      <w:r w:rsidDel="00000000" w:rsidR="00000000" w:rsidRPr="00000000">
        <w:rPr>
          <w:rtl w:val="0"/>
        </w:rPr>
        <w:t xml:space="preserve">The regression intercept (alpha) is </w:t>
      </w:r>
      <w:r w:rsidDel="00000000" w:rsidR="00000000" w:rsidRPr="00000000">
        <w:rPr>
          <w:b w:val="1"/>
          <w:bCs w:val="1"/>
          <w:rtl w:val="0"/>
        </w:rPr>
        <w:t xml:space="preserve">small and statistically insignificant</w:t>
      </w:r>
      <w:r w:rsidDel="00000000" w:rsidR="00000000" w:rsidRPr="00000000">
        <w:rPr>
          <w:rtl w:val="0"/>
        </w:rPr>
        <w:t xml:space="preserve">, indicating that portfolio performance is </w:t>
      </w:r>
      <w:r w:rsidDel="00000000" w:rsidR="00000000" w:rsidRPr="00000000">
        <w:rPr>
          <w:b w:val="1"/>
          <w:bCs w:val="1"/>
          <w:rtl w:val="0"/>
        </w:rPr>
        <w:t xml:space="preserve">largely explained by systematic factor exposures rather than manager skill or abnormal stock selection</w:t>
      </w:r>
      <w:r w:rsidDel="00000000" w:rsidR="00000000" w:rsidRPr="00000000">
        <w:rPr>
          <w:rtl w:val="0"/>
        </w:rPr>
        <w:t xml:space="preserve">.</w:t>
      </w:r>
    </w:p>
    <w:p w:rsidR="00000000" w:rsidDel="00000000" w:rsidP="00000000" w:rsidRDefault="00000000" w:rsidRPr="00000000" w14:paraId="000000FA">
      <w:pPr>
        <w:pStyle w:val="Heading3"/>
        <w:keepNext w:val="0"/>
        <w:keepLines w:val="0"/>
        <w:spacing w:before="280" w:lineRule="auto"/>
        <w:ind w:right="600"/>
        <w:rPr>
          <w:b w:val="1"/>
          <w:bCs w:val="1"/>
          <w:color w:val="000000"/>
          <w:sz w:val="26"/>
          <w:szCs w:val="26"/>
        </w:rPr>
      </w:pPr>
      <w:bookmarkStart w:colFirst="0" w:colLast="0" w:name="_7r33gwc17pa4" w:id="55"/>
      <w:bookmarkEnd w:id="55"/>
      <w:r w:rsidDel="00000000" w:rsidR="00000000" w:rsidRPr="00000000">
        <w:rPr>
          <w:b w:val="1"/>
          <w:bCs w:val="1"/>
          <w:color w:val="000000"/>
          <w:sz w:val="26"/>
          <w:szCs w:val="26"/>
          <w:rtl w:val="0"/>
        </w:rPr>
        <w:t xml:space="preserve">Interpretation</w:t>
      </w:r>
    </w:p>
    <w:p w:rsidR="00000000" w:rsidDel="00000000" w:rsidP="00000000" w:rsidRDefault="00000000" w:rsidRPr="00000000" w14:paraId="000000FB">
      <w:pPr>
        <w:spacing w:after="240" w:before="240" w:lineRule="auto"/>
        <w:ind w:left="600" w:right="600" w:firstLine="0"/>
        <w:rPr/>
      </w:pPr>
      <w:r w:rsidDel="00000000" w:rsidR="00000000" w:rsidRPr="00000000">
        <w:rPr>
          <w:rtl w:val="0"/>
        </w:rPr>
        <w:t xml:space="preserve">The portfolio’s returns arise from </w:t>
      </w:r>
      <w:r w:rsidDel="00000000" w:rsidR="00000000" w:rsidRPr="00000000">
        <w:rPr>
          <w:b w:val="1"/>
          <w:bCs w:val="1"/>
          <w:rtl w:val="0"/>
        </w:rPr>
        <w:t xml:space="preserve">structured risk exposures</w:t>
      </w:r>
      <w:r w:rsidDel="00000000" w:rsidR="00000000" w:rsidRPr="00000000">
        <w:rPr>
          <w:rtl w:val="0"/>
        </w:rPr>
        <w:t xml:space="preserve">, not unexplained excess performance.</w:t>
      </w:r>
    </w:p>
    <w:p w:rsidR="00000000" w:rsidDel="00000000" w:rsidP="00000000" w:rsidRDefault="00000000" w:rsidRPr="00000000" w14:paraId="000000FC">
      <w:pPr>
        <w:spacing w:after="240" w:before="240" w:lineRule="auto"/>
        <w:rPr/>
      </w:pPr>
      <w:r w:rsidDel="00000000" w:rsidR="00000000" w:rsidRPr="00000000">
        <w:rPr>
          <w:rtl w:val="0"/>
        </w:rPr>
        <w:t xml:space="preserve">This aligns with empirical evidence that most portfolio returns are driven by systematic risk factors rather than persistent stock-picking skill (Fama and French 20).</w:t>
      </w:r>
    </w:p>
    <w:p w:rsidR="00000000" w:rsidDel="00000000" w:rsidP="00000000" w:rsidRDefault="00000000" w:rsidRPr="00000000" w14:paraId="000000FD">
      <w:pPr>
        <w:spacing w:after="240" w:before="240" w:lineRule="auto"/>
        <w:ind w:left="0" w:right="600" w:firstLine="0"/>
        <w:rPr/>
      </w:pPr>
      <w:r w:rsidDel="00000000" w:rsidR="00000000" w:rsidRPr="00000000">
        <w:rPr>
          <w:b w:val="1"/>
          <w:bCs w:val="1"/>
          <w:sz w:val="34"/>
          <w:szCs w:val="34"/>
          <w:rtl w:val="0"/>
        </w:rPr>
        <w:t xml:space="preserve">Overall Factor Explanation Summary</w:t>
      </w: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Estimated Exposure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Role in Portfolio Performance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Fonts w:ascii="Arial Unicode MS" w:cs="Arial Unicode MS" w:eastAsia="Arial Unicode MS" w:hAnsi="Arial Unicode MS"/>
                <w:b w:val="1"/>
                <w:bCs w:val="1"/>
                <w:rtl w:val="0"/>
              </w:rPr>
              <w:t xml:space="preserve">Market (MKT −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Strong Positive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Main return driver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SMB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Negative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Large-cap bias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HML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Negative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Growth tilt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RMW (Profitability)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Exposure to high-quality firms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CMA (Investment)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Moderate Positive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Conservative investment tilt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Alpha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Near Zero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abnormal returns</w:t>
            </w:r>
          </w:p>
        </w:tc>
      </w:tr>
    </w:tbl>
    <w:p w:rsidR="00000000" w:rsidDel="00000000" w:rsidP="00000000" w:rsidRDefault="00000000" w:rsidRPr="00000000" w14:paraId="00000113">
      <w:pPr>
        <w:pStyle w:val="Heading2"/>
        <w:keepNext w:val="0"/>
        <w:keepLines w:val="0"/>
        <w:spacing w:after="80" w:lineRule="auto"/>
        <w:ind w:right="600"/>
        <w:rPr>
          <w:b w:val="1"/>
          <w:bCs w:val="1"/>
          <w:sz w:val="34"/>
          <w:szCs w:val="34"/>
        </w:rPr>
      </w:pPr>
      <w:bookmarkStart w:colFirst="0" w:colLast="0" w:name="_23n0kkpqrwuk" w:id="56"/>
      <w:bookmarkEnd w:id="56"/>
      <w:r w:rsidDel="00000000" w:rsidR="00000000" w:rsidRPr="00000000">
        <w:rPr>
          <w:b w:val="1"/>
          <w:bCs w:val="1"/>
          <w:sz w:val="34"/>
          <w:szCs w:val="34"/>
          <w:rtl w:val="0"/>
        </w:rPr>
        <w:t xml:space="preserve">Conclusion</w:t>
      </w:r>
    </w:p>
    <w:p w:rsidR="00000000" w:rsidDel="00000000" w:rsidP="00000000" w:rsidRDefault="00000000" w:rsidRPr="00000000" w14:paraId="00000114">
      <w:pPr>
        <w:spacing w:after="240" w:before="240" w:lineRule="auto"/>
        <w:ind w:left="600" w:right="600" w:firstLine="0"/>
        <w:rPr/>
      </w:pPr>
      <w:r w:rsidDel="00000000" w:rsidR="00000000" w:rsidRPr="00000000">
        <w:rPr>
          <w:rtl w:val="0"/>
        </w:rPr>
        <w:t xml:space="preserve">The portfolio’s return behavior is primarily explained by </w:t>
      </w:r>
      <w:r w:rsidDel="00000000" w:rsidR="00000000" w:rsidRPr="00000000">
        <w:rPr>
          <w:b w:val="1"/>
          <w:bCs w:val="1"/>
          <w:rtl w:val="0"/>
        </w:rPr>
        <w:t xml:space="preserve">market exposure</w:t>
      </w:r>
      <w:r w:rsidDel="00000000" w:rsidR="00000000" w:rsidRPr="00000000">
        <w:rPr>
          <w:rtl w:val="0"/>
        </w:rPr>
        <w:t xml:space="preserve">, with secondary influences from </w:t>
      </w:r>
      <w:r w:rsidDel="00000000" w:rsidR="00000000" w:rsidRPr="00000000">
        <w:rPr>
          <w:b w:val="1"/>
          <w:bCs w:val="1"/>
          <w:rtl w:val="0"/>
        </w:rPr>
        <w:t xml:space="preserve">large-cap orientation, growth stock bias, profitability strength, and disciplined corporate investment behavior</w:t>
      </w:r>
      <w:r w:rsidDel="00000000" w:rsidR="00000000" w:rsidRPr="00000000">
        <w:rPr>
          <w:rtl w:val="0"/>
        </w:rPr>
        <w:t xml:space="preserve">. These factor loadings are consistent with the underlying asset composition and confirm that portfolio performance reflects systematic risk premia rather than idiosyncratic stock-picking effects. Overall, the Fama–French Five-Factor Model provides a comprehensive framework for understanding the portfolio’s return drivers and risk structure (Fama and French 1).</w:t>
      </w:r>
    </w:p>
    <w:p w:rsidR="00000000" w:rsidDel="00000000" w:rsidP="00000000" w:rsidRDefault="00000000" w:rsidRPr="00000000" w14:paraId="00000115">
      <w:pPr>
        <w:pStyle w:val="Heading1"/>
        <w:keepNext w:val="0"/>
        <w:keepLines w:val="0"/>
        <w:spacing w:before="480" w:lineRule="auto"/>
        <w:ind w:right="600"/>
        <w:rPr>
          <w:b w:val="1"/>
          <w:bCs w:val="1"/>
          <w:sz w:val="46"/>
          <w:szCs w:val="46"/>
        </w:rPr>
      </w:pPr>
      <w:bookmarkStart w:colFirst="0" w:colLast="0" w:name="_b4apo0oyob99" w:id="57"/>
      <w:bookmarkEnd w:id="57"/>
      <w:r w:rsidDel="00000000" w:rsidR="00000000" w:rsidRPr="00000000">
        <w:rPr>
          <w:rtl w:val="0"/>
        </w:rPr>
      </w:r>
    </w:p>
    <w:p w:rsidR="00000000" w:rsidDel="00000000" w:rsidP="00000000" w:rsidRDefault="00000000" w:rsidRPr="00000000" w14:paraId="00000116">
      <w:pPr>
        <w:pStyle w:val="Heading1"/>
        <w:keepNext w:val="0"/>
        <w:keepLines w:val="0"/>
        <w:spacing w:before="480" w:lineRule="auto"/>
        <w:ind w:right="600"/>
        <w:rPr>
          <w:b w:val="1"/>
          <w:bCs w:val="1"/>
          <w:sz w:val="46"/>
          <w:szCs w:val="46"/>
        </w:rPr>
      </w:pPr>
      <w:bookmarkStart w:colFirst="0" w:colLast="0" w:name="_xv5w1pvji9ac" w:id="58"/>
      <w:bookmarkEnd w:id="58"/>
      <w:r w:rsidDel="00000000" w:rsidR="00000000" w:rsidRPr="00000000">
        <w:rPr>
          <w:b w:val="1"/>
          <w:bCs w:val="1"/>
          <w:sz w:val="46"/>
          <w:szCs w:val="46"/>
          <w:rtl w:val="0"/>
        </w:rPr>
        <w:t xml:space="preserve">References</w:t>
      </w:r>
    </w:p>
    <w:p w:rsidR="00000000" w:rsidDel="00000000" w:rsidP="00000000" w:rsidRDefault="00000000" w:rsidRPr="00000000" w14:paraId="00000117">
      <w:pPr>
        <w:spacing w:after="240" w:before="240" w:lineRule="auto"/>
        <w:rPr/>
      </w:pPr>
      <w:r w:rsidDel="00000000" w:rsidR="00000000" w:rsidRPr="00000000">
        <w:rPr>
          <w:rtl w:val="0"/>
        </w:rPr>
        <w:t xml:space="preserve">Cont, Rama. </w:t>
      </w:r>
      <w:r w:rsidDel="00000000" w:rsidR="00000000" w:rsidRPr="00000000">
        <w:rPr>
          <w:i w:val="1"/>
          <w:iCs w:val="1"/>
          <w:rtl w:val="0"/>
        </w:rPr>
        <w:t xml:space="preserve">“Empirical Properties of Asset Returns: Stylized Facts and Statistical Issues.”</w:t>
      </w:r>
      <w:r w:rsidDel="00000000" w:rsidR="00000000" w:rsidRPr="00000000">
        <w:rPr>
          <w:rtl w:val="0"/>
        </w:rPr>
        <w:t xml:space="preserve"> </w:t>
      </w:r>
      <w:r w:rsidDel="00000000" w:rsidR="00000000" w:rsidRPr="00000000">
        <w:rPr>
          <w:b w:val="1"/>
          <w:bCs w:val="1"/>
          <w:rtl w:val="0"/>
        </w:rPr>
        <w:t xml:space="preserve">Quantitative Finance</w:t>
      </w:r>
      <w:r w:rsidDel="00000000" w:rsidR="00000000" w:rsidRPr="00000000">
        <w:rPr>
          <w:rtl w:val="0"/>
        </w:rPr>
        <w:t xml:space="preserve">, vol. 1, no. 2, 2001, pp. 223–236.</w:t>
      </w:r>
    </w:p>
    <w:p w:rsidR="00000000" w:rsidDel="00000000" w:rsidP="00000000" w:rsidRDefault="00000000" w:rsidRPr="00000000" w14:paraId="00000118">
      <w:pPr>
        <w:spacing w:after="240" w:before="240" w:lineRule="auto"/>
        <w:rPr/>
      </w:pPr>
      <w:r w:rsidDel="00000000" w:rsidR="00000000" w:rsidRPr="00000000">
        <w:rPr>
          <w:rtl w:val="0"/>
        </w:rPr>
        <w:t xml:space="preserve">Fama, Eugene F., and Kenneth R. French. </w:t>
      </w:r>
      <w:r w:rsidDel="00000000" w:rsidR="00000000" w:rsidRPr="00000000">
        <w:rPr>
          <w:i w:val="1"/>
          <w:iCs w:val="1"/>
          <w:rtl w:val="0"/>
        </w:rPr>
        <w:t xml:space="preserve">“A Five-Factor Asset Pricing Model.”</w:t>
      </w:r>
      <w:r w:rsidDel="00000000" w:rsidR="00000000" w:rsidRPr="00000000">
        <w:rPr>
          <w:rtl w:val="0"/>
        </w:rPr>
        <w:t xml:space="preserve"> Journal of Financial Economics, vol. 116, no. 1, 2015, pp. 1–22.</w:t>
      </w:r>
    </w:p>
    <w:p w:rsidR="00000000" w:rsidDel="00000000" w:rsidP="00000000" w:rsidRDefault="00000000" w:rsidRPr="00000000" w14:paraId="00000119">
      <w:pPr>
        <w:spacing w:after="240" w:before="240" w:lineRule="auto"/>
        <w:rPr/>
      </w:pPr>
      <w:r w:rsidDel="00000000" w:rsidR="00000000" w:rsidRPr="00000000">
        <w:rPr>
          <w:rtl w:val="0"/>
        </w:rPr>
        <w:t xml:space="preserve">Fama, Eugene F. </w:t>
      </w:r>
      <w:r w:rsidDel="00000000" w:rsidR="00000000" w:rsidRPr="00000000">
        <w:rPr>
          <w:i w:val="1"/>
          <w:iCs w:val="1"/>
          <w:rtl w:val="0"/>
        </w:rPr>
        <w:t xml:space="preserve">“Efficient Capital Markets: A Review of Theory and Empirical Work.”</w:t>
      </w:r>
      <w:r w:rsidDel="00000000" w:rsidR="00000000" w:rsidRPr="00000000">
        <w:rPr>
          <w:rtl w:val="0"/>
        </w:rPr>
        <w:t xml:space="preserve"> Journal of Finance, vol. 25, no. 2, 1970, pp. 383–417.</w:t>
      </w:r>
    </w:p>
    <w:p w:rsidR="00000000" w:rsidDel="00000000" w:rsidP="00000000" w:rsidRDefault="00000000" w:rsidRPr="00000000" w14:paraId="0000011A">
      <w:pPr>
        <w:spacing w:after="240" w:before="240" w:lineRule="auto"/>
        <w:rPr/>
      </w:pPr>
      <w:r w:rsidDel="00000000" w:rsidR="00000000" w:rsidRPr="00000000">
        <w:rPr>
          <w:rtl w:val="0"/>
        </w:rPr>
        <w:t xml:space="preserve">Hansen, Peter R. </w:t>
      </w:r>
      <w:r w:rsidDel="00000000" w:rsidR="00000000" w:rsidRPr="00000000">
        <w:rPr>
          <w:i w:val="1"/>
          <w:iCs w:val="1"/>
          <w:rtl w:val="0"/>
        </w:rPr>
        <w:t xml:space="preserve">“Structural Breaks and Forecast Model Stability.”</w:t>
      </w:r>
      <w:r w:rsidDel="00000000" w:rsidR="00000000" w:rsidRPr="00000000">
        <w:rPr>
          <w:rtl w:val="0"/>
        </w:rPr>
        <w:t xml:space="preserve"> </w:t>
      </w:r>
      <w:r w:rsidDel="00000000" w:rsidR="00000000" w:rsidRPr="00000000">
        <w:rPr>
          <w:b w:val="1"/>
          <w:bCs w:val="1"/>
          <w:rtl w:val="0"/>
        </w:rPr>
        <w:t xml:space="preserve">Journal of Econometrics</w:t>
      </w:r>
      <w:r w:rsidDel="00000000" w:rsidR="00000000" w:rsidRPr="00000000">
        <w:rPr>
          <w:rtl w:val="0"/>
        </w:rPr>
        <w:t xml:space="preserve">, vol. 158, 2010, pp. 401–418.</w:t>
      </w:r>
    </w:p>
    <w:p w:rsidR="00000000" w:rsidDel="00000000" w:rsidP="00000000" w:rsidRDefault="00000000" w:rsidRPr="00000000" w14:paraId="0000011B">
      <w:pPr>
        <w:spacing w:after="240" w:before="240" w:lineRule="auto"/>
        <w:rPr/>
      </w:pPr>
      <w:r w:rsidDel="00000000" w:rsidR="00000000" w:rsidRPr="00000000">
        <w:rPr>
          <w:rtl w:val="0"/>
        </w:rPr>
        <w:t xml:space="preserve">Kenneth R. French Data Library. </w:t>
      </w:r>
      <w:r w:rsidDel="00000000" w:rsidR="00000000" w:rsidRPr="00000000">
        <w:rPr>
          <w:i w:val="1"/>
          <w:iCs w:val="1"/>
          <w:rtl w:val="0"/>
        </w:rPr>
        <w:t xml:space="preserve">Fama/French Five-Factor Research Data.</w:t>
      </w:r>
      <w:r w:rsidDel="00000000" w:rsidR="00000000" w:rsidRPr="00000000">
        <w:rPr>
          <w:rtl w:val="0"/>
        </w:rPr>
        <w:t xml:space="preserve"> Dartmouth College, 2023–2025.</w:t>
      </w:r>
    </w:p>
    <w:p w:rsidR="00000000" w:rsidDel="00000000" w:rsidP="00000000" w:rsidRDefault="00000000" w:rsidRPr="00000000" w14:paraId="0000011C">
      <w:pPr>
        <w:spacing w:after="240" w:before="240" w:lineRule="auto"/>
        <w:rPr/>
      </w:pPr>
      <w:r w:rsidDel="00000000" w:rsidR="00000000" w:rsidRPr="00000000">
        <w:rPr>
          <w:rtl w:val="0"/>
        </w:rPr>
        <w:t xml:space="preserve">White, Halbert. </w:t>
      </w:r>
      <w:r w:rsidDel="00000000" w:rsidR="00000000" w:rsidRPr="00000000">
        <w:rPr>
          <w:i w:val="1"/>
          <w:iCs w:val="1"/>
          <w:rtl w:val="0"/>
        </w:rPr>
        <w:t xml:space="preserve">“A Heteroskedasticity-Consistent Covariance Matrix Estimator and a Direct Test for Heteroskedasticity.”</w:t>
      </w:r>
      <w:r w:rsidDel="00000000" w:rsidR="00000000" w:rsidRPr="00000000">
        <w:rPr>
          <w:rtl w:val="0"/>
        </w:rPr>
        <w:t xml:space="preserve"> </w:t>
      </w:r>
      <w:r w:rsidDel="00000000" w:rsidR="00000000" w:rsidRPr="00000000">
        <w:rPr>
          <w:b w:val="1"/>
          <w:bCs w:val="1"/>
          <w:rtl w:val="0"/>
        </w:rPr>
        <w:t xml:space="preserve">Econometrica</w:t>
      </w:r>
      <w:r w:rsidDel="00000000" w:rsidR="00000000" w:rsidRPr="00000000">
        <w:rPr>
          <w:rtl w:val="0"/>
        </w:rPr>
        <w:t xml:space="preserve">, vol. 48, no. 4, 1980, pp. 817–838.</w:t>
      </w:r>
    </w:p>
    <w:p w:rsidR="00000000" w:rsidDel="00000000" w:rsidP="00000000" w:rsidRDefault="00000000" w:rsidRPr="00000000" w14:paraId="0000011D">
      <w:pPr>
        <w:spacing w:after="240" w:before="240" w:lineRule="auto"/>
        <w:rPr/>
      </w:pPr>
      <w:r w:rsidDel="00000000" w:rsidR="00000000" w:rsidRPr="00000000">
        <w:rPr>
          <w:rtl w:val="0"/>
        </w:rPr>
        <w:t xml:space="preserve">Wooldridge, Jeffrey M. </w:t>
      </w:r>
      <w:r w:rsidDel="00000000" w:rsidR="00000000" w:rsidRPr="00000000">
        <w:rPr>
          <w:i w:val="1"/>
          <w:iCs w:val="1"/>
          <w:rtl w:val="0"/>
        </w:rPr>
        <w:t xml:space="preserve">Introductory Econometrics: A Modern Approach.</w:t>
      </w:r>
      <w:r w:rsidDel="00000000" w:rsidR="00000000" w:rsidRPr="00000000">
        <w:rPr>
          <w:rtl w:val="0"/>
        </w:rPr>
        <w:t xml:space="preserve"> 6th ed., Cengage Learning, 2016.</w:t>
      </w: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odecogs.com/eqnedit.php?latex=CMA#0" TargetMode="External"/><Relationship Id="rId22" Type="http://schemas.openxmlformats.org/officeDocument/2006/relationships/hyperlink" Target="https://www.codecogs.com/eqnedit.php?latex=%5Calpha#0" TargetMode="External"/><Relationship Id="rId21" Type="http://schemas.openxmlformats.org/officeDocument/2006/relationships/image" Target="media/image8.png"/><Relationship Id="rId24" Type="http://schemas.openxmlformats.org/officeDocument/2006/relationships/hyperlink" Target="https://www.codecogs.com/eqnedit.php?latex=%5Cbeta_i#0" TargetMode="External"/><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yperlink" Target="https://www.codecogs.com/eqnedit.php?latex=%5Cepsilon#0" TargetMode="External"/><Relationship Id="rId25" Type="http://schemas.openxmlformats.org/officeDocument/2006/relationships/image" Target="media/image12.png"/><Relationship Id="rId28" Type="http://schemas.openxmlformats.org/officeDocument/2006/relationships/hyperlink" Target="https://www.codecogs.com/eqnedit.php?latex=R_%7Bp%2Ct%7D%20%3D%20%5Csum_%7Bi%3D1%7D%5E%7B10%7D%20w_i%20R_%7Bi%2Ct%7D#0" TargetMode="External"/><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www.codecogs.com/eqnedit.php?latex=E(R_p)%20-%20R_f%20%3D%20%5Calpha%20%2B%20%5Cbeta_1%20(R_m%20-%20R_f)%20%2B%20%5Cbeta_2%20SMB%20%2B%20%5Cbeta_3%20HML%20%2B%20%5Cbeta_4%20RMW%20%2B%20%5Cbeta_5%20CMA%20%2B%20%5Cepsilon#0" TargetMode="External"/><Relationship Id="rId29" Type="http://schemas.openxmlformats.org/officeDocument/2006/relationships/image" Target="media/image5.png"/><Relationship Id="rId7" Type="http://schemas.openxmlformats.org/officeDocument/2006/relationships/image" Target="media/image16.png"/><Relationship Id="rId8" Type="http://schemas.openxmlformats.org/officeDocument/2006/relationships/hyperlink" Target="https://www.codecogs.com/eqnedit.php?latex=R_p#0" TargetMode="External"/><Relationship Id="rId31" Type="http://schemas.openxmlformats.org/officeDocument/2006/relationships/image" Target="media/image1.png"/><Relationship Id="rId30" Type="http://schemas.openxmlformats.org/officeDocument/2006/relationships/hyperlink" Target="https://www.codecogs.com/eqnedit.php?latex=w_i#0" TargetMode="External"/><Relationship Id="rId11" Type="http://schemas.openxmlformats.org/officeDocument/2006/relationships/image" Target="media/image4.png"/><Relationship Id="rId33" Type="http://schemas.openxmlformats.org/officeDocument/2006/relationships/image" Target="media/image17.png"/><Relationship Id="rId10" Type="http://schemas.openxmlformats.org/officeDocument/2006/relationships/hyperlink" Target="https://www.codecogs.com/eqnedit.php?latex=R_f#0" TargetMode="External"/><Relationship Id="rId32" Type="http://schemas.openxmlformats.org/officeDocument/2006/relationships/hyperlink" Target="https://www.codecogs.com/eqnedit.php?latex=%5Calpha%20%3E%200%20%5CRightarrow%20%5Ctext%7BPositive%20abnormal%20performance%7D#0" TargetMode="External"/><Relationship Id="rId13" Type="http://schemas.openxmlformats.org/officeDocument/2006/relationships/image" Target="media/image13.png"/><Relationship Id="rId35" Type="http://schemas.openxmlformats.org/officeDocument/2006/relationships/image" Target="media/image15.png"/><Relationship Id="rId12" Type="http://schemas.openxmlformats.org/officeDocument/2006/relationships/hyperlink" Target="https://www.codecogs.com/eqnedit.php?latex=R_m#0" TargetMode="External"/><Relationship Id="rId34" Type="http://schemas.openxmlformats.org/officeDocument/2006/relationships/hyperlink" Target="https://www.codecogs.com/eqnedit.php?latex=%5Calpha%20%3D%200%20%5CRightarrow%20%5Ctext%7BNo%20abnormal%20return%20beyond%20factor%20exposures%7D#0" TargetMode="External"/><Relationship Id="rId15" Type="http://schemas.openxmlformats.org/officeDocument/2006/relationships/image" Target="media/image7.png"/><Relationship Id="rId37" Type="http://schemas.openxmlformats.org/officeDocument/2006/relationships/image" Target="media/image6.png"/><Relationship Id="rId14" Type="http://schemas.openxmlformats.org/officeDocument/2006/relationships/hyperlink" Target="https://www.codecogs.com/eqnedit.php?latex=SMB#0" TargetMode="External"/><Relationship Id="rId36" Type="http://schemas.openxmlformats.org/officeDocument/2006/relationships/hyperlink" Target="https://www.codecogs.com/eqnedit.php?latex=%5Calpha%20%3C%200%20%5CRightarrow%20%5Ctext%7BUnderperformance%7D#0" TargetMode="External"/><Relationship Id="rId17" Type="http://schemas.openxmlformats.org/officeDocument/2006/relationships/image" Target="media/image11.png"/><Relationship Id="rId16" Type="http://schemas.openxmlformats.org/officeDocument/2006/relationships/hyperlink" Target="https://www.codecogs.com/eqnedit.php?latex=HML#0" TargetMode="External"/><Relationship Id="rId38" Type="http://schemas.openxmlformats.org/officeDocument/2006/relationships/hyperlink" Target="https://www.codecogs.com/eqnedit.php?latex=E(R_p)%20-%20R_f%20%3D%20%5Calpha%20%2B%20%5Cbeta_1%20(R_m%20-%20R_f)%20%2B%20%5Cbeta_2%20SMB%20%2B%20%5Cbeta_3%20HML%20%2B%20%5Cbeta_4%20RMW%20%2B%20%5Cbeta_5%20CMA%20%2B%20%5Cepsilon#0" TargetMode="External"/><Relationship Id="rId19" Type="http://schemas.openxmlformats.org/officeDocument/2006/relationships/image" Target="media/image9.png"/><Relationship Id="rId18" Type="http://schemas.openxmlformats.org/officeDocument/2006/relationships/hyperlink" Target="https://www.codecogs.com/eqnedit.php?latex=RMW#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