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46"/>
          <w:szCs w:val="46"/>
        </w:rPr>
      </w:pPr>
      <w:r w:rsidDel="00000000" w:rsidR="00000000" w:rsidRPr="00000000">
        <w:rPr>
          <w:b w:val="1"/>
          <w:sz w:val="46"/>
          <w:szCs w:val="46"/>
          <w:rtl w:val="0"/>
        </w:rPr>
        <w:t xml:space="preserve">Step 5</w:t>
      </w:r>
    </w:p>
    <w:p w:rsidR="00000000" w:rsidDel="00000000" w:rsidP="00000000" w:rsidRDefault="00000000" w:rsidRPr="00000000" w14:paraId="00000002">
      <w:pPr>
        <w:pStyle w:val="Heading1"/>
        <w:keepNext w:val="0"/>
        <w:keepLines w:val="0"/>
        <w:spacing w:before="480" w:lineRule="auto"/>
        <w:jc w:val="both"/>
        <w:rPr>
          <w:b w:val="1"/>
          <w:sz w:val="46"/>
          <w:szCs w:val="46"/>
        </w:rPr>
      </w:pPr>
      <w:bookmarkStart w:colFirst="0" w:colLast="0" w:name="_9zwvh565d6lm" w:id="0"/>
      <w:bookmarkEnd w:id="0"/>
      <w:r w:rsidDel="00000000" w:rsidR="00000000" w:rsidRPr="00000000">
        <w:rPr>
          <w:b w:val="1"/>
          <w:sz w:val="46"/>
          <w:szCs w:val="46"/>
          <w:rtl w:val="0"/>
        </w:rPr>
        <w:t xml:space="preserve">Marketing Alpha: Leveraging Advanced Machine Learning Models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The adoption of advanced machine learning (ML) methodologies—Linear Discriminant Analysis (LDA), Support Vector Machines (SVMs), and Neural Networks (NNs)—represents a significant step forward in transforming financial and marketing strategies. These tools provide more powerful, flexible, and accurate methods for handling large, noisy, and nonlinear data compared to the foundational models previously applied. When integrated thoughtfully, these techniques create “marketing alpha”: predictive insights that enhance customer engagement, risk management, and portfolio decision-making.</w:t>
      </w:r>
    </w:p>
    <w:p w:rsidR="00000000" w:rsidDel="00000000" w:rsidP="00000000" w:rsidRDefault="00000000" w:rsidRPr="00000000" w14:paraId="00000004">
      <w:pPr>
        <w:pStyle w:val="Heading3"/>
        <w:keepNext w:val="0"/>
        <w:keepLines w:val="0"/>
        <w:spacing w:before="280" w:lineRule="auto"/>
        <w:jc w:val="both"/>
        <w:rPr>
          <w:b w:val="1"/>
          <w:color w:val="000000"/>
          <w:sz w:val="26"/>
          <w:szCs w:val="26"/>
        </w:rPr>
      </w:pPr>
      <w:bookmarkStart w:colFirst="0" w:colLast="0" w:name="_v8p5pkgu9gcz" w:id="1"/>
      <w:bookmarkEnd w:id="1"/>
      <w:r w:rsidDel="00000000" w:rsidR="00000000" w:rsidRPr="00000000">
        <w:rPr>
          <w:b w:val="1"/>
          <w:color w:val="000000"/>
          <w:sz w:val="26"/>
          <w:szCs w:val="26"/>
          <w:rtl w:val="0"/>
        </w:rPr>
        <w:t xml:space="preserve">Linear Discriminant Analysis (LDA)</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LDA is a supervised classification method designed to maximize class separability by projecting features onto a lower-dimensional space (Fisher, 1936). In marketing, this translates into clearer customer segmentation, where groups such as “likely churners” and “loyal customers” can be effectively separated using historical transaction or demographic data. LDA’s advantages include interpretability and computational efficiency, making it especially suitable for cases where model transparency is essential (Martínez &amp; Kak, 2001). In finance, LDA has been applied for bankruptcy prediction and credit risk classification, providing firms with robust decision-making tools in customer credit scoring (Altman et al., 2010).</w:t>
      </w:r>
    </w:p>
    <w:p w:rsidR="00000000" w:rsidDel="00000000" w:rsidP="00000000" w:rsidRDefault="00000000" w:rsidRPr="00000000" w14:paraId="00000006">
      <w:pPr>
        <w:pStyle w:val="Heading3"/>
        <w:keepNext w:val="0"/>
        <w:keepLines w:val="0"/>
        <w:spacing w:before="280" w:lineRule="auto"/>
        <w:jc w:val="both"/>
        <w:rPr>
          <w:b w:val="1"/>
          <w:color w:val="000000"/>
          <w:sz w:val="26"/>
          <w:szCs w:val="26"/>
        </w:rPr>
      </w:pPr>
      <w:bookmarkStart w:colFirst="0" w:colLast="0" w:name="_ds4bpyus6p2d" w:id="2"/>
      <w:bookmarkEnd w:id="2"/>
      <w:r w:rsidDel="00000000" w:rsidR="00000000" w:rsidRPr="00000000">
        <w:rPr>
          <w:b w:val="1"/>
          <w:color w:val="000000"/>
          <w:sz w:val="26"/>
          <w:szCs w:val="26"/>
          <w:rtl w:val="0"/>
        </w:rPr>
        <w:t xml:space="preserve">Support Vector Machines (SVMs)</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SVMs extend the classification power by finding hyperplanes that maximize the margin between classes. Their ability to incorporate kernel functions enables them to model highly nonlinear and high-dimensional relationships, such as predicting which customer behaviors lead to product adoption or churn (Cortes &amp; Vapnik, 1995). In finance, SVMs have been successfully used for stock price prediction, default risk modeling, and option pricing, demonstrating robustness even with noisy and unstructured data (Huang et al., 2005).</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The strength of SVMs lies in their balance between flexibility and generalization. Unlike tree-based models that may overfit, SVMs prioritize the most “critical” boundary cases, which makes them effective in handling imbalanced datasets (a common issue in fraud detection or churn prediction). However, their computational cost and reduced interpretability remain practical considerations.</w:t>
      </w:r>
    </w:p>
    <w:p w:rsidR="00000000" w:rsidDel="00000000" w:rsidP="00000000" w:rsidRDefault="00000000" w:rsidRPr="00000000" w14:paraId="00000009">
      <w:pPr>
        <w:pStyle w:val="Heading3"/>
        <w:keepNext w:val="0"/>
        <w:keepLines w:val="0"/>
        <w:spacing w:before="280" w:lineRule="auto"/>
        <w:jc w:val="both"/>
        <w:rPr>
          <w:b w:val="1"/>
          <w:color w:val="000000"/>
          <w:sz w:val="26"/>
          <w:szCs w:val="26"/>
        </w:rPr>
      </w:pPr>
      <w:bookmarkStart w:colFirst="0" w:colLast="0" w:name="_8pwrotxozvyn" w:id="3"/>
      <w:bookmarkEnd w:id="3"/>
      <w:r w:rsidDel="00000000" w:rsidR="00000000" w:rsidRPr="00000000">
        <w:rPr>
          <w:b w:val="1"/>
          <w:color w:val="000000"/>
          <w:sz w:val="26"/>
          <w:szCs w:val="26"/>
          <w:rtl w:val="0"/>
        </w:rPr>
        <w:t xml:space="preserve">Neural Networks (NNs)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Neural Networks (and their deeper variants, Deep Learning models) provide unmatched flexibility in approximating complex, nonlinear functions (Hornik et al., 1989). Their layered structure allows automatic feature extraction, making them highly effective for applications such as churn prediction, customer lifetime value estimation, and sentiment analysis of customer feedback. In finance, ANNs have been applied to credit scoring, financial distress prediction, and portfolio optimization (Dube et al., 2021).</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A key advantage of NNs is scalability—they handle high-dimensional, unstructured data such as transaction histories, text, or even time-series signals with architectures like Recurrent Neural Networks (RNNs) and Long Short-Term Memory (LSTM) networks (Hochreiter &amp; Schmidhuber, 1997). For marketing teams, this means uncovering hidden patterns in sequential customer behavior, such as repeat purchase cycles or churn timelines. Nevertheless, challenges such as overfitting, high computational costs, and limited interpretability must be managed through regularization techniques, dropout, and model explainability frameworks (Zhang et al., 2018).</w:t>
      </w:r>
    </w:p>
    <w:p w:rsidR="00000000" w:rsidDel="00000000" w:rsidP="00000000" w:rsidRDefault="00000000" w:rsidRPr="00000000" w14:paraId="0000000C">
      <w:pPr>
        <w:pStyle w:val="Heading3"/>
        <w:keepNext w:val="0"/>
        <w:keepLines w:val="0"/>
        <w:spacing w:before="280" w:lineRule="auto"/>
        <w:jc w:val="both"/>
        <w:rPr>
          <w:b w:val="1"/>
          <w:color w:val="000000"/>
          <w:sz w:val="26"/>
          <w:szCs w:val="26"/>
        </w:rPr>
      </w:pPr>
      <w:bookmarkStart w:colFirst="0" w:colLast="0" w:name="_8cuqfxt833i9" w:id="4"/>
      <w:bookmarkEnd w:id="4"/>
      <w:r w:rsidDel="00000000" w:rsidR="00000000" w:rsidRPr="00000000">
        <w:rPr>
          <w:b w:val="1"/>
          <w:color w:val="000000"/>
          <w:sz w:val="26"/>
          <w:szCs w:val="26"/>
          <w:rtl w:val="0"/>
        </w:rPr>
        <w:t xml:space="preserve">Why These Models Create Marketing Alpha</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Together, LDA, SVMs, and NNs significantly improve predictive accuracy and customer insights beyond traditional statistical methods. LDA ensures transparency and quick interpretability for executives. SVMs provide robust handling of nonlinearities and noise, ideal for churn and fraud detection. NNs contribute deep pattern recognition from complex customer journeys and financial signals.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By combining these strengths, businesses can unlock marketing alpha—better targeting of promotions, smarter risk-adjusted product recommendations, and more resilient trading strategies. Crucially, these models enable firms not only to predict outcomes but to </w:t>
      </w:r>
      <w:r w:rsidDel="00000000" w:rsidR="00000000" w:rsidRPr="00000000">
        <w:rPr>
          <w:i w:val="1"/>
          <w:rtl w:val="0"/>
        </w:rPr>
        <w:t xml:space="preserve">understand and adapt to underlying behavioral patterns</w:t>
      </w:r>
      <w:r w:rsidDel="00000000" w:rsidR="00000000" w:rsidRPr="00000000">
        <w:rPr>
          <w:rtl w:val="0"/>
        </w:rPr>
        <w:t xml:space="preserve">, strengthening long-term customer relationships and financial resilience.</w:t>
      </w:r>
    </w:p>
    <w:p w:rsidR="00000000" w:rsidDel="00000000" w:rsidP="00000000" w:rsidRDefault="00000000" w:rsidRPr="00000000" w14:paraId="0000000F">
      <w:pPr>
        <w:spacing w:after="240" w:before="240" w:lineRule="auto"/>
        <w:jc w:val="both"/>
        <w:rPr>
          <w:b w:val="1"/>
        </w:rPr>
      </w:pPr>
      <w:r w:rsidDel="00000000" w:rsidR="00000000" w:rsidRPr="00000000">
        <w:rPr>
          <w:b w:val="1"/>
          <w:rtl w:val="0"/>
        </w:rPr>
        <w:t xml:space="preserve">Comparative Overview: LDA, SVM, and Neural Networks</w:t>
      </w:r>
    </w:p>
    <w:p w:rsidR="00000000" w:rsidDel="00000000" w:rsidP="00000000" w:rsidRDefault="00000000" w:rsidRPr="00000000" w14:paraId="00000010">
      <w:pPr>
        <w:spacing w:after="240" w:before="240" w:lineRule="auto"/>
        <w:jc w:val="both"/>
        <w:rPr>
          <w:b w:val="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Advantages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Challenges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Linear Discriminant Analysis (LDA)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numPr>
                <w:ilvl w:val="0"/>
                <w:numId w:val="3"/>
              </w:numPr>
              <w:spacing w:line="240" w:lineRule="auto"/>
              <w:ind w:left="720" w:hanging="360"/>
              <w:jc w:val="both"/>
              <w:rPr>
                <w:u w:val="none"/>
              </w:rPr>
            </w:pPr>
            <w:r w:rsidDel="00000000" w:rsidR="00000000" w:rsidRPr="00000000">
              <w:rPr>
                <w:rtl w:val="0"/>
              </w:rPr>
              <w:t xml:space="preserve">Simple, interpretable results (Martínez &amp; Kak, 2001)</w:t>
            </w:r>
          </w:p>
          <w:p w:rsidR="00000000" w:rsidDel="00000000" w:rsidP="00000000" w:rsidRDefault="00000000" w:rsidRPr="00000000" w14:paraId="00000016">
            <w:pPr>
              <w:widowControl w:val="0"/>
              <w:numPr>
                <w:ilvl w:val="0"/>
                <w:numId w:val="3"/>
              </w:numPr>
              <w:spacing w:line="240" w:lineRule="auto"/>
              <w:ind w:left="720" w:hanging="360"/>
              <w:jc w:val="both"/>
              <w:rPr>
                <w:u w:val="none"/>
              </w:rPr>
            </w:pPr>
            <w:r w:rsidDel="00000000" w:rsidR="00000000" w:rsidRPr="00000000">
              <w:rPr>
                <w:rtl w:val="0"/>
              </w:rPr>
              <w:t xml:space="preserve">Computationally efficient</w:t>
            </w:r>
          </w:p>
          <w:p w:rsidR="00000000" w:rsidDel="00000000" w:rsidP="00000000" w:rsidRDefault="00000000" w:rsidRPr="00000000" w14:paraId="00000017">
            <w:pPr>
              <w:widowControl w:val="0"/>
              <w:numPr>
                <w:ilvl w:val="0"/>
                <w:numId w:val="3"/>
              </w:numPr>
              <w:spacing w:line="240" w:lineRule="auto"/>
              <w:ind w:left="720" w:hanging="360"/>
              <w:jc w:val="both"/>
              <w:rPr>
                <w:u w:val="none"/>
              </w:rPr>
            </w:pPr>
            <w:r w:rsidDel="00000000" w:rsidR="00000000" w:rsidRPr="00000000">
              <w:rPr>
                <w:rtl w:val="0"/>
              </w:rPr>
              <w:t xml:space="preserve">Effective when classes are linearly separable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5"/>
              </w:numPr>
              <w:spacing w:line="240" w:lineRule="auto"/>
              <w:ind w:left="720" w:hanging="360"/>
              <w:jc w:val="both"/>
              <w:rPr>
                <w:u w:val="none"/>
              </w:rPr>
            </w:pPr>
            <w:r w:rsidDel="00000000" w:rsidR="00000000" w:rsidRPr="00000000">
              <w:rPr>
                <w:rtl w:val="0"/>
              </w:rPr>
              <w:t xml:space="preserve">Assumes normal distribution and equal covariance (Fisher, 1936)</w:t>
            </w:r>
          </w:p>
          <w:p w:rsidR="00000000" w:rsidDel="00000000" w:rsidP="00000000" w:rsidRDefault="00000000" w:rsidRPr="00000000" w14:paraId="00000019">
            <w:pPr>
              <w:widowControl w:val="0"/>
              <w:numPr>
                <w:ilvl w:val="0"/>
                <w:numId w:val="5"/>
              </w:numPr>
              <w:spacing w:line="240" w:lineRule="auto"/>
              <w:ind w:left="720" w:hanging="360"/>
              <w:jc w:val="both"/>
              <w:rPr>
                <w:u w:val="none"/>
              </w:rPr>
            </w:pPr>
            <w:r w:rsidDel="00000000" w:rsidR="00000000" w:rsidRPr="00000000">
              <w:rPr>
                <w:rtl w:val="0"/>
              </w:rPr>
              <w:t xml:space="preserve">Limited performance on complex nonlinear data</w:t>
            </w:r>
          </w:p>
          <w:p w:rsidR="00000000" w:rsidDel="00000000" w:rsidP="00000000" w:rsidRDefault="00000000" w:rsidRPr="00000000" w14:paraId="0000001A">
            <w:pPr>
              <w:widowControl w:val="0"/>
              <w:numPr>
                <w:ilvl w:val="0"/>
                <w:numId w:val="5"/>
              </w:numPr>
              <w:spacing w:line="240" w:lineRule="auto"/>
              <w:ind w:left="720" w:hanging="360"/>
              <w:jc w:val="both"/>
              <w:rPr>
                <w:u w:val="none"/>
              </w:rPr>
            </w:pPr>
            <w:r w:rsidDel="00000000" w:rsidR="00000000" w:rsidRPr="00000000">
              <w:rPr>
                <w:rtl w:val="0"/>
              </w:rPr>
              <w:t xml:space="preserve">Sensitive to outliers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Support Vector Machines (SVMs)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8"/>
              </w:numPr>
              <w:spacing w:line="240" w:lineRule="auto"/>
              <w:ind w:left="720" w:hanging="360"/>
              <w:jc w:val="both"/>
              <w:rPr>
                <w:u w:val="none"/>
              </w:rPr>
            </w:pPr>
            <w:r w:rsidDel="00000000" w:rsidR="00000000" w:rsidRPr="00000000">
              <w:rPr>
                <w:rtl w:val="0"/>
              </w:rPr>
              <w:t xml:space="preserve">Handles high-dimensional data well (Cortes &amp; Vapnik, 1995)</w:t>
            </w:r>
          </w:p>
          <w:p w:rsidR="00000000" w:rsidDel="00000000" w:rsidP="00000000" w:rsidRDefault="00000000" w:rsidRPr="00000000" w14:paraId="0000001D">
            <w:pPr>
              <w:widowControl w:val="0"/>
              <w:numPr>
                <w:ilvl w:val="0"/>
                <w:numId w:val="8"/>
              </w:numPr>
              <w:spacing w:line="240" w:lineRule="auto"/>
              <w:ind w:left="720" w:hanging="360"/>
              <w:jc w:val="both"/>
              <w:rPr>
                <w:u w:val="none"/>
              </w:rPr>
            </w:pPr>
            <w:r w:rsidDel="00000000" w:rsidR="00000000" w:rsidRPr="00000000">
              <w:rPr>
                <w:rtl w:val="0"/>
              </w:rPr>
              <w:t xml:space="preserve">Effective with small or imbalanced datasets (Huang et al., 2005)</w:t>
            </w:r>
          </w:p>
          <w:p w:rsidR="00000000" w:rsidDel="00000000" w:rsidP="00000000" w:rsidRDefault="00000000" w:rsidRPr="00000000" w14:paraId="0000001E">
            <w:pPr>
              <w:widowControl w:val="0"/>
              <w:numPr>
                <w:ilvl w:val="0"/>
                <w:numId w:val="8"/>
              </w:numPr>
              <w:spacing w:line="240" w:lineRule="auto"/>
              <w:ind w:left="720" w:hanging="360"/>
              <w:jc w:val="both"/>
              <w:rPr>
                <w:u w:val="none"/>
              </w:rPr>
            </w:pPr>
            <w:r w:rsidDel="00000000" w:rsidR="00000000" w:rsidRPr="00000000">
              <w:rPr>
                <w:rtl w:val="0"/>
              </w:rPr>
              <w:t xml:space="preserve">Kernel trick enables nonlinear decision boundaries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7"/>
              </w:numPr>
              <w:spacing w:line="240" w:lineRule="auto"/>
              <w:ind w:left="720" w:hanging="360"/>
              <w:jc w:val="both"/>
              <w:rPr>
                <w:u w:val="none"/>
              </w:rPr>
            </w:pPr>
            <w:r w:rsidDel="00000000" w:rsidR="00000000" w:rsidRPr="00000000">
              <w:rPr>
                <w:rtl w:val="0"/>
              </w:rPr>
              <w:t xml:space="preserve">Computationally expensive with large datasets</w:t>
            </w:r>
          </w:p>
          <w:p w:rsidR="00000000" w:rsidDel="00000000" w:rsidP="00000000" w:rsidRDefault="00000000" w:rsidRPr="00000000" w14:paraId="00000020">
            <w:pPr>
              <w:widowControl w:val="0"/>
              <w:numPr>
                <w:ilvl w:val="0"/>
                <w:numId w:val="7"/>
              </w:numPr>
              <w:spacing w:line="240" w:lineRule="auto"/>
              <w:ind w:left="720" w:hanging="360"/>
              <w:jc w:val="both"/>
              <w:rPr>
                <w:u w:val="none"/>
              </w:rPr>
            </w:pPr>
            <w:r w:rsidDel="00000000" w:rsidR="00000000" w:rsidRPr="00000000">
              <w:rPr>
                <w:rtl w:val="0"/>
              </w:rPr>
              <w:t xml:space="preserve">Requires careful kernel/parameter tuning</w:t>
            </w:r>
          </w:p>
          <w:p w:rsidR="00000000" w:rsidDel="00000000" w:rsidP="00000000" w:rsidRDefault="00000000" w:rsidRPr="00000000" w14:paraId="00000021">
            <w:pPr>
              <w:widowControl w:val="0"/>
              <w:numPr>
                <w:ilvl w:val="0"/>
                <w:numId w:val="7"/>
              </w:numPr>
              <w:spacing w:line="240" w:lineRule="auto"/>
              <w:ind w:left="720" w:hanging="360"/>
              <w:jc w:val="both"/>
              <w:rPr>
                <w:u w:val="none"/>
              </w:rPr>
            </w:pPr>
            <w:r w:rsidDel="00000000" w:rsidR="00000000" w:rsidRPr="00000000">
              <w:rPr>
                <w:rtl w:val="0"/>
              </w:rPr>
              <w:t xml:space="preserve">Less interpretable for managers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rPr>
            </w:pPr>
            <w:r w:rsidDel="00000000" w:rsidR="00000000" w:rsidRPr="00000000">
              <w:rPr>
                <w:b w:val="1"/>
                <w:rtl w:val="0"/>
              </w:rPr>
              <w:t xml:space="preserve">Neural Networks (NNs)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1"/>
              </w:numPr>
              <w:spacing w:line="240" w:lineRule="auto"/>
              <w:ind w:left="720" w:hanging="360"/>
              <w:jc w:val="both"/>
              <w:rPr>
                <w:u w:val="none"/>
              </w:rPr>
            </w:pPr>
            <w:r w:rsidDel="00000000" w:rsidR="00000000" w:rsidRPr="00000000">
              <w:rPr>
                <w:rtl w:val="0"/>
              </w:rPr>
              <w:t xml:space="preserve">Flexible universal function approximators (Hornik et al., 1989)</w:t>
            </w:r>
          </w:p>
          <w:p w:rsidR="00000000" w:rsidDel="00000000" w:rsidP="00000000" w:rsidRDefault="00000000" w:rsidRPr="00000000" w14:paraId="00000024">
            <w:pPr>
              <w:widowControl w:val="0"/>
              <w:numPr>
                <w:ilvl w:val="0"/>
                <w:numId w:val="1"/>
              </w:numPr>
              <w:spacing w:line="240" w:lineRule="auto"/>
              <w:ind w:left="720" w:hanging="360"/>
              <w:jc w:val="both"/>
              <w:rPr>
                <w:u w:val="none"/>
              </w:rPr>
            </w:pPr>
            <w:r w:rsidDel="00000000" w:rsidR="00000000" w:rsidRPr="00000000">
              <w:rPr>
                <w:rtl w:val="0"/>
              </w:rPr>
              <w:t xml:space="preserve">Automatically extract patterns from raw data (e.g., time series, text)</w:t>
            </w:r>
          </w:p>
          <w:p w:rsidR="00000000" w:rsidDel="00000000" w:rsidP="00000000" w:rsidRDefault="00000000" w:rsidRPr="00000000" w14:paraId="00000025">
            <w:pPr>
              <w:widowControl w:val="0"/>
              <w:numPr>
                <w:ilvl w:val="0"/>
                <w:numId w:val="1"/>
              </w:numPr>
              <w:spacing w:line="240" w:lineRule="auto"/>
              <w:ind w:left="720" w:hanging="360"/>
              <w:jc w:val="both"/>
              <w:rPr>
                <w:u w:val="none"/>
              </w:rPr>
            </w:pPr>
            <w:r w:rsidDel="00000000" w:rsidR="00000000" w:rsidRPr="00000000">
              <w:rPr>
                <w:rtl w:val="0"/>
              </w:rPr>
              <w:t xml:space="preserve">Scalable for high-dimensional &amp; unstructured data (Hochreiter &amp; Schmidhuber, 1997)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numPr>
                <w:ilvl w:val="0"/>
                <w:numId w:val="2"/>
              </w:numPr>
              <w:spacing w:line="240" w:lineRule="auto"/>
              <w:ind w:left="720" w:hanging="360"/>
              <w:jc w:val="both"/>
              <w:rPr>
                <w:u w:val="none"/>
              </w:rPr>
            </w:pPr>
            <w:r w:rsidDel="00000000" w:rsidR="00000000" w:rsidRPr="00000000">
              <w:rPr>
                <w:rtl w:val="0"/>
              </w:rPr>
              <w:t xml:space="preserve">Risk of overfitting without regularization</w:t>
            </w:r>
          </w:p>
          <w:p w:rsidR="00000000" w:rsidDel="00000000" w:rsidP="00000000" w:rsidRDefault="00000000" w:rsidRPr="00000000" w14:paraId="00000027">
            <w:pPr>
              <w:widowControl w:val="0"/>
              <w:numPr>
                <w:ilvl w:val="0"/>
                <w:numId w:val="2"/>
              </w:numPr>
              <w:spacing w:line="240" w:lineRule="auto"/>
              <w:ind w:left="720" w:hanging="360"/>
              <w:jc w:val="both"/>
              <w:rPr>
                <w:u w:val="none"/>
              </w:rPr>
            </w:pPr>
            <w:r w:rsidDel="00000000" w:rsidR="00000000" w:rsidRPr="00000000">
              <w:rPr>
                <w:rtl w:val="0"/>
              </w:rPr>
              <w:t xml:space="preserve">“Black box” interpretability issues (Zhang et al., 2018)</w:t>
            </w:r>
          </w:p>
          <w:p w:rsidR="00000000" w:rsidDel="00000000" w:rsidP="00000000" w:rsidRDefault="00000000" w:rsidRPr="00000000" w14:paraId="00000028">
            <w:pPr>
              <w:widowControl w:val="0"/>
              <w:numPr>
                <w:ilvl w:val="0"/>
                <w:numId w:val="2"/>
              </w:numPr>
              <w:spacing w:line="240" w:lineRule="auto"/>
              <w:ind w:left="720" w:hanging="360"/>
              <w:jc w:val="both"/>
              <w:rPr>
                <w:u w:val="none"/>
              </w:rPr>
            </w:pPr>
            <w:r w:rsidDel="00000000" w:rsidR="00000000" w:rsidRPr="00000000">
              <w:rPr>
                <w:rtl w:val="0"/>
              </w:rPr>
              <w:t xml:space="preserve">High computational and data requirements</w:t>
            </w:r>
          </w:p>
        </w:tc>
      </w:tr>
    </w:tbl>
    <w:p w:rsidR="00000000" w:rsidDel="00000000" w:rsidP="00000000" w:rsidRDefault="00000000" w:rsidRPr="00000000" w14:paraId="00000029">
      <w:pPr>
        <w:spacing w:after="240" w:before="240" w:lineRule="auto"/>
        <w:jc w:val="both"/>
        <w:rPr>
          <w:b w:val="1"/>
        </w:rPr>
      </w:pPr>
      <w:r w:rsidDel="00000000" w:rsidR="00000000" w:rsidRPr="00000000">
        <w:rPr>
          <w:rtl w:val="0"/>
        </w:rPr>
      </w:r>
    </w:p>
    <w:p w:rsidR="00000000" w:rsidDel="00000000" w:rsidP="00000000" w:rsidRDefault="00000000" w:rsidRPr="00000000" w14:paraId="0000002A">
      <w:pPr>
        <w:jc w:val="both"/>
        <w:rPr>
          <w:b w:val="1"/>
          <w:sz w:val="46"/>
          <w:szCs w:val="46"/>
        </w:rPr>
      </w:pPr>
      <w:r w:rsidDel="00000000" w:rsidR="00000000" w:rsidRPr="00000000">
        <w:rPr>
          <w:b w:val="1"/>
          <w:sz w:val="46"/>
          <w:szCs w:val="46"/>
          <w:rtl w:val="0"/>
        </w:rPr>
        <w:t xml:space="preserve">Step 6</w:t>
      </w:r>
    </w:p>
    <w:p w:rsidR="00000000" w:rsidDel="00000000" w:rsidP="00000000" w:rsidRDefault="00000000" w:rsidRPr="00000000" w14:paraId="0000002B">
      <w:pPr>
        <w:pStyle w:val="Heading1"/>
        <w:keepNext w:val="0"/>
        <w:keepLines w:val="0"/>
        <w:spacing w:before="480" w:lineRule="auto"/>
        <w:jc w:val="both"/>
        <w:rPr>
          <w:b w:val="1"/>
          <w:sz w:val="46"/>
          <w:szCs w:val="46"/>
        </w:rPr>
      </w:pPr>
      <w:bookmarkStart w:colFirst="0" w:colLast="0" w:name="_w9c04ez7g2l" w:id="5"/>
      <w:bookmarkEnd w:id="5"/>
      <w:r w:rsidDel="00000000" w:rsidR="00000000" w:rsidRPr="00000000">
        <w:rPr>
          <w:b w:val="1"/>
          <w:sz w:val="46"/>
          <w:szCs w:val="46"/>
          <w:rtl w:val="0"/>
        </w:rPr>
        <w:t xml:space="preserve">Learn More</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The following sources provide deeper insights into how machine learning methods like LDA, SVMs, and Neural Networks are applied in finance and marketing, highlighting their </w:t>
      </w:r>
      <w:r w:rsidDel="00000000" w:rsidR="00000000" w:rsidRPr="00000000">
        <w:rPr>
          <w:b w:val="1"/>
          <w:rtl w:val="0"/>
        </w:rPr>
        <w:t xml:space="preserve">strengths and advantages</w:t>
      </w:r>
      <w:r w:rsidDel="00000000" w:rsidR="00000000" w:rsidRPr="00000000">
        <w:rPr>
          <w:rtl w:val="0"/>
        </w:rPr>
        <w:t xml:space="preserve">.</w:t>
      </w:r>
    </w:p>
    <w:p w:rsidR="00000000" w:rsidDel="00000000" w:rsidP="00000000" w:rsidRDefault="00000000" w:rsidRPr="00000000" w14:paraId="0000002D">
      <w:pPr>
        <w:pStyle w:val="Heading3"/>
        <w:keepNext w:val="0"/>
        <w:keepLines w:val="0"/>
        <w:spacing w:before="280" w:lineRule="auto"/>
        <w:jc w:val="both"/>
        <w:rPr>
          <w:b w:val="1"/>
          <w:color w:val="000000"/>
          <w:sz w:val="26"/>
          <w:szCs w:val="26"/>
        </w:rPr>
      </w:pPr>
      <w:bookmarkStart w:colFirst="0" w:colLast="0" w:name="_ohanw08oy5qk" w:id="6"/>
      <w:bookmarkEnd w:id="6"/>
      <w:r w:rsidDel="00000000" w:rsidR="00000000" w:rsidRPr="00000000">
        <w:rPr>
          <w:b w:val="1"/>
          <w:color w:val="000000"/>
          <w:sz w:val="26"/>
          <w:szCs w:val="26"/>
          <w:rtl w:val="0"/>
        </w:rPr>
        <w:t xml:space="preserve">Journal References</w:t>
      </w:r>
    </w:p>
    <w:p w:rsidR="00000000" w:rsidDel="00000000" w:rsidP="00000000" w:rsidRDefault="00000000" w:rsidRPr="00000000" w14:paraId="0000002E">
      <w:pPr>
        <w:numPr>
          <w:ilvl w:val="0"/>
          <w:numId w:val="6"/>
        </w:numPr>
        <w:spacing w:after="0" w:afterAutospacing="0" w:before="240" w:lineRule="auto"/>
        <w:ind w:left="720" w:hanging="360"/>
        <w:jc w:val="both"/>
      </w:pPr>
      <w:r w:rsidDel="00000000" w:rsidR="00000000" w:rsidRPr="00000000">
        <w:rPr>
          <w:rtl w:val="0"/>
        </w:rPr>
        <w:t xml:space="preserve">Fisher, R. A. </w:t>
      </w:r>
      <w:r w:rsidDel="00000000" w:rsidR="00000000" w:rsidRPr="00000000">
        <w:rPr>
          <w:i w:val="1"/>
          <w:rtl w:val="0"/>
        </w:rPr>
        <w:t xml:space="preserve">The Use of Multiple Measurements in Taxonomic Problems</w:t>
      </w:r>
      <w:r w:rsidDel="00000000" w:rsidR="00000000" w:rsidRPr="00000000">
        <w:rPr>
          <w:rtl w:val="0"/>
        </w:rPr>
        <w:t xml:space="preserve">. </w:t>
      </w:r>
      <w:r w:rsidDel="00000000" w:rsidR="00000000" w:rsidRPr="00000000">
        <w:rPr>
          <w:i w:val="1"/>
          <w:rtl w:val="0"/>
        </w:rPr>
        <w:t xml:space="preserve">Annals of Eugenics</w:t>
      </w:r>
      <w:r w:rsidDel="00000000" w:rsidR="00000000" w:rsidRPr="00000000">
        <w:rPr>
          <w:rtl w:val="0"/>
        </w:rPr>
        <w:t xml:space="preserve">, vol. 7, no. 2, 1936, pp. 179–188.</w:t>
        <w:br w:type="textWrapping"/>
        <w:t xml:space="preserve"> </w:t>
      </w:r>
      <w:r w:rsidDel="00000000" w:rsidR="00000000" w:rsidRPr="00000000">
        <w:rPr>
          <w:i w:val="1"/>
          <w:rtl w:val="0"/>
        </w:rPr>
        <w:t xml:space="preserve">Foundational work introducing Linear Discriminant Analysis (LDA), showing how statistical separation of groups can be applied to classification problems still relevant in finance today.</w:t>
        <w:br w:type="textWrapping"/>
      </w:r>
    </w:p>
    <w:p w:rsidR="00000000" w:rsidDel="00000000" w:rsidP="00000000" w:rsidRDefault="00000000" w:rsidRPr="00000000" w14:paraId="0000002F">
      <w:pPr>
        <w:numPr>
          <w:ilvl w:val="0"/>
          <w:numId w:val="6"/>
        </w:numPr>
        <w:spacing w:after="0" w:afterAutospacing="0" w:before="0" w:beforeAutospacing="0" w:lineRule="auto"/>
        <w:ind w:left="720" w:hanging="360"/>
        <w:jc w:val="both"/>
      </w:pPr>
      <w:r w:rsidDel="00000000" w:rsidR="00000000" w:rsidRPr="00000000">
        <w:rPr>
          <w:rtl w:val="0"/>
        </w:rPr>
        <w:t xml:space="preserve">Cortes, Corinna, and Vladimir Vapnik. “Support-Vector Networks.” </w:t>
      </w:r>
      <w:r w:rsidDel="00000000" w:rsidR="00000000" w:rsidRPr="00000000">
        <w:rPr>
          <w:i w:val="1"/>
          <w:rtl w:val="0"/>
        </w:rPr>
        <w:t xml:space="preserve">Machine Learning</w:t>
      </w:r>
      <w:r w:rsidDel="00000000" w:rsidR="00000000" w:rsidRPr="00000000">
        <w:rPr>
          <w:rtl w:val="0"/>
        </w:rPr>
        <w:t xml:space="preserve">, vol. 20, no. 3, 1995, pp. 273–297.</w:t>
        <w:br w:type="textWrapping"/>
        <w:t xml:space="preserve"> </w:t>
      </w:r>
      <w:r w:rsidDel="00000000" w:rsidR="00000000" w:rsidRPr="00000000">
        <w:rPr>
          <w:i w:val="1"/>
          <w:rtl w:val="0"/>
        </w:rPr>
        <w:t xml:space="preserve">Seminal paper that introduced Support Vector Machines (SVMs), explaining the theoretical framework behind margin maximization and its generalization strengths.</w:t>
        <w:br w:type="textWrapping"/>
      </w:r>
    </w:p>
    <w:p w:rsidR="00000000" w:rsidDel="00000000" w:rsidP="00000000" w:rsidRDefault="00000000" w:rsidRPr="00000000" w14:paraId="00000030">
      <w:pPr>
        <w:numPr>
          <w:ilvl w:val="0"/>
          <w:numId w:val="6"/>
        </w:numPr>
        <w:spacing w:after="0" w:afterAutospacing="0" w:before="0" w:beforeAutospacing="0" w:lineRule="auto"/>
        <w:ind w:left="720" w:hanging="360"/>
        <w:jc w:val="both"/>
      </w:pPr>
      <w:r w:rsidDel="00000000" w:rsidR="00000000" w:rsidRPr="00000000">
        <w:rPr>
          <w:rtl w:val="0"/>
        </w:rPr>
        <w:t xml:space="preserve">Huang, C. L., M. C. Chen, and C. J. Wang. “Credit Scoring with a Data Mining Approach Based on Support Vector Machines.” </w:t>
      </w:r>
      <w:r w:rsidDel="00000000" w:rsidR="00000000" w:rsidRPr="00000000">
        <w:rPr>
          <w:i w:val="1"/>
          <w:rtl w:val="0"/>
        </w:rPr>
        <w:t xml:space="preserve">Expert Systems with Applications</w:t>
      </w:r>
      <w:r w:rsidDel="00000000" w:rsidR="00000000" w:rsidRPr="00000000">
        <w:rPr>
          <w:rtl w:val="0"/>
        </w:rPr>
        <w:t xml:space="preserve">, vol. 33, no. 4, 2007, pp. 847–856.</w:t>
        <w:br w:type="textWrapping"/>
        <w:t xml:space="preserve"> </w:t>
      </w:r>
      <w:r w:rsidDel="00000000" w:rsidR="00000000" w:rsidRPr="00000000">
        <w:rPr>
          <w:i w:val="1"/>
          <w:rtl w:val="0"/>
        </w:rPr>
        <w:t xml:space="preserve">Demonstrates the practical power of SVMs in finance, specifically in credit scoring, where classification accuracy directly impacts business risk.</w:t>
        <w:br w:type="textWrapping"/>
      </w:r>
    </w:p>
    <w:p w:rsidR="00000000" w:rsidDel="00000000" w:rsidP="00000000" w:rsidRDefault="00000000" w:rsidRPr="00000000" w14:paraId="00000031">
      <w:pPr>
        <w:numPr>
          <w:ilvl w:val="0"/>
          <w:numId w:val="6"/>
        </w:numPr>
        <w:spacing w:after="0" w:afterAutospacing="0" w:before="0" w:beforeAutospacing="0" w:lineRule="auto"/>
        <w:ind w:left="720" w:hanging="360"/>
        <w:jc w:val="both"/>
      </w:pPr>
      <w:r w:rsidDel="00000000" w:rsidR="00000000" w:rsidRPr="00000000">
        <w:rPr>
          <w:rtl w:val="0"/>
        </w:rPr>
        <w:t xml:space="preserve">Hornik, Kurt, Maxwell Stinchcombe, and Halbert White. “Multilayer Feedforward Networks Are Universal Approximators.” </w:t>
      </w:r>
      <w:r w:rsidDel="00000000" w:rsidR="00000000" w:rsidRPr="00000000">
        <w:rPr>
          <w:i w:val="1"/>
          <w:rtl w:val="0"/>
        </w:rPr>
        <w:t xml:space="preserve">Neural Networks</w:t>
      </w:r>
      <w:r w:rsidDel="00000000" w:rsidR="00000000" w:rsidRPr="00000000">
        <w:rPr>
          <w:rtl w:val="0"/>
        </w:rPr>
        <w:t xml:space="preserve">, vol. 2, no. 5, 1989, pp. 359–366.</w:t>
        <w:br w:type="textWrapping"/>
        <w:t xml:space="preserve"> </w:t>
      </w:r>
      <w:r w:rsidDel="00000000" w:rsidR="00000000" w:rsidRPr="00000000">
        <w:rPr>
          <w:i w:val="1"/>
          <w:rtl w:val="0"/>
        </w:rPr>
        <w:t xml:space="preserve">Proves mathematically that neural networks can approximate any continuous function, supporting their flexibility in financial modeling.</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jc w:val="both"/>
      </w:pPr>
      <w:r w:rsidDel="00000000" w:rsidR="00000000" w:rsidRPr="00000000">
        <w:rPr>
          <w:rtl w:val="0"/>
        </w:rPr>
        <w:t xml:space="preserve">Hochreiter, Sepp, and Jürgen Schmidhuber. “Long Short-Term Memory.” </w:t>
      </w:r>
      <w:r w:rsidDel="00000000" w:rsidR="00000000" w:rsidRPr="00000000">
        <w:rPr>
          <w:i w:val="1"/>
          <w:rtl w:val="0"/>
        </w:rPr>
        <w:t xml:space="preserve">Neural Computation</w:t>
      </w:r>
      <w:r w:rsidDel="00000000" w:rsidR="00000000" w:rsidRPr="00000000">
        <w:rPr>
          <w:rtl w:val="0"/>
        </w:rPr>
        <w:t xml:space="preserve">, vol. 9, no. 8, 1997, pp. 1735–1780.</w:t>
        <w:br w:type="textWrapping"/>
        <w:t xml:space="preserve"> </w:t>
      </w:r>
      <w:r w:rsidDel="00000000" w:rsidR="00000000" w:rsidRPr="00000000">
        <w:rPr>
          <w:i w:val="1"/>
          <w:rtl w:val="0"/>
        </w:rPr>
        <w:t xml:space="preserve">Introduces LSTM networks, a breakthrough for handling sequential time series data such as stock prices and transaction histories.</w:t>
        <w:br w:type="textWrapping"/>
      </w:r>
    </w:p>
    <w:p w:rsidR="00000000" w:rsidDel="00000000" w:rsidP="00000000" w:rsidRDefault="00000000" w:rsidRPr="00000000" w14:paraId="00000033">
      <w:pPr>
        <w:numPr>
          <w:ilvl w:val="0"/>
          <w:numId w:val="6"/>
        </w:numPr>
        <w:spacing w:after="240" w:before="0" w:beforeAutospacing="0" w:lineRule="auto"/>
        <w:ind w:left="720" w:hanging="360"/>
        <w:jc w:val="both"/>
      </w:pPr>
      <w:r w:rsidDel="00000000" w:rsidR="00000000" w:rsidRPr="00000000">
        <w:rPr>
          <w:rtl w:val="0"/>
        </w:rPr>
        <w:t xml:space="preserve">Zhang, Zhongfei, et al. “A Survey on Deep Learning in Financial Applications.” </w:t>
      </w:r>
      <w:r w:rsidDel="00000000" w:rsidR="00000000" w:rsidRPr="00000000">
        <w:rPr>
          <w:i w:val="1"/>
          <w:rtl w:val="0"/>
        </w:rPr>
        <w:t xml:space="preserve">Big Data Research</w:t>
      </w:r>
      <w:r w:rsidDel="00000000" w:rsidR="00000000" w:rsidRPr="00000000">
        <w:rPr>
          <w:rtl w:val="0"/>
        </w:rPr>
        <w:t xml:space="preserve">, vol. 14, 2018, pp. 1–14.</w:t>
        <w:br w:type="textWrapping"/>
        <w:t xml:space="preserve"> </w:t>
      </w:r>
      <w:r w:rsidDel="00000000" w:rsidR="00000000" w:rsidRPr="00000000">
        <w:rPr>
          <w:i w:val="1"/>
          <w:rtl w:val="0"/>
        </w:rPr>
        <w:t xml:space="preserve">A comprehensive review of how deep learning techniques, including neural networks, have been applied to trading, risk management, and fraud detection.</w: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jc w:val="both"/>
        <w:rPr>
          <w:b w:val="1"/>
          <w:color w:val="000000"/>
          <w:sz w:val="26"/>
          <w:szCs w:val="26"/>
        </w:rPr>
      </w:pPr>
      <w:bookmarkStart w:colFirst="0" w:colLast="0" w:name="_8344sozbjtd8" w:id="7"/>
      <w:bookmarkEnd w:id="7"/>
      <w:r w:rsidDel="00000000" w:rsidR="00000000" w:rsidRPr="00000000">
        <w:rPr>
          <w:b w:val="1"/>
          <w:color w:val="000000"/>
          <w:sz w:val="26"/>
          <w:szCs w:val="26"/>
          <w:rtl w:val="0"/>
        </w:rPr>
        <w:t xml:space="preserve">Web References (Strengths of ML in Finance/Marketing)</w:t>
      </w:r>
    </w:p>
    <w:p w:rsidR="00000000" w:rsidDel="00000000" w:rsidP="00000000" w:rsidRDefault="00000000" w:rsidRPr="00000000" w14:paraId="00000035">
      <w:pPr>
        <w:numPr>
          <w:ilvl w:val="0"/>
          <w:numId w:val="4"/>
        </w:numPr>
        <w:spacing w:after="0" w:afterAutospacing="0" w:before="240" w:lineRule="auto"/>
        <w:ind w:left="720" w:hanging="360"/>
        <w:jc w:val="both"/>
      </w:pPr>
      <w:r w:rsidDel="00000000" w:rsidR="00000000" w:rsidRPr="00000000">
        <w:rPr>
          <w:rtl w:val="0"/>
        </w:rPr>
        <w:t xml:space="preserve">Deloitte. </w:t>
      </w:r>
      <w:r w:rsidDel="00000000" w:rsidR="00000000" w:rsidRPr="00000000">
        <w:rPr>
          <w:i w:val="1"/>
          <w:rtl w:val="0"/>
        </w:rPr>
        <w:t xml:space="preserve">AI and Machine Learning in Financial Services: Transforming Risk Management and Customer Engagement</w:t>
      </w:r>
      <w:r w:rsidDel="00000000" w:rsidR="00000000" w:rsidRPr="00000000">
        <w:rPr>
          <w:rtl w:val="0"/>
        </w:rPr>
        <w:t xml:space="preserve">. Deloitte Insights, 2021. https://www2.deloitte.com</w:t>
        <w:br w:type="textWrapping"/>
        <w:t xml:space="preserve"> </w:t>
      </w:r>
      <w:r w:rsidDel="00000000" w:rsidR="00000000" w:rsidRPr="00000000">
        <w:rPr>
          <w:i w:val="1"/>
          <w:rtl w:val="0"/>
        </w:rPr>
        <w:t xml:space="preserve">Highlights how financial firms use machine learning to manage risk, detect fraud, and personalize customer interactions.</w:t>
        <w:br w:type="textWrapping"/>
      </w:r>
    </w:p>
    <w:p w:rsidR="00000000" w:rsidDel="00000000" w:rsidP="00000000" w:rsidRDefault="00000000" w:rsidRPr="00000000" w14:paraId="00000036">
      <w:pPr>
        <w:numPr>
          <w:ilvl w:val="0"/>
          <w:numId w:val="4"/>
        </w:numPr>
        <w:spacing w:after="0" w:afterAutospacing="0" w:before="0" w:beforeAutospacing="0" w:lineRule="auto"/>
        <w:ind w:left="720" w:hanging="360"/>
        <w:jc w:val="both"/>
      </w:pPr>
      <w:r w:rsidDel="00000000" w:rsidR="00000000" w:rsidRPr="00000000">
        <w:rPr>
          <w:rtl w:val="0"/>
        </w:rPr>
        <w:t xml:space="preserve">McKinsey &amp; Company. </w:t>
      </w:r>
      <w:r w:rsidDel="00000000" w:rsidR="00000000" w:rsidRPr="00000000">
        <w:rPr>
          <w:i w:val="1"/>
          <w:rtl w:val="0"/>
        </w:rPr>
        <w:t xml:space="preserve">The State of AI in 2022—and a Half Decade in Review</w:t>
      </w:r>
      <w:r w:rsidDel="00000000" w:rsidR="00000000" w:rsidRPr="00000000">
        <w:rPr>
          <w:rtl w:val="0"/>
        </w:rPr>
        <w:t xml:space="preserve">. McKinsey Insights, 2022. https://www.mckinsey.com</w:t>
        <w:br w:type="textWrapping"/>
        <w:t xml:space="preserve"> </w:t>
      </w:r>
      <w:r w:rsidDel="00000000" w:rsidR="00000000" w:rsidRPr="00000000">
        <w:rPr>
          <w:i w:val="1"/>
          <w:rtl w:val="0"/>
        </w:rPr>
        <w:t xml:space="preserve">Provides strategic insights into how global organizations scale AI adoption, with lessons on performance gains and best practices.</w:t>
        <w:br w:type="textWrapping"/>
      </w:r>
    </w:p>
    <w:p w:rsidR="00000000" w:rsidDel="00000000" w:rsidP="00000000" w:rsidRDefault="00000000" w:rsidRPr="00000000" w14:paraId="00000037">
      <w:pPr>
        <w:numPr>
          <w:ilvl w:val="0"/>
          <w:numId w:val="4"/>
        </w:numPr>
        <w:spacing w:after="240" w:before="0" w:beforeAutospacing="0" w:lineRule="auto"/>
        <w:ind w:left="720" w:hanging="360"/>
        <w:jc w:val="both"/>
      </w:pPr>
      <w:r w:rsidDel="00000000" w:rsidR="00000000" w:rsidRPr="00000000">
        <w:rPr>
          <w:rtl w:val="0"/>
        </w:rPr>
        <w:t xml:space="preserve">PwC. </w:t>
      </w:r>
      <w:r w:rsidDel="00000000" w:rsidR="00000000" w:rsidRPr="00000000">
        <w:rPr>
          <w:i w:val="1"/>
          <w:rtl w:val="0"/>
        </w:rPr>
        <w:t xml:space="preserve">AI in Financial Services: Seizing the Opportunity</w:t>
      </w:r>
      <w:r w:rsidDel="00000000" w:rsidR="00000000" w:rsidRPr="00000000">
        <w:rPr>
          <w:rtl w:val="0"/>
        </w:rPr>
        <w:t xml:space="preserve">. PwC Report, 2020. https://www.pwc.com</w:t>
        <w:br w:type="textWrapping"/>
        <w:t xml:space="preserve"> </w:t>
      </w:r>
      <w:r w:rsidDel="00000000" w:rsidR="00000000" w:rsidRPr="00000000">
        <w:rPr>
          <w:i w:val="1"/>
          <w:rtl w:val="0"/>
        </w:rPr>
        <w:t xml:space="preserve">Examines the opportunities and challenges of applying AI in finance, focusing on customer value creation and regulatory compliance.</w: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jc w:val="both"/>
        <w:rPr>
          <w:b w:val="1"/>
          <w:color w:val="000000"/>
          <w:sz w:val="26"/>
          <w:szCs w:val="26"/>
        </w:rPr>
      </w:pPr>
      <w:bookmarkStart w:colFirst="0" w:colLast="0" w:name="_36g31ajd0r6" w:id="8"/>
      <w:bookmarkEnd w:id="8"/>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jc w:val="both"/>
        <w:rPr>
          <w:b w:val="1"/>
          <w:color w:val="000000"/>
          <w:sz w:val="26"/>
          <w:szCs w:val="26"/>
        </w:rPr>
      </w:pPr>
      <w:bookmarkStart w:colFirst="0" w:colLast="0" w:name="_w9neta4hqc9u" w:id="9"/>
      <w:bookmarkEnd w:id="9"/>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jc w:val="both"/>
        <w:rPr>
          <w:b w:val="1"/>
          <w:color w:val="000000"/>
          <w:sz w:val="22"/>
          <w:szCs w:val="22"/>
        </w:rPr>
      </w:pPr>
      <w:bookmarkStart w:colFirst="0" w:colLast="0" w:name="_v3zwrn1gf7a9" w:id="10"/>
      <w:bookmarkEnd w:id="10"/>
      <w:r w:rsidDel="00000000" w:rsidR="00000000" w:rsidRPr="00000000">
        <w:rPr>
          <w:b w:val="1"/>
          <w:color w:val="000000"/>
          <w:sz w:val="22"/>
          <w:szCs w:val="22"/>
          <w:rtl w:val="0"/>
        </w:rPr>
        <w:t xml:space="preserve">References</w:t>
      </w:r>
    </w:p>
    <w:p w:rsidR="00000000" w:rsidDel="00000000" w:rsidP="00000000" w:rsidRDefault="00000000" w:rsidRPr="00000000" w14:paraId="0000003B">
      <w:pPr>
        <w:spacing w:after="240" w:before="240" w:lineRule="auto"/>
        <w:ind w:left="0" w:firstLine="0"/>
        <w:jc w:val="both"/>
        <w:rPr/>
      </w:pPr>
      <w:r w:rsidDel="00000000" w:rsidR="00000000" w:rsidRPr="00000000">
        <w:rPr>
          <w:rtl w:val="0"/>
        </w:rPr>
        <w:t xml:space="preserve">Altman, E. I., Sabato, G., &amp; Wilson, N. (2010). The value of non-financial information in SME risk management. </w:t>
      </w:r>
      <w:r w:rsidDel="00000000" w:rsidR="00000000" w:rsidRPr="00000000">
        <w:rPr>
          <w:i w:val="1"/>
          <w:rtl w:val="0"/>
        </w:rPr>
        <w:t xml:space="preserve">Journal of Credit Risk, 6</w:t>
      </w:r>
      <w:r w:rsidDel="00000000" w:rsidR="00000000" w:rsidRPr="00000000">
        <w:rPr>
          <w:rtl w:val="0"/>
        </w:rPr>
        <w:t xml:space="preserve">(2), 95–127.</w:t>
        <w:br w:type="textWrapping"/>
      </w:r>
    </w:p>
    <w:p w:rsidR="00000000" w:rsidDel="00000000" w:rsidP="00000000" w:rsidRDefault="00000000" w:rsidRPr="00000000" w14:paraId="0000003C">
      <w:pPr>
        <w:spacing w:after="240" w:before="240" w:lineRule="auto"/>
        <w:ind w:left="0" w:firstLine="0"/>
        <w:jc w:val="both"/>
        <w:rPr/>
      </w:pPr>
      <w:r w:rsidDel="00000000" w:rsidR="00000000" w:rsidRPr="00000000">
        <w:rPr>
          <w:rtl w:val="0"/>
        </w:rPr>
        <w:t xml:space="preserve">Cortes, C., &amp; Vapnik, V. (1995). Support-vector networks. </w:t>
      </w:r>
      <w:r w:rsidDel="00000000" w:rsidR="00000000" w:rsidRPr="00000000">
        <w:rPr>
          <w:i w:val="1"/>
          <w:rtl w:val="0"/>
        </w:rPr>
        <w:t xml:space="preserve">Machine Learning, 20</w:t>
      </w:r>
      <w:r w:rsidDel="00000000" w:rsidR="00000000" w:rsidRPr="00000000">
        <w:rPr>
          <w:rtl w:val="0"/>
        </w:rPr>
        <w:t xml:space="preserve">(3), 273–297.</w:t>
        <w:br w:type="textWrapping"/>
      </w:r>
    </w:p>
    <w:p w:rsidR="00000000" w:rsidDel="00000000" w:rsidP="00000000" w:rsidRDefault="00000000" w:rsidRPr="00000000" w14:paraId="0000003D">
      <w:pPr>
        <w:spacing w:after="240" w:before="240" w:lineRule="auto"/>
        <w:ind w:left="0" w:firstLine="0"/>
        <w:jc w:val="both"/>
        <w:rPr/>
      </w:pPr>
      <w:r w:rsidDel="00000000" w:rsidR="00000000" w:rsidRPr="00000000">
        <w:rPr>
          <w:rtl w:val="0"/>
        </w:rPr>
        <w:t xml:space="preserve">Dube, F., Nzimande, N., &amp; Muzindutsi, P.-F. (2021). Application of artificial neural networks in predicting financial distress in the JSE financial services and manufacturing companies. </w:t>
      </w:r>
      <w:r w:rsidDel="00000000" w:rsidR="00000000" w:rsidRPr="00000000">
        <w:rPr>
          <w:i w:val="1"/>
          <w:rtl w:val="0"/>
        </w:rPr>
        <w:t xml:space="preserve">Journal of Sustainable Finance &amp; Investment, 13</w:t>
      </w:r>
      <w:r w:rsidDel="00000000" w:rsidR="00000000" w:rsidRPr="00000000">
        <w:rPr>
          <w:rtl w:val="0"/>
        </w:rPr>
        <w:t xml:space="preserve">(1), 723–743.</w:t>
        <w:br w:type="textWrapping"/>
      </w:r>
    </w:p>
    <w:p w:rsidR="00000000" w:rsidDel="00000000" w:rsidP="00000000" w:rsidRDefault="00000000" w:rsidRPr="00000000" w14:paraId="0000003E">
      <w:pPr>
        <w:spacing w:after="240" w:before="240" w:lineRule="auto"/>
        <w:ind w:left="0" w:firstLine="0"/>
        <w:jc w:val="both"/>
        <w:rPr/>
      </w:pPr>
      <w:r w:rsidDel="00000000" w:rsidR="00000000" w:rsidRPr="00000000">
        <w:rPr>
          <w:rtl w:val="0"/>
        </w:rPr>
        <w:t xml:space="preserve">Fisher, R. A. (1936). The use of multiple measurements in taxonomic problems. </w:t>
      </w:r>
      <w:r w:rsidDel="00000000" w:rsidR="00000000" w:rsidRPr="00000000">
        <w:rPr>
          <w:i w:val="1"/>
          <w:rtl w:val="0"/>
        </w:rPr>
        <w:t xml:space="preserve">Annals of Eugenics, 7</w:t>
      </w:r>
      <w:r w:rsidDel="00000000" w:rsidR="00000000" w:rsidRPr="00000000">
        <w:rPr>
          <w:rtl w:val="0"/>
        </w:rPr>
        <w:t xml:space="preserve">(2), 179–188.</w:t>
        <w:br w:type="textWrapping"/>
      </w:r>
    </w:p>
    <w:p w:rsidR="00000000" w:rsidDel="00000000" w:rsidP="00000000" w:rsidRDefault="00000000" w:rsidRPr="00000000" w14:paraId="0000003F">
      <w:pPr>
        <w:spacing w:after="240" w:before="240" w:lineRule="auto"/>
        <w:ind w:left="0" w:firstLine="0"/>
        <w:jc w:val="both"/>
        <w:rPr/>
      </w:pPr>
      <w:r w:rsidDel="00000000" w:rsidR="00000000" w:rsidRPr="00000000">
        <w:rPr>
          <w:rtl w:val="0"/>
        </w:rPr>
        <w:t xml:space="preserve">Hochreiter, S., &amp; Schmidhuber, J. (1997). Long short-term memory. </w:t>
      </w:r>
      <w:r w:rsidDel="00000000" w:rsidR="00000000" w:rsidRPr="00000000">
        <w:rPr>
          <w:i w:val="1"/>
          <w:rtl w:val="0"/>
        </w:rPr>
        <w:t xml:space="preserve">Neural Computation, 9</w:t>
      </w:r>
      <w:r w:rsidDel="00000000" w:rsidR="00000000" w:rsidRPr="00000000">
        <w:rPr>
          <w:rtl w:val="0"/>
        </w:rPr>
        <w:t xml:space="preserve">(8), 1735–1780.</w:t>
        <w:br w:type="textWrapping"/>
      </w:r>
    </w:p>
    <w:p w:rsidR="00000000" w:rsidDel="00000000" w:rsidP="00000000" w:rsidRDefault="00000000" w:rsidRPr="00000000" w14:paraId="00000040">
      <w:pPr>
        <w:spacing w:after="240" w:before="240" w:lineRule="auto"/>
        <w:ind w:left="0" w:firstLine="0"/>
        <w:jc w:val="both"/>
        <w:rPr/>
      </w:pPr>
      <w:r w:rsidDel="00000000" w:rsidR="00000000" w:rsidRPr="00000000">
        <w:rPr>
          <w:rtl w:val="0"/>
        </w:rPr>
        <w:t xml:space="preserve">Hornik, K., Stinchcombe, M., &amp; White, H. (1989). Multilayer feedforward networks are universal approximators. </w:t>
      </w:r>
      <w:r w:rsidDel="00000000" w:rsidR="00000000" w:rsidRPr="00000000">
        <w:rPr>
          <w:i w:val="1"/>
          <w:rtl w:val="0"/>
        </w:rPr>
        <w:t xml:space="preserve">Neural Networks, 2</w:t>
      </w:r>
      <w:r w:rsidDel="00000000" w:rsidR="00000000" w:rsidRPr="00000000">
        <w:rPr>
          <w:rtl w:val="0"/>
        </w:rPr>
        <w:t xml:space="preserve">(5), 359–366.</w:t>
        <w:br w:type="textWrapping"/>
      </w:r>
    </w:p>
    <w:p w:rsidR="00000000" w:rsidDel="00000000" w:rsidP="00000000" w:rsidRDefault="00000000" w:rsidRPr="00000000" w14:paraId="00000041">
      <w:pPr>
        <w:spacing w:after="240" w:before="240" w:lineRule="auto"/>
        <w:ind w:left="0" w:firstLine="0"/>
        <w:jc w:val="both"/>
        <w:rPr/>
      </w:pPr>
      <w:r w:rsidDel="00000000" w:rsidR="00000000" w:rsidRPr="00000000">
        <w:rPr>
          <w:rtl w:val="0"/>
        </w:rPr>
        <w:t xml:space="preserve">Huang, W., Nakamori, Y., &amp; Wang, S. Y. (2005). Forecasting stock market movement direction with support vector machine. </w:t>
      </w:r>
      <w:r w:rsidDel="00000000" w:rsidR="00000000" w:rsidRPr="00000000">
        <w:rPr>
          <w:i w:val="1"/>
          <w:rtl w:val="0"/>
        </w:rPr>
        <w:t xml:space="preserve">Computers &amp; Operations Research, 32</w:t>
      </w:r>
      <w:r w:rsidDel="00000000" w:rsidR="00000000" w:rsidRPr="00000000">
        <w:rPr>
          <w:rtl w:val="0"/>
        </w:rPr>
        <w:t xml:space="preserve">(10), 2513–2522.</w:t>
        <w:br w:type="textWrapping"/>
      </w:r>
    </w:p>
    <w:p w:rsidR="00000000" w:rsidDel="00000000" w:rsidP="00000000" w:rsidRDefault="00000000" w:rsidRPr="00000000" w14:paraId="00000042">
      <w:pPr>
        <w:spacing w:after="240" w:before="240" w:lineRule="auto"/>
        <w:ind w:left="0" w:firstLine="0"/>
        <w:jc w:val="both"/>
        <w:rPr/>
      </w:pPr>
      <w:r w:rsidDel="00000000" w:rsidR="00000000" w:rsidRPr="00000000">
        <w:rPr>
          <w:rtl w:val="0"/>
        </w:rPr>
        <w:t xml:space="preserve">Martínez, A. M., &amp; Kak, A. C. (2001). PCA versus LDA. </w:t>
      </w:r>
      <w:r w:rsidDel="00000000" w:rsidR="00000000" w:rsidRPr="00000000">
        <w:rPr>
          <w:i w:val="1"/>
          <w:rtl w:val="0"/>
        </w:rPr>
        <w:t xml:space="preserve">IEEE Transactions on Pattern Analysis and Machine Intelligence, 23</w:t>
      </w:r>
      <w:r w:rsidDel="00000000" w:rsidR="00000000" w:rsidRPr="00000000">
        <w:rPr>
          <w:rtl w:val="0"/>
        </w:rPr>
        <w:t xml:space="preserve">(2), 228–233.</w:t>
        <w:br w:type="textWrapping"/>
      </w:r>
    </w:p>
    <w:p w:rsidR="00000000" w:rsidDel="00000000" w:rsidP="00000000" w:rsidRDefault="00000000" w:rsidRPr="00000000" w14:paraId="00000043">
      <w:pPr>
        <w:spacing w:after="240" w:before="240" w:lineRule="auto"/>
        <w:ind w:left="0" w:firstLine="0"/>
        <w:jc w:val="both"/>
        <w:rPr/>
      </w:pPr>
      <w:r w:rsidDel="00000000" w:rsidR="00000000" w:rsidRPr="00000000">
        <w:rPr>
          <w:rtl w:val="0"/>
        </w:rPr>
        <w:t xml:space="preserve">Zhang, Y., Yang, Q., &amp; Chen, X. (2018). Explainable artificial intelligence for financial decision-making. </w:t>
      </w:r>
      <w:r w:rsidDel="00000000" w:rsidR="00000000" w:rsidRPr="00000000">
        <w:rPr>
          <w:i w:val="1"/>
          <w:rtl w:val="0"/>
        </w:rPr>
        <w:t xml:space="preserve">Frontiers of Computer Science, 12</w:t>
      </w:r>
      <w:r w:rsidDel="00000000" w:rsidR="00000000" w:rsidRPr="00000000">
        <w:rPr>
          <w:rtl w:val="0"/>
        </w:rPr>
        <w:t xml:space="preserve">(5), 889–902.</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