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School of Engineering and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farming households in Sub-Saharan Africa operate on the frontlines of climatic volatility, where bimodal precipitation regimes govern two distinct cropping seasons: Masika (long rains) and Vuli (short rains). When crop yields fluctuate unpredictably between these successive seasons, household food reserves are rapidly depleted, locking rural communities into persistent seasonal poverty traps. While machine learning offers transformative capabilities to anticipate agricultural shocks, standard algorithms frequently learn spurious spatial correlations, resulting in inflated accuracy metrics that degrade precipitously when models are deployed across unseen rural districts. In this study, we developed a strictly leakage-free spatial artificial intelligence framework evaluated across 27 administrative regions of Tanzania using national microdata from 10,750 smallholder households. We demonstrated that seasonal fertilizer application disparities, soil management constraints, and inadequate livestock safety buffers accounted for more than half of observed inter-seasonal yield swings. Furthermore, policy counterfactual simulations revealed that targeted fertilizer stabilization and crop portfolio diversification suppressed extreme seasonal yield crashes by more than 30%. These findings equip agricultural extension services and policymakers with an empirical,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constitutes a profound vulnerability for smallholder farming systems in Sub-Saharan Africa. While machine learning offers transformative capabilities for agricultural risk forecasting, conventional cross-validation schemes suffer from spatial autocorrelation leakage, generating over-optimistic performance estimates that fail upon deployment to unmonitored agro-ecological zones. Here, we developed a leakage-free spatial machine learning pipeline utilizing the Tanzania National Bureau of Statistics (NBS) Annual Agricultural Sample Survey (AASS) microdata, encompassing 10,750 smallholder households across 27 administrative regions. We formulated a standardized inter-seasonal Yield Volatility Index (</w:t>
      </w:r>
      <m:oMath>
        <m:sSub>
          <m:e>
            <m:r>
              <m:t>Y</m:t>
            </m:r>
          </m:e>
          <m:sub>
            <m:r>
              <m:t>vol,i</m:t>
            </m:r>
          </m:sub>
        </m:sSub>
      </m:oMath>
      <w:r>
        <w:rPr>
          <w:rFonts w:ascii="Times New Roman" w:hAnsi="Times New Roman"/>
        </w:rPr>
        <w:t xml:space="preserve">) and engineered domain-specific agronomic features spanning seasonal input deltas, crop portfolio Shannon diversity, labor allocation dynamics, and livestock liquidity buffers. Using a 5-pillar spatial isolation protocol with regional GroupKFold partitioning, we benchmarked LightGBM, XGBoost, Random Forest, CatBoost, and an out-of-fold regularized Weighted Ensemble against pooled non-spatial baselines. The Weighted Ensemble achieved superior spatial generalization (Spatial Out-of-Fold </w:t>
      </w:r>
      <m:oMath>
        <m:sSup>
          <m:e>
            <m:r>
              <m:t>R</m:t>
            </m:r>
          </m:e>
          <m:sup>
            <m:r>
              <m:t>2</m:t>
            </m:r>
          </m:sup>
        </m:sSup>
      </m:oMath>
      <w:r>
        <w:rPr>
          <w:rFonts w:ascii="Times New Roman" w:hAnsi="Times New Roman"/>
        </w:rPr>
        <w:t xml:space="preserve"> = 0.584 ± 0.042, RMSE = 0.231 ± 0.015), significantly outperforming pooled models that exhibited an optimistic spatial leakage bias of </w:t>
      </w:r>
      <m:oMath>
        <m:r>
          <m:t>Δ</m:t>
        </m:r>
        <m:sSup>
          <m:e>
            <m:r>
              <m:t>R</m:t>
            </m:r>
          </m:e>
          <m:sup>
            <m:r>
              <m:t>2</m:t>
            </m:r>
          </m:sup>
        </m:sSup>
      </m:oMath>
      <w:r>
        <w:rPr>
          <w:rFonts w:ascii="Times New Roman" w:hAnsi="Times New Roman"/>
        </w:rPr>
        <w:t xml:space="preserve"> = +0.157. Shapley Additive Explanations (SHAP) identified seasonal planting date divergence, crop diversity differentials, and livestock herd size as dominant non-linear drivers of yield stability. Counterfactual policy simulations demonstrated that an integrated climate-smart agriculture package reduced hyper-volatile smallholder holdings by 63.3% (dropping from 38.4% to 14.1%). This framework establishes an empirically verified blueprint for robust, deployment-ready agricultural machine learning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remains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(Lema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2015;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close geographic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m:oMath>
        <m:sSup>
          <m:e>
            <m:r>
              <m:t>R</m:t>
            </m:r>
          </m:e>
          <m:sup>
            <m:r>
              <m:t>2</m:t>
            </m:r>
          </m:sup>
        </m:sSup>
      </m:oMath>
      <w:r>
        <w:rPr>
          <w:rFonts w:ascii="Times New Roman" w:hAnsi="Times New Roman"/>
        </w:rPr>
        <w:t>), yielding dangerously over-optimistic models that degrade precipitously when transferred to unseen geographic domains or operationalized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m:oMath>
        <m:sSub>
          <m:e>
            <m:r>
              <m:t>Y</m:t>
            </m:r>
          </m:e>
          <m:sub>
            <m:r>
              <m:t>vol,i</m:t>
            </m:r>
          </m:sub>
        </m:sSub>
      </m:oMath>
      <w:r>
        <w:rPr>
          <w:rFonts w:ascii="Times New Roman" w:hAnsi="Times New Roman"/>
        </w:rPr>
        <w:t>) that standardizes yield variations across heterogeneous agro-ecological zones while accommodating complete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strictly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pPr>
        <w:spacing w:line="276" w:lineRule="auto" w:after="120"/>
      </w:pPr>
      <w:r>
        <w:rPr>
          <w:rFonts w:ascii="Times New Roman" w:hAnsi="Times New Roman"/>
        </w:rPr>
        <w:t>The empirical foundation of this study was the National Bureau of Statistics (NBS) Annual Agricultural Sample Survey (AASS) microdata covering mainland Tanzania and Zanzibar (NBS, 2021). The survey followed a multi-stage stratified cluster sampling design representative of smallholder agricultural households at both national and regional levels (URT, 2020).</w:t>
      </w:r>
    </w:p>
    <w:p>
      <w:pPr>
        <w:spacing w:line="276" w:lineRule="auto" w:after="120"/>
      </w:pPr>
      <w:r>
        <w:rPr>
          <w:rFonts w:ascii="Times New Roman" w:hAnsi="Times New Roman"/>
        </w:rPr>
        <w:t>The microdata integration pipeline ingested and harmonized seven primary survey modules:</w:t>
        <w:br/>
        <w:t>- Household demographics and asset rosters (</w:t>
      </w:r>
      <w:r>
        <w:rPr>
          <w:rFonts w:ascii="Courier New" w:hAnsi="Courier New"/>
        </w:rPr>
        <w:t>HOUSEHOLD</w:t>
      </w:r>
      <w:r>
        <w:rPr>
          <w:rFonts w:ascii="Times New Roman" w:hAnsi="Times New Roman"/>
        </w:rPr>
        <w:t>)</w:t>
        <w:br/>
        <w:t>- Agricultural plot registers and tenure characteristics (</w:t>
      </w:r>
      <w:r>
        <w:rPr>
          <w:rFonts w:ascii="Courier New" w:hAnsi="Courier New"/>
        </w:rPr>
        <w:t>MASIKAPLOT</w:t>
      </w:r>
      <w:r>
        <w:rPr>
          <w:rFonts w:ascii="Times New Roman" w:hAnsi="Times New Roman"/>
        </w:rPr>
        <w:t xml:space="preserve">, </w:t>
      </w:r>
      <w:r>
        <w:rPr>
          <w:rFonts w:ascii="Courier New" w:hAnsi="Courier New"/>
        </w:rPr>
        <w:t>VULIPLOT</w:t>
      </w:r>
      <w:r>
        <w:rPr>
          <w:rFonts w:ascii="Times New Roman" w:hAnsi="Times New Roman"/>
        </w:rPr>
        <w:t>)</w:t>
        <w:br/>
        <w:t>- Crop production, area harvested, and harvest utilization (</w:t>
      </w:r>
      <w:r>
        <w:rPr>
          <w:rFonts w:ascii="Courier New" w:hAnsi="Courier New"/>
        </w:rPr>
        <w:t>MASIKACROP</w:t>
      </w:r>
      <w:r>
        <w:rPr>
          <w:rFonts w:ascii="Times New Roman" w:hAnsi="Times New Roman"/>
        </w:rPr>
        <w:t xml:space="preserve">, </w:t>
      </w:r>
      <w:r>
        <w:rPr>
          <w:rFonts w:ascii="Courier New" w:hAnsi="Courier New"/>
        </w:rPr>
        <w:t>VULICROP</w:t>
      </w:r>
      <w:r>
        <w:rPr>
          <w:rFonts w:ascii="Times New Roman" w:hAnsi="Times New Roman"/>
        </w:rPr>
        <w:t>)</w:t>
        <w:br/>
        <w:t>- Input utilization rosters, including inorganic fertilizer, organic manure, pesticides, and improved seed varieties (</w:t>
      </w:r>
      <w:r>
        <w:rPr>
          <w:rFonts w:ascii="Courier New" w:hAnsi="Courier New"/>
        </w:rPr>
        <w:t>inputRoster_masika</w:t>
      </w:r>
      <w:r>
        <w:rPr>
          <w:rFonts w:ascii="Times New Roman" w:hAnsi="Times New Roman"/>
        </w:rPr>
        <w:t xml:space="preserve">, </w:t>
      </w:r>
      <w:r>
        <w:rPr>
          <w:rFonts w:ascii="Courier New" w:hAnsi="Courier New"/>
        </w:rPr>
        <w:t>inputRoster_vuli</w:t>
      </w:r>
      <w:r>
        <w:rPr>
          <w:rFonts w:ascii="Times New Roman" w:hAnsi="Times New Roman"/>
        </w:rPr>
        <w:t>)</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pPr>
        <w:spacing w:line="276" w:lineRule="auto" w:after="120"/>
      </w:pPr>
      <w:r>
        <w:rPr>
          <w:rFonts w:ascii="Times New Roman" w:hAnsi="Times New Roman"/>
        </w:rPr>
        <w:t xml:space="preserve">Let </w:t>
      </w:r>
      <m:oMath>
        <m:sSub>
          <m:e>
            <m:r>
              <m:t>Y</m:t>
            </m:r>
          </m:e>
          <m:sub>
            <m:r>
              <m:t>m,i</m:t>
            </m:r>
          </m:sub>
        </m:sSub>
      </m:oMath>
      <w:r>
        <w:rPr>
          <w:rFonts w:ascii="Times New Roman" w:hAnsi="Times New Roman"/>
        </w:rPr>
        <w:t xml:space="preserve"> and </w:t>
      </w:r>
      <m:oMath>
        <m:sSub>
          <m:e>
            <m:r>
              <m:t>Y</m:t>
            </m:r>
          </m:e>
          <m:sub>
            <m:r>
              <m:t>v,i</m:t>
            </m:r>
          </m:sub>
        </m:sSub>
      </m:oMath>
      <w:r>
        <w:rPr>
          <w:rFonts w:ascii="Times New Roman" w:hAnsi="Times New Roman"/>
        </w:rPr>
        <w:t xml:space="preserve"> denote the aggregate crop yield (expressed in metric tons per hectare, t/ha) for household i during the Masika and Vuli production cycles, respectively. To quantify inter-seasonal yield instability independent of baseline holding scale, we formulated the normalized Yield Volatility Index (</w:t>
      </w:r>
      <m:oMath>
        <m:sSub>
          <m:e>
            <m:r>
              <m:t>Y</m:t>
            </m:r>
          </m:e>
          <m:sub>
            <m:r>
              <m:t>vol,i</m:t>
            </m:r>
          </m:sub>
        </m:sSub>
      </m:oMath>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ϵ = </w:t>
      </w:r>
      <m:oMath>
        <m:r>
          <m:t/>
        </m:r>
        <m:sSup>
          <m:e>
            <m:r>
              <m:t>10</m:t>
            </m:r>
          </m:e>
          <m:sup>
            <m:r>
              <m:t>-4</m:t>
            </m:r>
          </m:sup>
        </m:sSup>
      </m:oMath>
      <w:r>
        <w:rPr>
          <w:rFonts w:ascii="Times New Roman" w:hAnsi="Times New Roman"/>
        </w:rPr>
        <w:t xml:space="preserve"> prevents numerical instability in rare cases where both seasonal harvests approach zero. The index is continuous, bounded within [0, 2], where </w:t>
      </w:r>
      <m:oMath>
        <m:sSub>
          <m:e>
            <m:r>
              <m:t>Y</m:t>
            </m:r>
          </m:e>
          <m:sub>
            <m:r>
              <m:t>vol</m:t>
            </m:r>
          </m:sub>
        </m:sSub>
      </m:oMath>
      <w:r>
        <w:rPr>
          <w:rFonts w:ascii="Times New Roman" w:hAnsi="Times New Roman"/>
        </w:rPr>
        <w:t xml:space="preserve"> = 0 indicates perfect seasonal yield parity (</w:t>
      </w:r>
      <m:oMath>
        <m:sSub>
          <m:e>
            <m:r>
              <m:t>Y</m:t>
            </m:r>
          </m:e>
          <m:sub>
            <m:r>
              <m:t>m</m:t>
            </m:r>
          </m:sub>
        </m:sSub>
      </m:oMath>
      <w:r>
        <w:rPr>
          <w:rFonts w:ascii="Times New Roman" w:hAnsi="Times New Roman"/>
        </w:rPr>
        <w:t xml:space="preserve"> = </w:t>
      </w:r>
      <m:oMath>
        <m:sSub>
          <m:e>
            <m:r>
              <m:t>Y</m:t>
            </m:r>
          </m:e>
          <m:sub>
            <m:r>
              <m:t>v</m:t>
            </m:r>
          </m:sub>
        </m:sSub>
      </m:oMath>
      <w:r>
        <w:rPr>
          <w:rFonts w:ascii="Times New Roman" w:hAnsi="Times New Roman"/>
        </w:rPr>
        <w:t xml:space="preserve">), and </w:t>
      </w:r>
      <m:oMath>
        <m:sSub>
          <m:e>
            <m:r>
              <m:t>Y</m:t>
            </m:r>
          </m:e>
          <m:sub>
            <m:r>
              <m:t>vol</m:t>
            </m:r>
          </m:sub>
        </m:sSub>
      </m:oMath>
      <w:r>
        <w:rPr>
          <w:rFonts w:ascii="Times New Roman" w:hAnsi="Times New Roman"/>
        </w:rPr>
        <w:t xml:space="preserve"> = 2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engineered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 and 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m:oMath>
        <m:r>
          <m:t>ΔH′</m:t>
        </m:r>
      </m:oMath>
      <w:r>
        <w:rPr>
          <w:rFonts w:ascii="Times New Roman" w:hAnsi="Times New Roman"/>
        </w:rPr>
        <w:t xml:space="preserve"> = </w:t>
      </w:r>
      <m:oMath>
        <m:sSub>
          <m:e>
            <m:r>
              <m:t>H′</m:t>
            </m:r>
          </m:e>
          <m:sub>
            <m:r>
              <m:t>m</m:t>
            </m:r>
          </m:sub>
        </m:sSub>
      </m:oMath>
      <w:r>
        <w:rPr>
          <w:rFonts w:ascii="Times New Roman" w:hAnsi="Times New Roman"/>
        </w:rPr>
        <w:t xml:space="preserve"> - </w:t>
      </w:r>
      <m:oMath>
        <m:sSub>
          <m:e>
            <m:r>
              <m:t>H′</m:t>
            </m:r>
          </m:e>
          <m:sub>
            <m:r>
              <m:t>v</m:t>
            </m:r>
          </m:sub>
        </m:sSub>
      </m:oMath>
      <w:r>
        <w:rPr>
          <w:rFonts w:ascii="Times New Roman" w:hAnsi="Times New Roman"/>
        </w:rPr>
        <w:t xml:space="preserve">). Here, </w:t>
      </w:r>
      <m:oMath>
        <m:sSub>
          <m:e>
            <m:r>
              <m:t>p</m:t>
            </m:r>
          </m:e>
          <m:sub>
            <m:r>
              <m:t>k</m:t>
            </m:r>
          </m:sub>
        </m:sSub>
      </m:oMath>
      <w:r>
        <w:rPr>
          <w:rFonts w:ascii="Times New Roman" w:hAnsi="Times New Roman"/>
        </w:rPr>
        <w:t xml:space="preserve"> represents the proportional area allocated to crop species k on holding i, and K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pPr>
        <w:spacing w:line="276" w:lineRule="auto" w:after="120"/>
      </w:pPr>
      <w:r>
        <w:rPr>
          <w:rFonts w:ascii="Times New Roman" w:hAnsi="Times New Roman"/>
        </w:rPr>
        <w:t>To guarantee complete spatial isolation and ensure models generalize to unmonitored districts, we enforced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was partitioned strictly by administrative region (</w:t>
      </w:r>
      <m:oMath>
        <m:r>
          <m:t>K = 5</m:t>
        </m:r>
      </m:oMath>
      <w:r>
        <w:rPr>
          <w:rFonts w:ascii="Times New Roman" w:hAnsi="Times New Roman"/>
        </w:rPr>
        <w:t>), ensuring no geographic ward or district appeared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were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was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was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An adversarial classifier trained to distinguish between training and validation folds achieved an ROC-AUC of 0.512 ± 0.024 (indistinguishable from random guessing), verifying zero residual spatial data leakage.</w:t>
      </w:r>
    </w:p>
    <w:p>
      <w:pPr>
        <w:spacing w:before="200" w:after="60"/>
      </w:pPr>
      <w:r>
        <w:rPr>
          <w:rFonts w:ascii="Times New Roman" w:hAnsi="Times New Roman"/>
          <w:b/>
          <w:color w:val="2B5C8F"/>
          <w:sz w:val="26"/>
        </w:rPr>
        <w:t>2.5 Machine Learning Architectures &amp; Ensembling</w:t>
      </w:r>
    </w:p>
    <w:p>
      <w:pPr>
        <w:spacing w:line="276" w:lineRule="auto" w:after="120"/>
      </w:pPr>
      <w:r>
        <w:rPr>
          <w:rFonts w:ascii="Times New Roman" w:hAnsi="Times New Roman"/>
        </w:rPr>
        <w:t>We benchmarked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m:oMath>
        <m:sSup>
          <m:e>
            <m:r>
              <m:t>R</m:t>
            </m:r>
          </m:e>
          <m:sup>
            <m:r>
              <m:t>2</m:t>
            </m:r>
          </m:sup>
        </m:sSup>
      </m:oMath>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The empirical distribution of the Yield Volatility Index across Tanzanian smallholders exhibited significant dispersion (Figure 1, Table 1). The mean volatility index across the 4,564 bi-modal smallholder households was 1.096 ± 0.612, with a median of 1.154. Notably, 38.4% of surveyed holdings fell into the 'hyper-volatile' category (</w:t>
      </w:r>
      <m:oMath>
        <m:sSub>
          <m:e>
            <m:r>
              <m:t>Y</m:t>
            </m:r>
          </m:e>
          <m:sub>
            <m:r>
              <m:t>vol</m:t>
            </m:r>
          </m:sub>
        </m:sSub>
      </m:oMath>
      <w:r>
        <w:rPr>
          <w:rFonts w:ascii="Times New Roman" w:hAnsi="Times New Roman"/>
        </w:rPr>
        <w:t xml:space="preserve"> ≥ 1.50), reflecting severe inter-seasonal harvest crashes. Log-yield comparisons between Masika and Vuli seasons confirmed that Masika yields were systematically higher and more stable (mean 1,248 kg/ha vs. 612 kg/ha in Vuli), reflecting the greater biophysical reliability of the long rains. However, the correlation between Masika and Vuli yields within individual households was modest (r = 0.284), underscoring that strong performance during the long rains provided no guarantee of resilience during the short rains.</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w:t>
      </w:r>
      <m:oMath>
        <m:sSub>
          <m:e>
            <m:r>
              <m:t>Y</m:t>
            </m:r>
          </m:e>
          <m:sub>
            <m:r>
              <m:t>vol</m:t>
            </m:r>
          </m:sub>
        </m:sSub>
      </m:oMath>
      <w:r>
        <w:rPr>
          <w:rFonts w:ascii="Times New Roman" w:hAnsi="Times New Roman"/>
          <w:i/>
          <w:sz w:val="19"/>
        </w:rPr>
        <w:t xml:space="preserve">) and seasonal log-yield dynamics across Tanzania. (A) Overall empirical density and boxplot of </w:t>
      </w:r>
      <m:oMath>
        <m:sSub>
          <m:e>
            <m:r>
              <m:t>Y</m:t>
            </m:r>
          </m:e>
          <m:sub>
            <m:r>
              <m:t>vol</m:t>
            </m:r>
          </m:sub>
        </m:sSub>
      </m:oMath>
      <w:r>
        <w:rPr>
          <w:rFonts w:ascii="Times New Roman" w:hAnsi="Times New Roman"/>
          <w:i/>
          <w:sz w:val="19"/>
        </w:rPr>
        <w:t xml:space="preserve"> showing positive skew and significant mass in the hyper-volatile zone (</w:t>
      </w:r>
      <m:oMath>
        <m:sSub>
          <m:e>
            <m:r>
              <m:t>Y</m:t>
            </m:r>
          </m:e>
          <m:sub>
            <m:r>
              <m:t>vol</m:t>
            </m:r>
          </m:sub>
        </m:sSub>
      </m:oMath>
      <w:r>
        <w:rPr>
          <w:rFonts w:ascii="Times New Roman" w:hAnsi="Times New Roman"/>
          <w:i/>
          <w:sz w:val="19"/>
        </w:rPr>
        <w:t xml:space="preserve"> ≥ 1.50). (B) Bivariate scatter and joint density comparing Masika (long rains) versus Vuli (short rains) log-yields, highlighting seasonal divergence.</w:t>
      </w:r>
    </w:p>
    <w:p>
      <w:pPr>
        <w:spacing w:before="160" w:after="60"/>
      </w:pPr>
      <w:r>
        <w:rPr>
          <w:rFonts w:ascii="Times New Roman" w:hAnsi="Times New Roman"/>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w:t>
            </w:r>
            <m:oMath>
              <m:sSub>
                <m:e>
                  <m:r>
                    <m:t>Y</m:t>
                  </m:r>
                </m:e>
                <m:sub>
                  <m:r>
                    <m:t>vol</m:t>
                  </m:r>
                </m:sub>
              </m:sSub>
            </m:oMath>
            <w:r>
              <w:rPr>
                <w:rFonts w:ascii="Times New Roman" w:hAnsi="Times New Roman"/>
                <w:sz w:val="17"/>
              </w:rPr>
              <w:t>)</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CV</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Delta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revealed substantial performance differentiation (Table 2, Figure 2). Under strict regional spatial GroupKFold, the Weighted Ensemble achieved the highest predictive accuracy (</w:t>
      </w:r>
      <m:oMath>
        <m:sSup>
          <m:e>
            <m:r>
              <m:t>R</m:t>
            </m:r>
          </m:e>
          <m:sup>
            <m:r>
              <m:t>2</m:t>
            </m:r>
          </m:sup>
        </m:sSup>
      </m:oMath>
      <w:r>
        <w:rPr>
          <w:rFonts w:ascii="Times New Roman" w:hAnsi="Times New Roman"/>
        </w:rPr>
        <w:t xml:space="preserve"> = 0.584 ± 0.042, RMSE = 0.231 ± 0.015, MAE = 0.178 ± 0.011). Among standalone models, LightGBM demonstrated superior single-model performance (</w:t>
      </w:r>
      <m:oMath>
        <m:sSup>
          <m:e>
            <m:r>
              <m:t>R</m:t>
            </m:r>
          </m:e>
          <m:sup>
            <m:r>
              <m:t>2</m:t>
            </m:r>
          </m:sup>
        </m:sSup>
      </m:oMath>
      <w:r>
        <w:rPr>
          <w:rFonts w:ascii="Times New Roman" w:hAnsi="Times New Roman"/>
        </w:rPr>
        <w:t xml:space="preserve"> = 0.569 ± 0.045), followed closely by XGBoost (</w:t>
      </w:r>
      <m:oMath>
        <m:sSup>
          <m:e>
            <m:r>
              <m:t>R</m:t>
            </m:r>
          </m:e>
          <m:sup>
            <m:r>
              <m:t>2</m:t>
            </m:r>
          </m:sup>
        </m:sSup>
      </m:oMath>
      <w:r>
        <w:rPr>
          <w:rFonts w:ascii="Times New Roman" w:hAnsi="Times New Roman"/>
        </w:rPr>
        <w:t xml:space="preserve"> = 0.558 ± 0.048) and CatBoost (</w:t>
      </w:r>
      <m:oMath>
        <m:sSup>
          <m:e>
            <m:r>
              <m:t>R</m:t>
            </m:r>
          </m:e>
          <m:sup>
            <m:r>
              <m:t>2</m:t>
            </m:r>
          </m:sup>
        </m:sSup>
      </m:oMath>
      <w:r>
        <w:rPr>
          <w:rFonts w:ascii="Times New Roman" w:hAnsi="Times New Roman"/>
        </w:rPr>
        <w:t xml:space="preserve"> = 0.547 ± 0.051). Random Forest exhibited lower spatial generalization capability (</w:t>
      </w:r>
      <m:oMath>
        <m:sSup>
          <m:e>
            <m:r>
              <m:t>R</m:t>
            </m:r>
          </m:e>
          <m:sup>
            <m:r>
              <m:t>2</m:t>
            </m:r>
          </m:sup>
        </m:sSup>
      </m:oMath>
      <w:r>
        <w:rPr>
          <w:rFonts w:ascii="Times New Roman" w:hAnsi="Times New Roman"/>
        </w:rPr>
        <w:t xml:space="preserve"> = 0.512 ± 0.056). Critically, when the identical LightGBM architecture was trained using standard non-spatial random cross-validation, the apparent </w:t>
      </w:r>
      <m:oMath>
        <m:sSup>
          <m:e>
            <m:r>
              <m:t>R</m:t>
            </m:r>
          </m:e>
          <m:sup>
            <m:r>
              <m:t>2</m:t>
            </m:r>
          </m:sup>
        </m:sSup>
      </m:oMath>
      <w:r>
        <w:rPr>
          <w:rFonts w:ascii="Times New Roman" w:hAnsi="Times New Roman"/>
        </w:rPr>
        <w:t xml:space="preserve"> jumped to 0.726 ± 0.021 (an artificial inflation of </w:t>
      </w:r>
      <m:oMath>
        <m:r>
          <m:t>Δ</m:t>
        </m:r>
        <m:sSup>
          <m:e>
            <m:r>
              <m:t>R</m:t>
            </m:r>
          </m:e>
          <m:sup>
            <m:r>
              <m:t>2</m:t>
            </m:r>
          </m:sup>
        </m:sSup>
      </m:oMath>
      <w:r>
        <w:rPr>
          <w:rFonts w:ascii="Times New Roman" w:hAnsi="Times New Roman"/>
        </w:rPr>
        <w:t xml:space="preserve"> = +0.157),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 xml:space="preserve">Figure 2: Multi-model spatial cross-validation benchmark, error residuals, and out-of-fold calibration curves. (A) Model comparison across 5-fold spatial CV showing </w:t>
      </w:r>
      <m:oMath>
        <m:sSup>
          <m:e>
            <m:r>
              <m:t>R</m:t>
            </m:r>
          </m:e>
          <m:sup>
            <m:r>
              <m:t>2</m:t>
            </m:r>
          </m:sup>
        </m:sSup>
      </m:oMath>
      <w:r>
        <w:rPr>
          <w:rFonts w:ascii="Times New Roman" w:hAnsi="Times New Roman"/>
          <w:i/>
          <w:sz w:val="19"/>
        </w:rPr>
        <w:t xml:space="preserve">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rFonts w:ascii="Times New Roman" w:hAnsi="Times New Roman"/>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Spatial R2</w:t>
            </w:r>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LGB + 0.40 XGB + 0.10 RF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The top 25 features identified through Grandmaster feature selection are detailed in Table 3 and visualized in Figures 3 and 4. The dominant predictor of seasonal yield volatility was seasonal planting date divergence (</w:t>
      </w:r>
      <w:r>
        <w:rPr>
          <w:rFonts w:ascii="Courier New" w:hAnsi="Courier New"/>
        </w:rPr>
        <w:t>plant_month_delta</w:t>
      </w:r>
      <w:r>
        <w:rPr>
          <w:rFonts w:ascii="Times New Roman" w:hAnsi="Times New Roman"/>
        </w:rPr>
        <w:t>), which accounted for 34.2% of total feature gain in LightGBM. The second and third most influential features were harvest realization share (</w:t>
      </w:r>
      <w:r>
        <w:rPr>
          <w:rFonts w:ascii="Courier New" w:hAnsi="Courier New"/>
        </w:rPr>
        <w:t>m_harvest_pct_mean</w:t>
      </w:r>
      <w:r>
        <w:rPr>
          <w:rFonts w:ascii="Times New Roman" w:hAnsi="Times New Roman"/>
        </w:rPr>
        <w:t>) and crop diversity differential (</w:t>
      </w:r>
      <w:r>
        <w:rPr>
          <w:rFonts w:ascii="Courier New" w:hAnsi="Courier New"/>
        </w:rPr>
        <w:t>shannon_diff_from_region_mean</w:t>
      </w:r>
      <w:r>
        <w:rPr>
          <w:rFonts w:ascii="Times New Roman" w:hAnsi="Times New Roman"/>
        </w:rPr>
        <w:t xml:space="preserve">). SHAP summary attributions (Figure 4) demonstrated that households maintaining higher Shannon diversity than their regional peers exhibited negative SHAP values (driving </w:t>
      </w:r>
      <m:oMath>
        <m:sSub>
          <m:e>
            <m:r>
              <m:t>Y</m:t>
            </m:r>
          </m:e>
          <m:sub>
            <m:r>
              <m:t>vol</m:t>
            </m:r>
          </m:sub>
        </m:sSub>
      </m:oMath>
      <w:r>
        <w:rPr>
          <w:rFonts w:ascii="Times New Roman" w:hAnsi="Times New Roman"/>
        </w:rPr>
        <w:t xml:space="preserve"> lower), confirming that multi-crop portfolios act as a direct biophysical shock absorber (Renard &amp; Tilman, 2019). Household asset buffers—specifically Tropical Livestock Units (</w:t>
      </w:r>
      <w:r>
        <w:rPr>
          <w:rFonts w:ascii="Courier New" w:hAnsi="Courier New"/>
        </w:rPr>
        <w:t>total_livestock_tlu</w:t>
      </w:r>
      <w:r>
        <w:rPr>
          <w:rFonts w:ascii="Times New Roman" w:hAnsi="Times New Roman"/>
        </w:rPr>
        <w:t>) and plot fragmentation (</w:t>
      </w:r>
      <w:r>
        <w:rPr>
          <w:rFonts w:ascii="Courier New" w:hAnsi="Courier New"/>
        </w:rPr>
        <w:t>plot_area_cv</w:t>
      </w:r>
      <w:r>
        <w:rPr>
          <w:rFonts w:ascii="Times New Roman" w:hAnsi="Times New Roman"/>
        </w:rPr>
        <w:t>)—also displayed substantial stabilizing attributions. Households possessing &gt;3.0 TLU were insulated against acute yield volatility, as livestock sales provided liquid capital to purchase supplementary inputs during stressed seasons (Carter &amp; Barrett, 2006).</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w:t>
      </w:r>
      <w:r>
        <w:rPr>
          <w:rFonts w:ascii="Courier New" w:hAnsi="Courier New"/>
          <w:sz w:val="17"/>
        </w:rPr>
        <w:t>plant_month_delta</w:t>
      </w:r>
      <w:r>
        <w:rPr>
          <w:rFonts w:ascii="Times New Roman" w:hAnsi="Times New Roman"/>
          <w:i/>
          <w:sz w:val="19"/>
        </w:rPr>
        <w:t>) and Shannon diversity differential.</w:t>
      </w:r>
    </w:p>
    <w:p>
      <w:pPr>
        <w:spacing w:before="160" w:after="60"/>
      </w:pPr>
      <w:r>
        <w:rPr>
          <w:rFonts w:ascii="Times New Roman" w:hAnsi="Times New Roman"/>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Feature Identifier</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plant_month_delta</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Misalignment in seasonal onset and crop establishment timing</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m_harvest_pct_mean</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area successfully harvested</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v_plant_month_mean</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Timing of Vuli short-rain planting relative to dry-season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shannon_diff_from_region_mean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Portfolio diversification relative to local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delta_evenness</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Seasonal shift in Pielou evenness across plot cultivars</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total_livestock_tlu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Tropical Livestock Units providing buffer capital against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m_no_harvest_share</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Share of plots suffering total crop abandonment in Masika</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dist_agronomic_archetype_1</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KMeans distance to Commercial Mixed Cropping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land_per_adult_labor</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Farm capitalization ratio (cultivated hectares per adult laborer)</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plot_area_mean</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Mean operational plot area across household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head_age</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human capital adaptive capacity</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area_diff_from_region_mean</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farm size from regional agro-ecological mean</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total_livestock_head</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count of livestock animals owned by holding</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dist_agronomic_archetype_0</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KMeans distance to Subsistence Cereals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v_drought_fail</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Reported severe drought failure during Vuli season</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varied substantially across Tanzania's diverse agro-ecological zones (Table 4, Figure 5, Figure 8). Spatial transferability was highest in the Northern Highlands (Kilimanjaro </w:t>
      </w:r>
      <m:oMath>
        <m:sSup>
          <m:e>
            <m:r>
              <m:t>R</m:t>
            </m:r>
          </m:e>
          <m:sup>
            <m:r>
              <m:t>2</m:t>
            </m:r>
          </m:sup>
        </m:sSup>
      </m:oMath>
      <w:r>
        <w:rPr>
          <w:rFonts w:ascii="Times New Roman" w:hAnsi="Times New Roman"/>
        </w:rPr>
        <w:t xml:space="preserve"> = 0.648, Arusha </w:t>
      </w:r>
      <m:oMath>
        <m:sSup>
          <m:e>
            <m:r>
              <m:t>R</m:t>
            </m:r>
          </m:e>
          <m:sup>
            <m:r>
              <m:t>2</m:t>
            </m:r>
          </m:sup>
        </m:sSup>
      </m:oMath>
      <w:r>
        <w:rPr>
          <w:rFonts w:ascii="Times New Roman" w:hAnsi="Times New Roman"/>
        </w:rPr>
        <w:t xml:space="preserve"> = 0.631) and Southern Highlands (Iringa </w:t>
      </w:r>
      <m:oMath>
        <m:sSup>
          <m:e>
            <m:r>
              <m:t>R</m:t>
            </m:r>
          </m:e>
          <m:sup>
            <m:r>
              <m:t>2</m:t>
            </m:r>
          </m:sup>
        </m:sSup>
      </m:oMath>
      <w:r>
        <w:rPr>
          <w:rFonts w:ascii="Times New Roman" w:hAnsi="Times New Roman"/>
        </w:rPr>
        <w:t xml:space="preserve"> = 0.622, Mbeya </w:t>
      </w:r>
      <m:oMath>
        <m:sSup>
          <m:e>
            <m:r>
              <m:t>R</m:t>
            </m:r>
          </m:e>
          <m:sup>
            <m:r>
              <m:t>2</m:t>
            </m:r>
          </m:sup>
        </m:sSup>
      </m:oMath>
      <w:r>
        <w:rPr>
          <w:rFonts w:ascii="Times New Roman" w:hAnsi="Times New Roman"/>
        </w:rPr>
        <w:t xml:space="preserve"> = 0.614). Conversely, the highest yield volatility and lowest baseline predictability occurred in semi-arid central regions (Dodoma mean </w:t>
      </w:r>
      <m:oMath>
        <m:sSub>
          <m:e>
            <m:r>
              <m:t>Y</m:t>
            </m:r>
          </m:e>
          <m:sub>
            <m:r>
              <m:t>vol</m:t>
            </m:r>
          </m:sub>
        </m:sSub>
      </m:oMath>
      <w:r>
        <w:rPr>
          <w:rFonts w:ascii="Times New Roman" w:hAnsi="Times New Roman"/>
        </w:rPr>
        <w:t xml:space="preserve"> = 1.382, Singida mean </w:t>
      </w:r>
      <m:oMath>
        <m:sSub>
          <m:e>
            <m:r>
              <m:t>Y</m:t>
            </m:r>
          </m:e>
          <m:sub>
            <m:r>
              <m:t>vol</m:t>
            </m:r>
          </m:sub>
        </m:sSub>
      </m:oMath>
      <w:r>
        <w:rPr>
          <w:rFonts w:ascii="Times New Roman" w:hAnsi="Times New Roman"/>
        </w:rPr>
        <w:t xml:space="preserve"> = 1.341), where erratic intra-seasonal dry spells overwhelmed management interventions (Lema &amp; Majule, 2009). Across all 27 regions, the Weighted Ensemble maintained a consistent transferability advantage over single-model estimators (Figure 5).</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 xml:space="preserve">Figure 5: Regional heterogeneity and spatial transferability advantage across 27 administrative regions. (A) Spatial distribution of model </w:t>
      </w:r>
      <m:oMath>
        <m:sSup>
          <m:e>
            <m:r>
              <m:t>R</m:t>
            </m:r>
          </m:e>
          <m:sup>
            <m:r>
              <m:t>2</m:t>
            </m:r>
          </m:sup>
        </m:sSup>
      </m:oMath>
      <w:r>
        <w:rPr>
          <w:rFonts w:ascii="Times New Roman" w:hAnsi="Times New Roman"/>
          <w:i/>
          <w:sz w:val="19"/>
        </w:rPr>
        <w:t xml:space="preserve">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rFonts w:ascii="Times New Roman" w:hAnsi="Times New Roman"/>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Regional Model R2</w:t>
            </w:r>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National Model R2</w:t>
            </w:r>
          </w:p>
        </w:tc>
        <w:tc>
          <w:tcPr>
            <w:tcW w:type="dxa" w:w="1170"/>
          </w:tcPr>
          <w:p>
            <w:pPr>
              <w:jc w:val="center"/>
            </w:pPr>
            <w:r>
              <w:rPr>
                <w:rFonts w:ascii="Times New Roman" w:hAnsi="Times New Roman"/>
                <w:b/>
                <w:sz w:val="18"/>
              </w:rPr>
              <w:t>National Advantage (Delta R2)</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Partial dependence and interaction analyses revealed distinct non-linear tipping points in smallholder stability (Figure 6, Figure 9). When the gap between Masika and Vuli planting exceeded 4.5 months, yield volatility accelerated non-linearly, climbing by 48% regardless of fertilizer application. In households applying &lt; 25 kg/ha of basal fertilizer in Vuli relative to Masika, yield volatility surged to 1.42, but the marginal stabilizing return plateaued beyond 60 kg/ha, indicating that smallholder stabilization does not require excessive chemical inputs, but rather timely, moderate baseline applications. Furthermore, Shannon diversity index values above 0.65 eliminated &gt;70%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w:t>
      </w:r>
      <w:r>
        <w:rPr>
          <w:rFonts w:ascii="Courier New" w:hAnsi="Courier New"/>
          <w:sz w:val="17"/>
        </w:rPr>
        <w:t>plot_area_cv</w:t>
      </w:r>
      <w:r>
        <w:rPr>
          <w:rFonts w:ascii="Times New Roman" w:hAnsi="Times New Roman"/>
          <w:i/>
          <w:sz w:val="19"/>
        </w:rPr>
        <w:t>)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Table 5 and Figure 7 present the quantitative verification of the 5-pillar spatial leakage audit. The adversarial validation ROC-AUC remained at 0.512 ± 0.024, demonstrating that training and test distributions were spatially disentangled. Figure 7 further provides local explanations for individual smallholder holdings using SHAP waterfalls. For Household #0 (a vulnerable monocropping holding in Dodoma), delayed Vuli planting and zero livestock holdings contributed +0.42 and +0.28 to their elevated volatility prediction (</w:t>
      </w:r>
      <m:oMath>
        <m:sSub>
          <m:e>
            <m:r>
              <m:t>Y</m:t>
            </m:r>
          </m:e>
          <m:sub>
            <m:r>
              <m:t>vol</m:t>
            </m:r>
          </m:sub>
        </m:sSub>
      </m:oMath>
      <w:r>
        <w:rPr>
          <w:rFonts w:ascii="Times New Roman" w:hAnsi="Times New Roman"/>
        </w:rPr>
        <w:t xml:space="preserve"> = 1.48). Counterfactual simulation showed that introducing a two-species intercrop and 2 TLU asset buffer would reduce their projected volatility to 0.86.</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rFonts w:ascii="Times New Roman" w:hAnsi="Times New Roman"/>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 xml:space="preserve">Verifies target </w:t>
            </w:r>
            <m:oMath>
              <m:sSub>
                <m:e>
                  <m:r>
                    <m:t>Y</m:t>
                  </m:r>
                </m:e>
                <m:sub>
                  <m:r>
                    <m:t>vol</m:t>
                  </m:r>
                </m:sub>
              </m:sSub>
            </m:oMath>
            <w:r>
              <w:rPr>
                <w:rFonts w:ascii="Times New Roman" w:hAnsi="Times New Roman"/>
                <w:sz w:val="17"/>
              </w:rPr>
              <w:t xml:space="preserve">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Under the baseline status quo, 38.4% of holdings resided in the hyper-volatile state. Providing 2 TLU equivalent asset transfers reduced mean national volatility by 14.2%, while promoting legume intercropping (+0.4 Shannon index) achieved a 19.8% reduction (Beillouin et al., 2019). An integrated Climate-Smart Agriculture package (timely planting advisories, targeted micro-fertilizer vouchers, and intercropping) cut hyper-volatile holdings by 63.3% (dropping from 38.4% to 14.1%) and delivered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w:t>
      </w:r>
      <m:oMath>
        <m:sSub>
          <m:e>
            <m:r>
              <m:t>Y</m:t>
            </m:r>
          </m:e>
          <m:sub>
            <m:r>
              <m:t>vol</m:t>
            </m:r>
          </m:sub>
        </m:sSub>
      </m:oMath>
      <w:r>
        <w:rPr>
          <w:rFonts w:ascii="Times New Roman" w:hAnsi="Times New Roman"/>
          <w:i/>
          <w:sz w:val="19"/>
        </w:rPr>
        <w:t xml:space="preserve"> ≥ 1.50) across scenarios. (C) Net percentage reduction in mean smallholder volatility.</w:t>
      </w:r>
    </w:p>
    <w:p>
      <w:pPr>
        <w:spacing w:before="160" w:after="60"/>
      </w:pPr>
      <w:r>
        <w:rPr>
          <w:rFonts w:ascii="Times New Roman" w:hAnsi="Times New Roman"/>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 xml:space="preserve">Mean </w:t>
            </w:r>
            <m:oMath>
              <m:sSub>
                <m:e>
                  <m:r>
                    <m:t>Y</m:t>
                  </m:r>
                </m:e>
                <m:sub>
                  <m:r>
                    <m:t>vol</m:t>
                  </m:r>
                </m:sub>
              </m:sSub>
            </m:oMath>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Timing Delta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rFonts w:ascii="Times New Roman" w:hAnsi="Times New Roman"/>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w:t>
            </w:r>
            <m:oMath>
              <m:sSub>
                <m:e>
                  <m:r>
                    <m:t>Y</m:t>
                  </m:r>
                </m:e>
                <m:sub>
                  <m:r>
                    <m:t>vol</m:t>
                  </m:r>
                </m:sub>
              </m:sSub>
            </m:oMath>
            <w:r>
              <w:rPr>
                <w:rFonts w:ascii="Times New Roman" w:hAnsi="Times New Roman"/>
                <w:b/>
                <w:sz w:val="18"/>
              </w:rPr>
              <w:t>)</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m:oMath>
        <m:r>
          <m:t>Δ</m:t>
        </m:r>
        <m:sSup>
          <m:e>
            <m:r>
              <m:t>R</m:t>
            </m:r>
          </m:e>
          <m:sup>
            <m:r>
              <m:t>2</m:t>
            </m:r>
          </m:sup>
        </m:sSup>
      </m:oMath>
      <w:r>
        <w:rPr>
          <w:rFonts w:ascii="Times New Roman" w:hAnsi="Times New Roman"/>
        </w:rPr>
        <w:t xml:space="preserve"> = +0.157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utilized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achieved superior generalization (</w:t>
      </w:r>
      <m:oMath>
        <m:sSup>
          <m:e>
            <m:r>
              <m:t>R</m:t>
            </m:r>
          </m:e>
          <m:sup>
            <m:r>
              <m:t>2</m:t>
            </m:r>
          </m:sup>
        </m:sSup>
      </m:oMath>
      <w:r>
        <w:rPr>
          <w:rFonts w:ascii="Times New Roman" w:hAnsi="Times New Roman"/>
        </w:rPr>
        <w:t xml:space="preserve"> = 0.584 ± 0.042, RMSE = 0.231) under strict spatial regional cross-validation. We quantified that naive non-spatial cross-validation introduced an optimistic bias of +0.157 in </w:t>
      </w:r>
      <m:oMath>
        <m:sSup>
          <m:e>
            <m:r>
              <m:t>R</m:t>
            </m:r>
          </m:e>
          <m:sup>
            <m:r>
              <m:t>2</m:t>
            </m:r>
          </m:sup>
        </m:sSup>
      </m:oMath>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were the primary drivers of yield stability. Counterfactual simulations proved that an integrated climate-smart agriculture package reduced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https://doi.org/10.1088/1748-9326/ab4449</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(2015). Is Indian agriculture becoming resilient to droughts? Evidence from rice production systems. </w:t>
      </w:r>
      <w:r>
        <w:rPr>
          <w:rFonts w:ascii="Times New Roman" w:hAnsi="Times New Roman"/>
          <w:i/>
        </w:rPr>
        <w:t>Food Policy</w:t>
      </w:r>
      <w:r>
        <w:rPr>
          <w:rFonts w:ascii="Times New Roman" w:hAnsi="Times New Roman"/>
        </w:rPr>
        <w:t xml:space="preserve">, </w:t>
      </w:r>
      <w:r>
        <w:rPr>
          <w:rFonts w:ascii="Times New Roman" w:hAnsi="Times New Roman"/>
          <w:i/>
        </w:rPr>
        <w:t>56</w:t>
      </w:r>
      <w:r>
        <w:rPr>
          <w:rFonts w:ascii="Times New Roman" w:hAnsi="Times New Roman"/>
        </w:rPr>
        <w:t>, 1–12. https://doi.org/10.1016/j.foodpol.2015.07.005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Lema, M. A., &amp; Majule, A. E. (2009). Impacts of climate change, variability and adaptation strategies on agriculture in semi-arid areas of Tanzania: The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 https://doi.org/10.5897/AJEST09.099</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European Journal of Agronomy</w:t>
      </w:r>
      <w:r>
        <w:rPr>
          <w:rFonts w:ascii="Times New Roman" w:hAnsi="Times New Roman"/>
        </w:rPr>
        <w:t xml:space="preserve">, </w:t>
      </w:r>
      <w:r>
        <w:rPr>
          <w:rFonts w:ascii="Times New Roman" w:hAnsi="Times New Roman"/>
          <w:i/>
        </w:rPr>
        <w:t>91</w:t>
      </w:r>
      <w:r>
        <w:rPr>
          <w:rFonts w:ascii="Times New Roman" w:hAnsi="Times New Roman"/>
        </w:rPr>
        <w:t>, 25–33. https://doi.org/10.1016/j.eja.2017.09.009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the choice of cropping system and sowing date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https://doi.org/10.1016/j.gloenvcha.2012.11.001</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