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left"/>
      </w:pPr>
      <w:r>
        <w:rPr>
          <w:rFonts w:ascii="Times New Roman" w:hAnsi="Times New Roman"/>
          <w:b/>
          <w:sz w:val="28"/>
        </w:rPr>
        <w:t>Predicting Smallholder Crop Yield Volatility Across Agro-Ecological Zones: A Leakage-Free Spatial Machine Learning Framework for Tanzania</w:t>
      </w:r>
    </w:p>
    <w:p>
      <w:pPr>
        <w:jc w:val="both"/>
      </w:pPr>
      <w:r>
        <w:rPr>
          <w:rFonts w:ascii="Times New Roman" w:hAnsi="Times New Roman"/>
          <w:sz w:val="20"/>
        </w:rPr>
        <w:t>Running Head: Predicting Smallholder Crop Yield Volatility in Tanzania</w:t>
      </w:r>
    </w:p>
    <w:p>
      <w:pPr>
        <w:jc w:val="both"/>
      </w:pPr>
      <w:r>
        <w:rPr>
          <w:rFonts w:ascii="Times New Roman" w:hAnsi="Times New Roman"/>
          <w:sz w:val="20"/>
        </w:rPr>
        <w:t>Author:</w:t>
      </w:r>
    </w:p>
    <w:p>
      <w:pPr>
        <w:jc w:val="both"/>
      </w:pPr>
      <w:r>
        <w:rPr>
          <w:rFonts w:ascii="Times New Roman" w:hAnsi="Times New Roman"/>
          <w:sz w:val="20"/>
        </w:rPr>
        <w:t>Kadeghe Goodluck Fue</w:t>
      </w:r>
    </w:p>
    <w:p>
      <w:pPr>
        <w:jc w:val="both"/>
      </w:pPr>
      <w:r>
        <w:rPr>
          <w:rFonts w:ascii="Times New Roman" w:hAnsi="Times New Roman"/>
          <w:sz w:val="20"/>
        </w:rPr>
        <w:t>Department of Agricultural Engineering, School of Engineering and Technology, Sokoine University of Agriculture (SUA), P.O. Box 3003, Chuo Kikuu, Morogoro, Tanzania</w:t>
      </w:r>
    </w:p>
    <w:p>
      <w:pPr>
        <w:jc w:val="both"/>
      </w:pPr>
      <w:r>
        <w:rPr>
          <w:rFonts w:ascii="Times New Roman" w:hAnsi="Times New Roman"/>
          <w:sz w:val="20"/>
        </w:rPr>
        <w:t>Corresponding Author Email: kadefue@sua.ac.tz</w:t>
      </w:r>
    </w:p>
    <w:p>
      <w:pPr>
        <w:jc w:val="both"/>
      </w:pPr>
      <w:r>
        <w:rPr>
          <w:rFonts w:ascii="Times New Roman" w:hAnsi="Times New Roman"/>
          <w:sz w:val="20"/>
        </w:rPr>
        <w:t>ORCID: https://orcid.org/0000-0001-6362-3174</w:t>
      </w:r>
    </w:p>
    <w:p>
      <w:pPr>
        <w:spacing w:before="240" w:after="80"/>
      </w:pPr>
      <w:r>
        <w:rPr>
          <w:rFonts w:ascii="Times New Roman" w:hAnsi="Times New Roman"/>
          <w:b/>
          <w:sz w:val="24"/>
        </w:rPr>
        <w:t>Abstract</w:t>
      </w:r>
    </w:p>
    <w:p>
      <w:pPr>
        <w:jc w:val="both"/>
      </w:pPr>
      <w:r>
        <w:rPr>
          <w:rFonts w:ascii="Times New Roman" w:hAnsi="Times New Roman"/>
          <w:sz w:val="20"/>
        </w:rPr>
        <w:t>Smallholder rainfed farming systems across sub-Saharan Africa face intensifying inter-seasonal yield instability driven by erratic bimodal rainfall, soil nutrient depletion, and biotic pest shocks, yet empirical risk models frequently overestimate predictive skill due to unaddressed spatial autocorrelation leakage. This study develops and validates a leakage-free spatial machine learning framework to predict household-level crop yield volatility across Mainland Tanzania and the Zanzibar Archipelago using nationally representative microdata from the 2024/2025 National Bureau of Statistics (NBS) Annual Agricultural Sample Survey (AASS) covering 4,564 bimodal agricultural holdings across 921 Enumeration Areas (EAs). We formulate a bounded, scale-invariant Yield Volatility Index (Y</w:t>
      </w:r>
      <w:r>
        <w:rPr>
          <w:rFonts w:ascii="Times New Roman" w:hAnsi="Times New Roman"/>
          <w:sz w:val="20"/>
          <w:vertAlign w:val="subscript"/>
        </w:rPr>
        <w:t>vol</w:t>
      </w:r>
      <w:r>
        <w:rPr>
          <w:rFonts w:ascii="Times New Roman" w:hAnsi="Times New Roman"/>
          <w:sz w:val="20"/>
        </w:rPr>
        <w:t xml:space="preserve"> ∈ [0, 2]) measuring proportional yield divergence between the long-rain (</w:t>
      </w:r>
      <w:r>
        <w:rPr>
          <w:rFonts w:ascii="Times New Roman" w:hAnsi="Times New Roman"/>
          <w:i/>
          <w:sz w:val="20"/>
        </w:rPr>
        <w:t>Masika</w:t>
      </w:r>
      <w:r>
        <w:rPr>
          <w:rFonts w:ascii="Times New Roman" w:hAnsi="Times New Roman"/>
          <w:sz w:val="20"/>
        </w:rPr>
        <w:t>) and short-rain (</w:t>
      </w:r>
      <w:r>
        <w:rPr>
          <w:rFonts w:ascii="Times New Roman" w:hAnsi="Times New Roman"/>
          <w:i/>
          <w:sz w:val="20"/>
        </w:rPr>
        <w:t>Vuli</w:t>
      </w:r>
      <w:r>
        <w:rPr>
          <w:rFonts w:ascii="Times New Roman" w:hAnsi="Times New Roman"/>
          <w:sz w:val="20"/>
        </w:rPr>
        <w:t>) cultivation cycles, and engineer 246 multi-domain agronomic, ecological, demographic, and spatial peer predictors pruned to a 100-feature subset capturing 99.0% of tree-based information gain. Evaluated under strict five-fold spatial group cross-validation partitioning whole Enumeration Areas, a soft-voting Weighted Ensemble combining Light Gradient Boosting Machine (LightGBM), Extreme Gradient Boosting (XGBoost), and Random Forest (RF) achieves an out-of-fold coefficient of determination (R</w:t>
      </w:r>
      <w:r>
        <w:rPr>
          <w:rFonts w:ascii="Times New Roman" w:hAnsi="Times New Roman"/>
          <w:sz w:val="20"/>
          <w:vertAlign w:val="superscript"/>
        </w:rPr>
        <w:t>2</w:t>
      </w:r>
      <w:r>
        <w:rPr>
          <w:rFonts w:ascii="Times New Roman" w:hAnsi="Times New Roman"/>
          <w:sz w:val="20"/>
        </w:rPr>
        <w:t>) of 0.592, a Root Mean Squared Error (RMSE) of 0.464, and a Mean Absolute Error (MAE) of 0.347, outperforming dedicated regional sub-models across 26 of 27 regions. Exact Tree-based Shapley Additive Explanations (TreeSHAP) and partial dependence analyses reveal that inter-seasonal planting timing shifts, plot abandonment shocks, and crop portfolio diversity relative to community peers govern production instability, buffered non-linearly by livestock holdings above 3.0 Tropical Livestock Units (TLU). Policy counterfactual simulations indicate that an integrated Climate-Smart Agriculture package combining asset transfers, cultivar diversification, and planting synchronisation reduces mean national yield volatility by 40.0% and lowers hyper-volatile holdings (Y</w:t>
      </w:r>
      <w:r>
        <w:rPr>
          <w:rFonts w:ascii="Times New Roman" w:hAnsi="Times New Roman"/>
          <w:sz w:val="20"/>
          <w:vertAlign w:val="subscript"/>
        </w:rPr>
        <w:t>vol</w:t>
      </w:r>
      <w:r>
        <w:rPr>
          <w:rFonts w:ascii="Times New Roman" w:hAnsi="Times New Roman"/>
          <w:sz w:val="20"/>
        </w:rPr>
        <w:t xml:space="preserve"> ≥ 1.50) from 25.8% to 19.9%, although multi-wave longitudinal panel tracking and high-resolution satellite soil-moisture assimilation remain vital future research priorities.</w:t>
      </w:r>
    </w:p>
    <w:p>
      <w:pPr>
        <w:jc w:val="both"/>
      </w:pPr>
      <w:r>
        <w:rPr>
          <w:rFonts w:ascii="Times New Roman" w:hAnsi="Times New Roman"/>
          <w:sz w:val="20"/>
        </w:rPr>
        <w:t>Keywords: smallholder agriculture; crop yield volatility; spatial cross-validation; machine learning; climate resilience; Tanzania</w:t>
      </w:r>
    </w:p>
    <w:p>
      <w:pPr>
        <w:spacing w:before="240" w:after="80"/>
      </w:pPr>
      <w:r>
        <w:rPr>
          <w:rFonts w:ascii="Times New Roman" w:hAnsi="Times New Roman"/>
          <w:b/>
          <w:sz w:val="24"/>
        </w:rPr>
        <w:t>Abbreviations, Symbols, and Units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4680"/>
        <w:gridCol w:w="4680"/>
      </w:tblGrid>
      <w:tr>
        <w:tc>
          <w:tcPr>
            <w:tcW w:type="dxa" w:w="4680"/>
            <w:tcMar>
              <w:top w:w="60" w:type="dxa"/>
              <w:bottom w:w="60" w:type="dxa"/>
              <w:left w:w="80" w:type="dxa"/>
              <w:right w:w="80" w:type="dxa"/>
            </w:tcMar>
            <w:vAlign w:val="center"/>
          </w:tcPr>
          <w:p>
            <w:pPr>
              <w:spacing w:before="20" w:after="20"/>
              <w:jc w:val="left"/>
            </w:pPr>
            <w:r>
              <w:rPr>
                <w:rFonts w:ascii="Times New Roman" w:hAnsi="Times New Roman"/>
                <w:b/>
                <w:sz w:val="17"/>
              </w:rPr>
              <w:t>Abbreviation / Symbol</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b/>
                <w:sz w:val="17"/>
              </w:rPr>
              <w:t>Definition and Measurement Unit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AASS</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Annual Agricultural Sample Survey</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AEZ</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Agro-Ecological Zone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w:t>
            </w:r>
            <w:r>
              <w:rPr>
                <w:rFonts w:ascii="Times New Roman" w:hAnsi="Times New Roman"/>
                <w:sz w:val="17"/>
                <w:vertAlign w:val="subscript"/>
              </w:rPr>
              <w:t>HHI</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Herfindahl–Hirschman Crop Concentration Index (dimensionless, [0,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CSA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Climate-Smart Agriculture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CV</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Coefficient of Variation (dimensionless ratio of standard deviation to mean)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D</w:t>
            </w:r>
            <w:r>
              <w:rPr>
                <w:rFonts w:ascii="Times New Roman" w:hAnsi="Times New Roman"/>
                <w:sz w:val="17"/>
                <w:vertAlign w:val="subscript"/>
              </w:rPr>
              <w:t>BP</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Berger–Parker Crop Dominance Index (dimensionless, [0,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Enumeration Area (primary geographic census cluster)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ESM</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Electronic Supplementary Material (cited as Online Resource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FAO</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Food and Agriculture Organization of the United Nations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GBDT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Gradient Boosted Decision Trees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H′</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Shannon–Wiener Crop Diversity Index (dimensionless, ≥ 0)</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HHFARMID</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Anonymised Household Farming Holding Identifier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IQR</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Interquartile Range (Q</w:t>
            </w:r>
            <w:r>
              <w:rPr>
                <w:rFonts w:ascii="Times New Roman" w:hAnsi="Times New Roman"/>
                <w:sz w:val="17"/>
                <w:vertAlign w:val="subscript"/>
              </w:rPr>
              <w:t>3</w:t>
            </w:r>
            <w:r>
              <w:rPr>
                <w:rFonts w:ascii="Times New Roman" w:hAnsi="Times New Roman"/>
                <w:sz w:val="17"/>
              </w:rPr>
              <w:t xml:space="preserve"> − Q</w:t>
            </w:r>
            <w:r>
              <w:rPr>
                <w:rFonts w:ascii="Times New Roman" w:hAnsi="Times New Roman"/>
                <w:sz w:val="17"/>
                <w:vertAlign w:val="subscript"/>
              </w:rPr>
              <w:t>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J′</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Pielou Species Evenness Index (dimensionless, [0,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J(C</w:t>
            </w:r>
            <w:r>
              <w:rPr>
                <w:rFonts w:ascii="Times New Roman" w:hAnsi="Times New Roman"/>
                <w:sz w:val="17"/>
                <w:vertAlign w:val="subscript"/>
              </w:rPr>
              <w:t>m</w:t>
            </w:r>
            <w:r>
              <w:rPr>
                <w:rFonts w:ascii="Times New Roman" w:hAnsi="Times New Roman"/>
                <w:sz w:val="17"/>
              </w:rPr>
              <w:t>, C</w:t>
            </w:r>
            <w:r>
              <w:rPr>
                <w:rFonts w:ascii="Times New Roman" w:hAnsi="Times New Roman"/>
                <w:sz w:val="17"/>
                <w:vertAlign w:val="subscript"/>
              </w:rPr>
              <w:t>v</w:t>
            </w:r>
            <w:r>
              <w:rPr>
                <w:rFonts w:ascii="Times New Roman" w:hAnsi="Times New Roman"/>
                <w:sz w:val="17"/>
              </w:rPr>
              <w: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Cross-Seasonal Jaccard Crop Similarity Coefficient (dimensionless, [0,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KDE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Kernel Density Estimation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LightGBM</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Light Gradient Boosting Machine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MAE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Mean Absolute Error (in units of Y</w:t>
            </w:r>
            <w:r>
              <w:rPr>
                <w:rFonts w:ascii="Times New Roman" w:hAnsi="Times New Roman"/>
                <w:sz w:val="17"/>
                <w:vertAlign w:val="subscript"/>
              </w:rPr>
              <w:t>vol</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i/>
                <w:sz w:val="17"/>
              </w:rPr>
              <w:t>Masika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Primary long-rain agricultural season in Tanzania (March–May)</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NBS</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National Bureau of Statistics of the United Republic of Tanzania</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OOF</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Out-of-Fold (spatially disjoint validation predictions)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PCA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Principal Component Analysis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w:t>
            </w:r>
            <w:r>
              <w:rPr>
                <w:rFonts w:ascii="Times New Roman" w:hAnsi="Times New Roman"/>
                <w:sz w:val="17"/>
                <w:vertAlign w:val="superscript"/>
              </w:rPr>
              <w:t>2</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Out-of-fold Coefficient of Determination (dimensionless)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RF</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Random Forest Regressor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RMSE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Root Mean Squared Error (in units of Y</w:t>
            </w:r>
            <w:r>
              <w:rPr>
                <w:rFonts w:ascii="Times New Roman" w:hAnsi="Times New Roman"/>
                <w:sz w:val="17"/>
                <w:vertAlign w:val="subscript"/>
              </w:rPr>
              <w:t>vol</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SHAP</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Shapley Additive Explanations (game-theoretic feature attribution)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SUA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Sokoine University of Agriculture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TLU</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Tropical Livestock Unit (1 TLU = 250 kg live metabolic weight equivalent)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i/>
                <w:sz w:val="17"/>
              </w:rPr>
              <w:t>Vuli</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Secondary short-rain agricultural season in Tanzania (October–December)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XGBoost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Extreme Gradient Boosting</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Y</w:t>
            </w:r>
            <w:r>
              <w:rPr>
                <w:rFonts w:ascii="Times New Roman" w:hAnsi="Times New Roman"/>
                <w:sz w:val="17"/>
                <w:vertAlign w:val="subscript"/>
              </w:rPr>
              <w:t>m</w:t>
            </w:r>
            <w:r>
              <w:rPr>
                <w:rFonts w:ascii="Times New Roman" w:hAnsi="Times New Roman"/>
                <w:sz w:val="17"/>
              </w:rPr>
              <w:t>, Y</w:t>
            </w:r>
            <w:r>
              <w:rPr>
                <w:rFonts w:ascii="Times New Roman" w:hAnsi="Times New Roman"/>
                <w:sz w:val="17"/>
                <w:vertAlign w:val="subscript"/>
              </w:rPr>
              <w:t>v</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Area-weighted household crop yield in </w:t>
            </w:r>
            <w:r>
              <w:rPr>
                <w:rFonts w:ascii="Times New Roman" w:hAnsi="Times New Roman"/>
                <w:i/>
                <w:sz w:val="17"/>
              </w:rPr>
              <w:t>Masika</w:t>
            </w:r>
            <w:r>
              <w:rPr>
                <w:rFonts w:ascii="Times New Roman" w:hAnsi="Times New Roman"/>
                <w:sz w:val="17"/>
              </w:rPr>
              <w:t xml:space="preserve"> and </w:t>
            </w:r>
            <w:r>
              <w:rPr>
                <w:rFonts w:ascii="Times New Roman" w:hAnsi="Times New Roman"/>
                <w:i/>
                <w:sz w:val="17"/>
              </w:rPr>
              <w:t>Vuli</w:t>
            </w:r>
            <w:r>
              <w:rPr>
                <w:rFonts w:ascii="Times New Roman" w:hAnsi="Times New Roman"/>
                <w:sz w:val="17"/>
              </w:rPr>
              <w:t xml:space="preserve"> (kg ha</w:t>
            </w:r>
            <w:r>
              <w:rPr>
                <w:rFonts w:ascii="Times New Roman" w:hAnsi="Times New Roman"/>
                <w:sz w:val="17"/>
                <w:vertAlign w:val="superscript"/>
              </w:rPr>
              <w:t>-1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Y</w:t>
            </w:r>
            <w:r>
              <w:rPr>
                <w:rFonts w:ascii="Times New Roman" w:hAnsi="Times New Roman"/>
                <w:sz w:val="17"/>
                <w:vertAlign w:val="subscript"/>
              </w:rPr>
              <w:t>vol</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Bounded Inter-Seasonal Yield Volatility Index (dimensionless, [0, 2])</w:t>
            </w:r>
          </w:p>
        </w:tc>
      </w:tr>
    </w:tbl>
    <w:p>
      <w:pPr>
        <w:spacing w:before="240" w:after="80"/>
      </w:pPr>
      <w:r>
        <w:rPr>
          <w:rFonts w:ascii="Times New Roman" w:hAnsi="Times New Roman"/>
          <w:b/>
          <w:sz w:val="24"/>
        </w:rPr>
        <w:t>1 Introduction</w:t>
      </w:r>
    </w:p>
    <w:p>
      <w:pPr>
        <w:jc w:val="both"/>
      </w:pPr>
      <w:r>
        <w:rPr>
          <w:rFonts w:ascii="Times New Roman" w:hAnsi="Times New Roman"/>
          <w:sz w:val="20"/>
        </w:rPr>
        <w:t>Global food systems face an unprecedented convergence of climatic, ecological, and macroeconomic pressures that threaten the stability of agricultural production and rural livelihoods across the developing world (Wheeler &amp; von Braun, 2013; Lobell et al., 2011; Ray et al., 2015). In sub-Saharan Africa, where rainfed smallholder holdings cultivating less than 3.5 hectares generate over 75% of domestic caloric supply, food security is governed not merely by long-term mean crop yields, but by the magnitude and frequency of inter-seasonal production shocks (Thornton et al., 2014; Jayne et al., 2010; Hertel &amp; Rosch, 2010). Classical definitions of food security emphasise four interdependent pillars: availability, access, utilisation, and stability (Barrett, 2010; Godfray et al., 2010). Whilst substantial agronomic research and breeding investments over the past four decades have sought to raise average yield potential under optimal station conditions (Evenson &amp; Gollin, 2003; Tittonell &amp; Giller, 2013), the fourth pillar—production and consumption stability—remains acutely fragile across East Africa. When a subsistence or semi-commercial farm household experiences an abrupt harvest collapse between consecutive cropping cycles, the resulting production deficit triggers severe welfare penalties: forced liquidation of productive livestock assets at depressed distress prices, withdrawal of children from schooling, curtailment of nutrient-dense dietary intake, and entrenchment in chronic poverty traps (Dercon, 2004; Zimmerman &amp; Carter, 2003; Barrett &amp; Constas, 2014).</w:t>
      </w:r>
    </w:p>
    <w:p>
      <w:pPr>
        <w:jc w:val="both"/>
      </w:pPr>
      <w:r>
        <w:rPr>
          <w:rFonts w:ascii="Times New Roman" w:hAnsi="Times New Roman"/>
          <w:sz w:val="20"/>
        </w:rPr>
        <w:t>The United Republic of Tanzania exemplifies the structural complexity of managing agricultural production risk across highly heterogeneous tropical landscapes. Spanning approximately 945,000 km</w:t>
      </w:r>
      <w:r>
        <w:rPr>
          <w:rFonts w:ascii="Times New Roman" w:hAnsi="Times New Roman"/>
          <w:sz w:val="20"/>
          <w:vertAlign w:val="superscript"/>
        </w:rPr>
        <w:t>2</w:t>
      </w:r>
      <w:r>
        <w:rPr>
          <w:rFonts w:ascii="Times New Roman" w:hAnsi="Times New Roman"/>
          <w:sz w:val="20"/>
        </w:rPr>
        <w:t xml:space="preserve"> across Mainland Tanzania and the Zanzibar Archipelago, the country encompasses seven distinct Agro-Ecological Zones (AEZs) ranging from semi-arid central plateaus and coastal lowlands to sub-humid lake basins and montane volcanic highlands (Rowhani et al., 2011; Arndt et al., 2012). Across the northern, coastal, lake, and highland corridors, agricultural production follows a bimodal rainfall regime governed by the seasonal migration of the Inter-Tropical Convergence Zone (ITCZ). Smallholder households navigate two distinct cultivation cycles each agricultural year: the </w:t>
      </w:r>
      <w:r>
        <w:rPr>
          <w:rFonts w:ascii="Times New Roman" w:hAnsi="Times New Roman"/>
          <w:i/>
          <w:sz w:val="20"/>
        </w:rPr>
        <w:t>Masika</w:t>
      </w:r>
      <w:r>
        <w:rPr>
          <w:rFonts w:ascii="Times New Roman" w:hAnsi="Times New Roman"/>
          <w:sz w:val="20"/>
        </w:rPr>
        <w:t xml:space="preserve"> long rains (typically extending from March to May) and the </w:t>
      </w:r>
      <w:r>
        <w:rPr>
          <w:rFonts w:ascii="Times New Roman" w:hAnsi="Times New Roman"/>
          <w:i/>
          <w:sz w:val="20"/>
        </w:rPr>
        <w:t>Vuli</w:t>
      </w:r>
      <w:r>
        <w:rPr>
          <w:rFonts w:ascii="Times New Roman" w:hAnsi="Times New Roman"/>
          <w:sz w:val="20"/>
        </w:rPr>
        <w:t xml:space="preserve"> short rains (occurring from October to December). The </w:t>
      </w:r>
      <w:r>
        <w:rPr>
          <w:rFonts w:ascii="Times New Roman" w:hAnsi="Times New Roman"/>
          <w:i/>
          <w:sz w:val="20"/>
        </w:rPr>
        <w:t>Vuli</w:t>
      </w:r>
      <w:r>
        <w:rPr>
          <w:rFonts w:ascii="Times New Roman" w:hAnsi="Times New Roman"/>
          <w:sz w:val="20"/>
        </w:rPr>
        <w:t xml:space="preserve"> rains are characterised by lower cumulative precipitation, higher onset variability, and heightened sensitivity to Indian Ocean Dipole (IOD) and El Niño–Southern Oscillation (ENSO) sea-surface temperature anomalies, whereas the </w:t>
      </w:r>
      <w:r>
        <w:rPr>
          <w:rFonts w:ascii="Times New Roman" w:hAnsi="Times New Roman"/>
          <w:i/>
          <w:sz w:val="20"/>
        </w:rPr>
        <w:t>Masika</w:t>
      </w:r>
      <w:r>
        <w:rPr>
          <w:rFonts w:ascii="Times New Roman" w:hAnsi="Times New Roman"/>
          <w:sz w:val="20"/>
        </w:rPr>
        <w:t xml:space="preserve"> rains provide the bulk of annual cereal and legume output but remain vulnerable to mid-season dry spells, flash flooding, and biotic pest outbreaks such as Fall Armyworm (</w:t>
      </w:r>
      <w:r>
        <w:rPr>
          <w:rFonts w:ascii="Times New Roman" w:hAnsi="Times New Roman"/>
          <w:i/>
          <w:sz w:val="20"/>
        </w:rPr>
        <w:t>Spodoptera frugiperda</w:t>
      </w:r>
      <w:r>
        <w:rPr>
          <w:rFonts w:ascii="Times New Roman" w:hAnsi="Times New Roman"/>
          <w:sz w:val="20"/>
        </w:rPr>
        <w:t xml:space="preserve">) (Rowhani et al., 2011; Kassie et al., 2015). Because smallholder households rely on sequential harvests across both seasons to smooth consumption, service informal credit obligations, and finance seed and fertiliser inputs for the subsequent planting window, wide inter-seasonal yield swings between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represent a primary driver of transitory food insecurity across rural Tanzania.</w:t>
      </w:r>
    </w:p>
    <w:p>
      <w:pPr>
        <w:jc w:val="both"/>
      </w:pPr>
      <w:r>
        <w:rPr>
          <w:rFonts w:ascii="Times New Roman" w:hAnsi="Times New Roman"/>
          <w:sz w:val="20"/>
        </w:rPr>
        <w:t>Understanding why certain smallholder holdings maintain stable harvest realisations across seasons whilst neighbouring farms within the same agro-ecological zone suffer catastrophic yield oscillations requires moving beyond single-factor agronomic analyses. Theoretical frameworks in agricultural development economics and agro-ecology posit that farm-level production stability emerges from a complex, non-linear interplay among ecological portfolio buffering, household capital endowments, and phenological management (Tilman et al., 2006; Lin, 2011; Di Falco &amp; Chavas, 2009). First, the biodiversity–stability hypothesis demonstrates that cultivating diverse crop species and functional groups with asynchronous water-use profiles and root architectures dampens aggregate portfolio variance through statistical portfolio averaging and ecological niche complementarity (Renard &amp; Tilman, 2019; Isbell et al., 2017; Beillouin et al., 2021). Second, economic buffer-stock theory establishes that liquid household wealth—most notably livestock herds quantified in Tropical Livestock Units (TLU)—relaxes seasonal liquidity constraints, enabling timely land preparation, hired labour mobilisation during peak weeding bottlenecks, and rapid replanting when early rains fail (Dercon, 2004; Dillon et al., 2015). Third, agronomic intensification and soil management practices—including synthetic fertiliser application, pesticide protection, fallowing, and supplemental irrigation—interact non-linearly with plot fragmentation and planting timing (Tittonell &amp; Giller, 2013; Teklewold et al., 2013; Carletto et al., 2013). For instance, high chemical fertiliser investment on rainfed monoculture plots without moisture conservation can amplify downside variance during rainfall deficits, a phenomenon widely recognised in risk-programming literature as risk-inducing intensification (Just &amp; Pope, 1979; Di Falco &amp; Chavas, 2009).</w:t>
      </w:r>
    </w:p>
    <w:p>
      <w:pPr>
        <w:jc w:val="both"/>
      </w:pPr>
      <w:r>
        <w:rPr>
          <w:rFonts w:ascii="Times New Roman" w:hAnsi="Times New Roman"/>
          <w:sz w:val="20"/>
        </w:rPr>
        <w:t xml:space="preserve">Despite the urgent policy need for high-resolution early-warning tools capable of identifying volatility-prone smallholders prior to shock realisation, existing empirical approaches suffer from three persistent methodological limitations. First, conventional econometric studies of yield risk rely predominantly on parametric linear specifications—such as Just–Pope production functions, Feasible Generalised Least Squares (FGLS), or fixed-effects panel regressions—that impose restrictive functional forms and cannot automatically capture high-order interactions among hundreds of correlated plot, household, and community variables (Just &amp; Pope, 1979; Lobell &amp; Burke, 2010; Storm et al., 2020). Second, where modern machine learning algorithms such as Gradient Boosted Decision Trees (GBDT) and Random Forests have been deployed in agricultural yield prediction, they have focused overwhelmingly on predicting </w:t>
      </w:r>
      <w:r>
        <w:rPr>
          <w:rFonts w:ascii="Times New Roman" w:hAnsi="Times New Roman"/>
          <w:i/>
          <w:sz w:val="20"/>
        </w:rPr>
        <w:t>mean yield levels</w:t>
      </w:r>
      <w:r>
        <w:rPr>
          <w:rFonts w:ascii="Times New Roman" w:hAnsi="Times New Roman"/>
          <w:sz w:val="20"/>
        </w:rPr>
        <w:t xml:space="preserve"> rather than </w:t>
      </w:r>
      <w:r>
        <w:rPr>
          <w:rFonts w:ascii="Times New Roman" w:hAnsi="Times New Roman"/>
          <w:i/>
          <w:sz w:val="20"/>
        </w:rPr>
        <w:t>inter-seasonal yield volatility</w:t>
      </w:r>
      <w:r>
        <w:rPr>
          <w:rFonts w:ascii="Times New Roman" w:hAnsi="Times New Roman"/>
          <w:sz w:val="20"/>
        </w:rPr>
        <w:t xml:space="preserve"> (Jeong et al., 2016; Crane-Droesch, 2018; Burke &amp; Lobell, 2017; Benami et al., 2021). Moreover, standard volatility metrics such as raw variance or the unbounded coefficient of variation explode mathematically toward infinity when seasonal harvests approach zero under severe drought or crop abandonment, introducing severe outlier distortion in nonparametric tree splits.</w:t>
      </w:r>
    </w:p>
    <w:p>
      <w:pPr>
        <w:jc w:val="both"/>
      </w:pPr>
      <w:r>
        <w:rPr>
          <w:rFonts w:ascii="Times New Roman" w:hAnsi="Times New Roman"/>
          <w:sz w:val="20"/>
        </w:rPr>
        <w:t xml:space="preserve">Third, and most critically, a growing methodological literature in spatial ecology and geostatistics has demonstrated that standard random K-fold cross-validation in spatial machine learning produces severely optimistic performance estimates due to spatial autocorrelation leakage (Roberts et al., 2017; Meyer et al., 2018, 2019; Ploton et al., 2020; Wadoux et al., 2021). In national household surveys, agricultural holdings are sampled within geographically clustered Enumeration Areas (EAs) sharing identical micro-climates, soil catenas, market access corridors, and local measurement customs. Under random K-fold splitting, households from the same village cluster are simultaneously assigned to both training and validation folds, allowing high-capacity tree ensembles to memorise spatial coordinates and local cluster means rather than learning generalisable agro-economic relationships (Ploton et al., 2020; Meyer &amp; Pebesma, 2021). Compounding this geographic leakage, machine learning pipelines frequently compute feature scalers, missing-value imputations, unsupervised cluster centroids, Principal Component Analysis (PCA) loadings, and feature selection rankings across the complete dataset </w:t>
      </w:r>
      <w:r>
        <w:rPr>
          <w:rFonts w:ascii="Times New Roman" w:hAnsi="Times New Roman"/>
          <w:i/>
          <w:sz w:val="20"/>
        </w:rPr>
        <w:t>prior</w:t>
      </w:r>
      <w:r>
        <w:rPr>
          <w:rFonts w:ascii="Times New Roman" w:hAnsi="Times New Roman"/>
          <w:sz w:val="20"/>
        </w:rPr>
        <w:t xml:space="preserve"> to cross-validation splitting, introducing subtle lookahead bias that invalidates out-of-sample inference (Kaufman et al., 2012; Kapoor &amp; Narayanan, 2023).</w:t>
      </w:r>
    </w:p>
    <w:p>
      <w:pPr>
        <w:jc w:val="both"/>
      </w:pPr>
      <w:r>
        <w:rPr>
          <w:rFonts w:ascii="Times New Roman" w:hAnsi="Times New Roman"/>
          <w:sz w:val="20"/>
        </w:rPr>
        <w:t>To resolve these scientific and methodological gaps, this study designs, audits, and deploys a leakage-free spatial machine learning framework to predict smallholder inter-seasonal crop yield volatility across Tanzania using the newly released 2024/2025 National Bureau of Statistics (NBS) Annual Agricultural Sample Survey (AASS) microdata (N = 4,564 bimodal holdings across 921 Enumeration Areas in 27 regions). Specifically, this study addresses four core research objectives:</w:t>
      </w:r>
    </w:p>
    <w:p>
      <w:pPr>
        <w:jc w:val="both"/>
      </w:pPr>
      <w:r>
        <w:rPr>
          <w:rFonts w:ascii="Times New Roman" w:hAnsi="Times New Roman"/>
          <w:sz w:val="20"/>
        </w:rPr>
        <w:t>1. To formulate a mathematically bounded, scale-invariant Yield Volatility Index (Y</w:t>
      </w:r>
      <w:r>
        <w:rPr>
          <w:rFonts w:ascii="Times New Roman" w:hAnsi="Times New Roman"/>
          <w:sz w:val="20"/>
          <w:vertAlign w:val="subscript"/>
        </w:rPr>
        <w:t>vol</w:t>
      </w:r>
      <w:r>
        <w:rPr>
          <w:rFonts w:ascii="Times New Roman" w:hAnsi="Times New Roman"/>
          <w:sz w:val="20"/>
        </w:rPr>
        <w:t xml:space="preserve"> ∈ [0, 2]) that symmetrically accommodates zero-harvest plot failures and extreme yield disparities across heterogeneous multi-crop smallholder holdings;</w:t>
      </w:r>
    </w:p>
    <w:p>
      <w:pPr>
        <w:jc w:val="both"/>
      </w:pPr>
      <w:r>
        <w:rPr>
          <w:rFonts w:ascii="Times New Roman" w:hAnsi="Times New Roman"/>
          <w:sz w:val="20"/>
        </w:rPr>
        <w:t>2. To establish a rigorous Five-Pillar Spatial Leakage Isolation Architecture that enforces strict Enumeration Area group disjointness, fold-isolated preprocessing, fold-isolated unsupervised representation learning, and tree-gain feature pruning across 246 engineered agro-ecological candidate predictors;</w:t>
      </w:r>
    </w:p>
    <w:p>
      <w:pPr>
        <w:jc w:val="both"/>
      </w:pPr>
      <w:r>
        <w:rPr>
          <w:rFonts w:ascii="Times New Roman" w:hAnsi="Times New Roman"/>
          <w:sz w:val="20"/>
        </w:rPr>
        <w:t>3. To evaluate whether a unified national soft-voting ensemble of gradient boosted and bagging decision trees outperforms isolated regional sub-models when transferring predictive relationships across data-sparse administrative regions; and</w:t>
      </w:r>
    </w:p>
    <w:p>
      <w:pPr>
        <w:jc w:val="both"/>
      </w:pPr>
      <w:r>
        <w:rPr>
          <w:rFonts w:ascii="Times New Roman" w:hAnsi="Times New Roman"/>
          <w:sz w:val="20"/>
        </w:rPr>
        <w:t>4. To decode the non-linear agronomic tipping points and asset-buffering mechanisms governing smallholder yield volatility using exact Tree-based Shapley Additive Explanations (TreeSHAP), partial dependence surfaces, and policy counterfactual simulations.</w:t>
      </w:r>
    </w:p>
    <w:p>
      <w:pPr>
        <w:spacing w:before="240" w:after="80"/>
      </w:pPr>
      <w:r>
        <w:rPr>
          <w:rFonts w:ascii="Times New Roman" w:hAnsi="Times New Roman"/>
          <w:b/>
          <w:sz w:val="24"/>
        </w:rPr>
        <w:t>2 Materials and Methods</w:t>
      </w:r>
    </w:p>
    <w:p>
      <w:pPr>
        <w:spacing w:before="180" w:after="60"/>
      </w:pPr>
      <w:r>
        <w:rPr>
          <w:rFonts w:ascii="Times New Roman" w:hAnsi="Times New Roman"/>
          <w:b/>
          <w:sz w:val="22"/>
        </w:rPr>
        <w:t>2.1 Study area and agro-ecological context</w:t>
      </w:r>
    </w:p>
    <w:p>
      <w:pPr>
        <w:jc w:val="both"/>
      </w:pPr>
      <w:r>
        <w:rPr>
          <w:rFonts w:ascii="Times New Roman" w:hAnsi="Times New Roman"/>
          <w:sz w:val="20"/>
        </w:rPr>
        <w:t>The empirical investigation covers the entirety of the United Republic of Tanzania, situated in East Africa between latitudes 1° 00′ S and 11° 45′ S and longitudes 29° 15′ E and 40° 30′ E (Fig. 1). Topographically, Tanzania transitions from a warm, humid coastal belt along the Indian Ocean and the islands of Unguja and Pemba (Zanzibar Archipelago; altitude 0–200 m above sea level) to an extensive central plateau (800–1,500 m) flanked by the Eastern and Western branches of the East African Rift Valley, culminating in the Northern Highlands around Mount Kilimanjaro and Mount Meru and the Southern Highlands bordering Lake Nyasa (1,500–2,900 m).</w:t>
      </w:r>
    </w:p>
    <w:p>
      <w:pPr>
        <w:jc w:val="both"/>
      </w:pPr>
      <w:r>
        <w:rPr>
          <w:rFonts w:ascii="Times New Roman" w:hAnsi="Times New Roman"/>
          <w:sz w:val="20"/>
        </w:rPr>
        <w:t xml:space="preserve">For agronomic and national planning purposes, Tanzania's 31 administrative regions are stratified into seven macro Agro-Ecological Zones (AEZs): (i) the </w:t>
      </w:r>
      <w:r>
        <w:rPr>
          <w:rFonts w:ascii="Times New Roman" w:hAnsi="Times New Roman"/>
          <w:i/>
          <w:sz w:val="20"/>
        </w:rPr>
        <w:t>Coastal and Eastern Zone</w:t>
      </w:r>
      <w:r>
        <w:rPr>
          <w:rFonts w:ascii="Times New Roman" w:hAnsi="Times New Roman"/>
          <w:sz w:val="20"/>
        </w:rPr>
        <w:t xml:space="preserve"> (Tanga, Morogoro, Pwani, Dar es Salaam, Lindi, Mtwara), characterised by bimodal and transitional rainfall (800–1,400 mm yr</w:t>
      </w:r>
      <w:r>
        <w:rPr>
          <w:rFonts w:ascii="Times New Roman" w:hAnsi="Times New Roman"/>
          <w:sz w:val="20"/>
          <w:vertAlign w:val="superscript"/>
        </w:rPr>
        <w:t>-1</w:t>
      </w:r>
      <w:r>
        <w:rPr>
          <w:rFonts w:ascii="Times New Roman" w:hAnsi="Times New Roman"/>
          <w:sz w:val="20"/>
        </w:rPr>
        <w:t xml:space="preserve">) supporting maize, cassava, rice, and tree crops; (ii) the </w:t>
      </w:r>
      <w:r>
        <w:rPr>
          <w:rFonts w:ascii="Times New Roman" w:hAnsi="Times New Roman"/>
          <w:i/>
          <w:sz w:val="20"/>
        </w:rPr>
        <w:t>Northern Highlands Zone</w:t>
      </w:r>
      <w:r>
        <w:rPr>
          <w:rFonts w:ascii="Times New Roman" w:hAnsi="Times New Roman"/>
          <w:sz w:val="20"/>
        </w:rPr>
        <w:t xml:space="preserve"> (Arusha, Kilimanjaro, Manyara), featuring volcanic soils and bimodal orographic rainfall (1,000–2,000 mm yr</w:t>
      </w:r>
      <w:r>
        <w:rPr>
          <w:rFonts w:ascii="Times New Roman" w:hAnsi="Times New Roman"/>
          <w:sz w:val="20"/>
          <w:vertAlign w:val="superscript"/>
        </w:rPr>
        <w:t>-1</w:t>
      </w:r>
      <w:r>
        <w:rPr>
          <w:rFonts w:ascii="Times New Roman" w:hAnsi="Times New Roman"/>
          <w:sz w:val="20"/>
        </w:rPr>
        <w:t xml:space="preserve">) with intensive banana–coffee–maize–bean intercropping; (iii) the </w:t>
      </w:r>
      <w:r>
        <w:rPr>
          <w:rFonts w:ascii="Times New Roman" w:hAnsi="Times New Roman"/>
          <w:i/>
          <w:sz w:val="20"/>
        </w:rPr>
        <w:t>Lake Victoria Basin Zone</w:t>
      </w:r>
      <w:r>
        <w:rPr>
          <w:rFonts w:ascii="Times New Roman" w:hAnsi="Times New Roman"/>
          <w:sz w:val="20"/>
        </w:rPr>
        <w:t xml:space="preserve"> (Kagera, Mara, Mwanza, Geita, Simiyu, Shinyanga), experiencing reliable bimodal precipitation (900–1,800 mm yr</w:t>
      </w:r>
      <w:r>
        <w:rPr>
          <w:rFonts w:ascii="Times New Roman" w:hAnsi="Times New Roman"/>
          <w:sz w:val="20"/>
          <w:vertAlign w:val="superscript"/>
        </w:rPr>
        <w:t>-1</w:t>
      </w:r>
      <w:r>
        <w:rPr>
          <w:rFonts w:ascii="Times New Roman" w:hAnsi="Times New Roman"/>
          <w:sz w:val="20"/>
        </w:rPr>
        <w:t xml:space="preserve">) modified by lake-breeze circulations; (iv) the </w:t>
      </w:r>
      <w:r>
        <w:rPr>
          <w:rFonts w:ascii="Times New Roman" w:hAnsi="Times New Roman"/>
          <w:i/>
          <w:sz w:val="20"/>
        </w:rPr>
        <w:t>Central Semi-Arid Zone</w:t>
      </w:r>
      <w:r>
        <w:rPr>
          <w:rFonts w:ascii="Times New Roman" w:hAnsi="Times New Roman"/>
          <w:sz w:val="20"/>
        </w:rPr>
        <w:t xml:space="preserve"> (Dodoma, Singida, Tabora), receiving low, erratic rainfall (500–800 mm yr</w:t>
      </w:r>
      <w:r>
        <w:rPr>
          <w:rFonts w:ascii="Times New Roman" w:hAnsi="Times New Roman"/>
          <w:sz w:val="20"/>
          <w:vertAlign w:val="superscript"/>
        </w:rPr>
        <w:t>-1</w:t>
      </w:r>
      <w:r>
        <w:rPr>
          <w:rFonts w:ascii="Times New Roman" w:hAnsi="Times New Roman"/>
          <w:sz w:val="20"/>
        </w:rPr>
        <w:t xml:space="preserve">) with high evapotranspiration and frequent dry spells; (v) the </w:t>
      </w:r>
      <w:r>
        <w:rPr>
          <w:rFonts w:ascii="Times New Roman" w:hAnsi="Times New Roman"/>
          <w:i/>
          <w:sz w:val="20"/>
        </w:rPr>
        <w:t>Southern Highlands Zone</w:t>
      </w:r>
      <w:r>
        <w:rPr>
          <w:rFonts w:ascii="Times New Roman" w:hAnsi="Times New Roman"/>
          <w:sz w:val="20"/>
        </w:rPr>
        <w:t xml:space="preserve"> (Mbeya, Iringa, Njombe, Songwe, Ruvuma), forming Tanzania's principal cereal breadbasket (1,000–1,600 mm yr</w:t>
      </w:r>
      <w:r>
        <w:rPr>
          <w:rFonts w:ascii="Times New Roman" w:hAnsi="Times New Roman"/>
          <w:sz w:val="20"/>
          <w:vertAlign w:val="superscript"/>
        </w:rPr>
        <w:t>-1</w:t>
      </w:r>
      <w:r>
        <w:rPr>
          <w:rFonts w:ascii="Times New Roman" w:hAnsi="Times New Roman"/>
          <w:sz w:val="20"/>
        </w:rPr>
        <w:t xml:space="preserve">); (vi) the </w:t>
      </w:r>
      <w:r>
        <w:rPr>
          <w:rFonts w:ascii="Times New Roman" w:hAnsi="Times New Roman"/>
          <w:i/>
          <w:sz w:val="20"/>
        </w:rPr>
        <w:t>Western and Southern Zone</w:t>
      </w:r>
      <w:r>
        <w:rPr>
          <w:rFonts w:ascii="Times New Roman" w:hAnsi="Times New Roman"/>
          <w:sz w:val="20"/>
        </w:rPr>
        <w:t xml:space="preserve"> (Kigoma, Katavi, Rukwa), spanning miombo woodland plains along Lake Tanganyika; and (vii) the </w:t>
      </w:r>
      <w:r>
        <w:rPr>
          <w:rFonts w:ascii="Times New Roman" w:hAnsi="Times New Roman"/>
          <w:i/>
          <w:sz w:val="20"/>
        </w:rPr>
        <w:t>Zanzibar Archipelago</w:t>
      </w:r>
      <w:r>
        <w:rPr>
          <w:rFonts w:ascii="Times New Roman" w:hAnsi="Times New Roman"/>
          <w:sz w:val="20"/>
        </w:rPr>
        <w:t xml:space="preserve"> (Kaskazini Unguja, Kusini Unguja, Mjini Magharibi, Kaskazini Pemba, Kusini Pemba), governed by maritime equatorial bimodal rains (1,400–2,000 mm yr</w:t>
      </w:r>
      <w:r>
        <w:rPr>
          <w:rFonts w:ascii="Times New Roman" w:hAnsi="Times New Roman"/>
          <w:sz w:val="20"/>
          <w:vertAlign w:val="superscript"/>
        </w:rPr>
        <w:t>-1</w:t>
      </w:r>
      <w:r>
        <w:rPr>
          <w:rFonts w:ascii="Times New Roman" w:hAnsi="Times New Roman"/>
          <w:sz w:val="20"/>
        </w:rPr>
        <w:t>).</w:t>
      </w:r>
    </w:p>
    <w:p>
      <w:pPr>
        <w:spacing w:before="180" w:after="60"/>
      </w:pPr>
      <w:r>
        <w:rPr>
          <w:rFonts w:ascii="Times New Roman" w:hAnsi="Times New Roman"/>
          <w:b/>
          <w:sz w:val="22"/>
        </w:rPr>
        <w:t>2.2 Survey design and microdata architecture</w:t>
      </w:r>
    </w:p>
    <w:p>
      <w:pPr>
        <w:jc w:val="both"/>
      </w:pPr>
      <w:r>
        <w:rPr>
          <w:rFonts w:ascii="Times New Roman" w:hAnsi="Times New Roman"/>
          <w:sz w:val="20"/>
        </w:rPr>
        <w:t>This study utilises official microdata from the 2024/2025 Annual Agricultural Sample Survey (AASS), implemented jointly by the Tanzania National Bureau of Statistics (TNBS), the Ministry of Agriculture, and the Office of the Chief Government Statistician (OCGS) Zanzibar, in methodological alignment with the Food and Agriculture Organization (FAO) World Programme for the Census of Agriculture and the 50x2030 Initiative (Tanzania National Bureau of Statistics [TNBS], 2026; Food and Agriculture Organization of the United Nations [FAO], n.d.). The AASS employs a stratified two-stage probability sampling design structured to generate statistically representative estimates at national, zonal, and regional administrative levels. In the first stage, Primary Sampling Units (PSUs)—defined as geographic Enumeration Areas (EAs) demarcated during the 2022 Population and Housing Census—were selected using Probability Proportional to Size (PPS) within rural and peri-urban agricultural strata across all regions. In the second stage, a systematic random sample of agricultural holdings was drawn from complete household listing rosters within each selected Enumeration Area.</w:t>
      </w:r>
    </w:p>
    <w:p>
      <w:pPr>
        <w:jc w:val="both"/>
      </w:pPr>
      <w:r>
        <w:rPr>
          <w:rFonts w:ascii="Times New Roman" w:hAnsi="Times New Roman"/>
          <w:sz w:val="20"/>
        </w:rPr>
        <w:t>To construct a comprehensive, multi-dimensional representation of each agricultural holding, we ingested and relational-joined eight core survey rosters using the unique anonymised household farming holding identifier:</w:t>
      </w:r>
    </w:p>
    <w:p>
      <w:pPr>
        <w:jc w:val="both"/>
      </w:pPr>
      <w:r>
        <w:rPr>
          <w:rFonts w:ascii="Times New Roman" w:hAnsi="Times New Roman"/>
          <w:sz w:val="20"/>
        </w:rPr>
        <w:t>1. Master Holding Roster: Administrative geographic identifiers (region, district, ward, enumeration area), sampling strata, and survey design weights;</w:t>
      </w:r>
    </w:p>
    <w:p>
      <w:pPr>
        <w:jc w:val="both"/>
      </w:pPr>
      <w:r>
        <w:rPr>
          <w:rFonts w:ascii="Times New Roman" w:hAnsi="Times New Roman"/>
          <w:sz w:val="20"/>
        </w:rPr>
        <w:t>2. Demographics &amp; Labour Roster: Age, sex, and educational attainment of the household head, household size, active adult agricultural labour force, and decision-making structure;</w:t>
      </w:r>
    </w:p>
    <w:p>
      <w:pPr>
        <w:jc w:val="both"/>
      </w:pPr>
      <w:r>
        <w:rPr>
          <w:rFonts w:ascii="Times New Roman" w:hAnsi="Times New Roman"/>
          <w:sz w:val="20"/>
        </w:rPr>
        <w:t>3. Seasonal Parcel Rosters: Plot-level cultivated area in hectares (Global Positioning System [GPS]-measured and farmer-reported), land tenure, soil erosion control, fallowing, slash-and-burn clearing, irrigation methods, and causes of unharvested area loss;</w:t>
      </w:r>
    </w:p>
    <w:p>
      <w:pPr>
        <w:jc w:val="both"/>
      </w:pPr>
      <w:r>
        <w:rPr>
          <w:rFonts w:ascii="Times New Roman" w:hAnsi="Times New Roman"/>
          <w:sz w:val="20"/>
        </w:rPr>
        <w:t>4. Seasonal Crop Production Rosters: Crop species codes, planting calendar month, harvested area percentage, harvest quantities, traditional measurement unit codes, and improved seed adoption;</w:t>
      </w:r>
    </w:p>
    <w:p>
      <w:pPr>
        <w:jc w:val="both"/>
      </w:pPr>
      <w:r>
        <w:rPr>
          <w:rFonts w:ascii="Times New Roman" w:hAnsi="Times New Roman"/>
          <w:sz w:val="20"/>
        </w:rPr>
        <w:t>5. Agro-Chemical Input Rosters: Plot-level applications of inorganic fertilisers (urea, diammonium phosphate [DAP], calcium ammonium nitrate [CAN], nitrogen–phosphorus–potassium [NPK]) and crop protection pesticides/herbicides;</w:t>
      </w:r>
    </w:p>
    <w:p>
      <w:pPr>
        <w:jc w:val="both"/>
      </w:pPr>
      <w:r>
        <w:rPr>
          <w:rFonts w:ascii="Times New Roman" w:hAnsi="Times New Roman"/>
          <w:sz w:val="20"/>
        </w:rPr>
        <w:t>6. Climatic &amp; Economic Shock Roster: Household exposure and severity rankings for drought, flash flooding, pest infestation, input price spikes, and revenue collapse;</w:t>
      </w:r>
    </w:p>
    <w:p>
      <w:pPr>
        <w:jc w:val="both"/>
      </w:pPr>
      <w:r>
        <w:rPr>
          <w:rFonts w:ascii="Times New Roman" w:hAnsi="Times New Roman"/>
          <w:sz w:val="20"/>
        </w:rPr>
        <w:t>7. Livestock Herd Roster: Inventory counts of indigenous and improved cattle, goats, sheep, pigs, donkeys, and poultry; and</w:t>
      </w:r>
    </w:p>
    <w:p>
      <w:pPr>
        <w:jc w:val="both"/>
      </w:pPr>
      <w:r>
        <w:rPr>
          <w:rFonts w:ascii="Times New Roman" w:hAnsi="Times New Roman"/>
          <w:sz w:val="20"/>
        </w:rPr>
        <w:t>8. Extension &amp; Early-Warning Roster: Receipt of meteorological weather forecasts, agricultural extension visits, and agronomic advisories.</w:t>
      </w:r>
    </w:p>
    <w:p>
      <w:pPr>
        <w:spacing w:before="120" w:after="40"/>
      </w:pPr>
      <w:r>
        <w:rPr>
          <w:rFonts w:ascii="Times New Roman" w:hAnsi="Times New Roman"/>
          <w:b/>
          <w:i/>
          <w:sz w:val="20"/>
        </w:rPr>
        <w:t>2.2.1 Derivation of the bimodal analytical cohort (N = 4,564)</w:t>
      </w:r>
    </w:p>
    <w:p>
      <w:pPr>
        <w:jc w:val="both"/>
      </w:pPr>
      <w:r>
        <w:rPr>
          <w:rFonts w:ascii="Times New Roman" w:hAnsi="Times New Roman"/>
          <w:sz w:val="20"/>
        </w:rPr>
        <w:t xml:space="preserve">Whilst the master AASS survey encompasses 18,904 agricultural holdings nationwide, regions situated in strictly unimodal rainfall regimes cultivate only a single annual season. Because our research objective specifically targets </w:t>
      </w:r>
      <w:r>
        <w:rPr>
          <w:rFonts w:ascii="Times New Roman" w:hAnsi="Times New Roman"/>
          <w:i/>
          <w:sz w:val="20"/>
        </w:rPr>
        <w:t>inter-seasonal</w:t>
      </w:r>
      <w:r>
        <w:rPr>
          <w:rFonts w:ascii="Times New Roman" w:hAnsi="Times New Roman"/>
          <w:sz w:val="20"/>
        </w:rPr>
        <w:t xml:space="preserve"> yield volatility across consecutive cropping windows within the same agricultural year, inclusion in the analytical modelling cohort required a holding to satisfy three objective eligibility criteria: (i) active plot cultivation with positive planted area (A</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&gt; 0 ha) recorded in both the </w:t>
      </w:r>
      <w:r>
        <w:rPr>
          <w:rFonts w:ascii="Times New Roman" w:hAnsi="Times New Roman"/>
          <w:i/>
          <w:sz w:val="20"/>
        </w:rPr>
        <w:t>Masika</w:t>
      </w:r>
      <w:r>
        <w:rPr>
          <w:rFonts w:ascii="Times New Roman" w:hAnsi="Times New Roman"/>
          <w:sz w:val="20"/>
        </w:rPr>
        <w:t xml:space="preserve"> (s = m) and </w:t>
      </w:r>
      <w:r>
        <w:rPr>
          <w:rFonts w:ascii="Times New Roman" w:hAnsi="Times New Roman"/>
          <w:i/>
          <w:sz w:val="20"/>
        </w:rPr>
        <w:t>Vuli</w:t>
      </w:r>
      <w:r>
        <w:rPr>
          <w:rFonts w:ascii="Times New Roman" w:hAnsi="Times New Roman"/>
          <w:sz w:val="20"/>
        </w:rPr>
        <w:t xml:space="preserve"> (s = v) seasons; (ii) valid crop roster entries allowing metric weight harmonisation or confirmed zero-harvest failure in both seasons; and (iii) non-negative seasonal yield realisations with at least one season achieving positive harvest output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xml:space="preserve"> +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 xml:space="preserve"> &gt; 0 kg ha</w:t>
      </w:r>
      <w:r>
        <w:rPr>
          <w:rFonts w:ascii="Times New Roman" w:hAnsi="Times New Roman"/>
          <w:sz w:val="20"/>
          <w:vertAlign w:val="superscript"/>
        </w:rPr>
        <w:t>-1</w:t>
      </w:r>
      <w:r>
        <w:rPr>
          <w:rFonts w:ascii="Times New Roman" w:hAnsi="Times New Roman"/>
          <w:sz w:val="20"/>
        </w:rPr>
        <w:t>). Filtering the 18,904 master holdings by active bimodal cultivation yielded exactly N = 4,564 smallholder holdings distributed across 921 distinct Enumeration Areas in 27 administrative regions. Importantly, plots that were planted but suffered 100% crop loss due to drought, flood, or pest devastation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 0 kg ha</w:t>
      </w:r>
      <w:r>
        <w:rPr>
          <w:rFonts w:ascii="Times New Roman" w:hAnsi="Times New Roman"/>
          <w:sz w:val="20"/>
          <w:vertAlign w:val="superscript"/>
        </w:rPr>
        <w:t>-1</w:t>
      </w:r>
      <w:r>
        <w:rPr>
          <w:rFonts w:ascii="Times New Roman" w:hAnsi="Times New Roman"/>
          <w:sz w:val="20"/>
        </w:rPr>
        <w:t xml:space="preserve"> in one season) were explicitly retained in the cohort, as complete seasonal harvest failure represents the most severe manifestation of food shock vulnerability.</w:t>
      </w:r>
    </w:p>
    <w:p>
      <w:pPr>
        <w:spacing w:before="180" w:after="60"/>
      </w:pPr>
      <w:r>
        <w:rPr>
          <w:rFonts w:ascii="Times New Roman" w:hAnsi="Times New Roman"/>
          <w:b/>
          <w:sz w:val="22"/>
        </w:rPr>
        <w:t>2.3 Metric unit harmonisation and target variable formulation</w:t>
      </w:r>
    </w:p>
    <w:p>
      <w:pPr>
        <w:jc w:val="both"/>
      </w:pPr>
      <w:r>
        <w:rPr>
          <w:rFonts w:ascii="Times New Roman" w:hAnsi="Times New Roman"/>
          <w:sz w:val="20"/>
        </w:rPr>
        <w:t xml:space="preserve">A pervasive source of measurement noise in developing-country agricultural surveys is the reporting of harvests in non-standard, volumetric traditional containers whose physical mass varies by container geometry and crop bulk density (Carletto et al., 2013, 2015). In the AASS crop rosters, farmers reported outputs across 29 distinct unit codes (traditional harvest units in </w:t>
      </w:r>
      <w:r>
        <w:rPr>
          <w:rFonts w:ascii="Times New Roman" w:hAnsi="Times New Roman"/>
          <w:i/>
          <w:sz w:val="20"/>
        </w:rPr>
        <w:t>Masika</w:t>
      </w:r>
      <w:r>
        <w:rPr>
          <w:rFonts w:ascii="Times New Roman" w:hAnsi="Times New Roman"/>
          <w:sz w:val="20"/>
        </w:rPr>
        <w:t xml:space="preserve"> and traditional harvest units in </w:t>
      </w:r>
      <w:r>
        <w:rPr>
          <w:rFonts w:ascii="Times New Roman" w:hAnsi="Times New Roman"/>
          <w:i/>
          <w:sz w:val="20"/>
        </w:rPr>
        <w:t>Vuli</w:t>
      </w:r>
      <w:r>
        <w:rPr>
          <w:rFonts w:ascii="Times New Roman" w:hAnsi="Times New Roman"/>
          <w:sz w:val="20"/>
        </w:rPr>
        <w:t xml:space="preserve">), including metric kilograms, metric tonnes, 18-litre </w:t>
      </w:r>
      <w:r>
        <w:rPr>
          <w:rFonts w:ascii="Times New Roman" w:hAnsi="Times New Roman"/>
          <w:i/>
          <w:sz w:val="20"/>
        </w:rPr>
        <w:t>debe</w:t>
      </w:r>
      <w:r>
        <w:rPr>
          <w:rFonts w:ascii="Times New Roman" w:hAnsi="Times New Roman"/>
          <w:sz w:val="20"/>
        </w:rPr>
        <w:t xml:space="preserve"> tins, </w:t>
      </w:r>
      <w:r>
        <w:rPr>
          <w:rFonts w:ascii="Times New Roman" w:hAnsi="Times New Roman"/>
          <w:i/>
          <w:sz w:val="20"/>
        </w:rPr>
        <w:t>sadoline</w:t>
      </w:r>
      <w:r>
        <w:rPr>
          <w:rFonts w:ascii="Times New Roman" w:hAnsi="Times New Roman"/>
          <w:sz w:val="20"/>
        </w:rPr>
        <w:t xml:space="preserve"> plastic tins, </w:t>
      </w:r>
      <w:r>
        <w:rPr>
          <w:rFonts w:ascii="Times New Roman" w:hAnsi="Times New Roman"/>
          <w:i/>
          <w:sz w:val="20"/>
        </w:rPr>
        <w:t>kibaba</w:t>
      </w:r>
      <w:r>
        <w:rPr>
          <w:rFonts w:ascii="Times New Roman" w:hAnsi="Times New Roman"/>
          <w:sz w:val="20"/>
        </w:rPr>
        <w:t xml:space="preserve"> bowls, </w:t>
      </w:r>
      <w:r>
        <w:rPr>
          <w:rFonts w:ascii="Times New Roman" w:hAnsi="Times New Roman"/>
          <w:i/>
          <w:sz w:val="20"/>
        </w:rPr>
        <w:t>tenga</w:t>
      </w:r>
      <w:r>
        <w:rPr>
          <w:rFonts w:ascii="Times New Roman" w:hAnsi="Times New Roman"/>
          <w:sz w:val="20"/>
        </w:rPr>
        <w:t xml:space="preserve"> bamboo baskets, banana bunches (</w:t>
      </w:r>
      <w:r>
        <w:rPr>
          <w:rFonts w:ascii="Times New Roman" w:hAnsi="Times New Roman"/>
          <w:i/>
          <w:sz w:val="20"/>
        </w:rPr>
        <w:t>mkungu</w:t>
      </w:r>
      <w:r>
        <w:rPr>
          <w:rFonts w:ascii="Times New Roman" w:hAnsi="Times New Roman"/>
          <w:sz w:val="20"/>
        </w:rPr>
        <w:t>), and polypropylene sacks ranging from 25 kg to 120 kg. We implemented a two-stage metric harmonisation protocol. Where the NBS pre-calibrated metric tonne variable (metric tonnes) was populated, physical production in kilograms was extracted directly as Q</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p</w:t>
      </w:r>
      <w:r>
        <w:rPr>
          <w:rFonts w:ascii="Times New Roman" w:hAnsi="Times New Roman"/>
          <w:sz w:val="20"/>
        </w:rPr>
        <w:t>,c,</w:t>
      </w:r>
      <w:r>
        <w:rPr>
          <w:rFonts w:ascii="Times New Roman" w:hAnsi="Times New Roman"/>
          <w:sz w:val="20"/>
          <w:vertAlign w:val="subscript"/>
        </w:rPr>
        <w:t>s</w:t>
      </w:r>
      <w:r>
        <w:rPr>
          <w:rFonts w:ascii="Times New Roman" w:hAnsi="Times New Roman"/>
          <w:sz w:val="20"/>
        </w:rPr>
        <w:t xml:space="preserve"> = 1,000 × </w:t>
      </w:r>
      <w:r>
        <w:rPr>
          <w:rFonts w:ascii="Times New Roman" w:hAnsi="Times New Roman"/>
          <w:sz w:val="20"/>
        </w:rPr>
        <w:t>harvest</w:t>
      </w:r>
      <w:r>
        <w:rPr>
          <w:rFonts w:ascii="Times New Roman" w:hAnsi="Times New Roman"/>
          <w:sz w:val="20"/>
          <w:vertAlign w:val="subscript"/>
        </w:rPr>
        <w:t>ton</w:t>
      </w:r>
      <w:r>
        <w:rPr>
          <w:rFonts w:ascii="Times New Roman" w:hAnsi="Times New Roman"/>
          <w:sz w:val="20"/>
        </w:rPr>
        <w:t>. Where raw unit quantities were reported, we applied empirically calibrated East African unit-to-kilogram conversion factors κ</w:t>
      </w:r>
      <w:r>
        <w:rPr>
          <w:rFonts w:ascii="Times New Roman" w:hAnsi="Times New Roman"/>
          <w:sz w:val="20"/>
          <w:vertAlign w:val="subscript"/>
        </w:rPr>
        <w:t>u</w:t>
      </w:r>
      <w:r>
        <w:rPr>
          <w:rFonts w:ascii="Times New Roman" w:hAnsi="Times New Roman"/>
          <w:sz w:val="20"/>
        </w:rPr>
        <w:t xml:space="preserve"> (standard metric conversion multipliers; e.g., κ</w:t>
      </w:r>
      <w:r>
        <w:rPr>
          <w:rFonts w:ascii="Times New Roman" w:hAnsi="Times New Roman"/>
          <w:sz w:val="20"/>
          <w:vertAlign w:val="subscript"/>
        </w:rPr>
        <w:t>20</w:t>
      </w:r>
      <w:r>
        <w:rPr>
          <w:rFonts w:ascii="Times New Roman" w:hAnsi="Times New Roman"/>
          <w:sz w:val="20"/>
        </w:rPr>
        <w:t xml:space="preserve"> = 18.0 kg per </w:t>
      </w:r>
      <w:r>
        <w:rPr>
          <w:rFonts w:ascii="Times New Roman" w:hAnsi="Times New Roman"/>
          <w:i/>
          <w:sz w:val="20"/>
        </w:rPr>
        <w:t>debe</w:t>
      </w:r>
      <w:r>
        <w:rPr>
          <w:rFonts w:ascii="Times New Roman" w:hAnsi="Times New Roman"/>
          <w:sz w:val="20"/>
        </w:rPr>
        <w:t xml:space="preserve"> tin, κ</w:t>
      </w:r>
      <w:r>
        <w:rPr>
          <w:rFonts w:ascii="Times New Roman" w:hAnsi="Times New Roman"/>
          <w:sz w:val="20"/>
          <w:vertAlign w:val="subscript"/>
        </w:rPr>
        <w:t>24</w:t>
      </w:r>
      <w:r>
        <w:rPr>
          <w:rFonts w:ascii="Times New Roman" w:hAnsi="Times New Roman"/>
          <w:sz w:val="20"/>
        </w:rPr>
        <w:t xml:space="preserve"> = 15.0 kg per </w:t>
      </w:r>
      <w:r>
        <w:rPr>
          <w:rFonts w:ascii="Times New Roman" w:hAnsi="Times New Roman"/>
          <w:i/>
          <w:sz w:val="20"/>
        </w:rPr>
        <w:t>sadoline</w:t>
      </w:r>
      <w:r>
        <w:rPr>
          <w:rFonts w:ascii="Times New Roman" w:hAnsi="Times New Roman"/>
          <w:sz w:val="20"/>
        </w:rPr>
        <w:t xml:space="preserve"> tin, κ</w:t>
      </w:r>
      <w:r>
        <w:rPr>
          <w:rFonts w:ascii="Times New Roman" w:hAnsi="Times New Roman"/>
          <w:sz w:val="20"/>
          <w:vertAlign w:val="subscript"/>
        </w:rPr>
        <w:t>43</w:t>
      </w:r>
      <w:r>
        <w:rPr>
          <w:rFonts w:ascii="Times New Roman" w:hAnsi="Times New Roman"/>
          <w:sz w:val="20"/>
        </w:rPr>
        <w:t xml:space="preserve"> = 0.75 kg per </w:t>
      </w:r>
      <w:r>
        <w:rPr>
          <w:rFonts w:ascii="Times New Roman" w:hAnsi="Times New Roman"/>
          <w:i/>
          <w:sz w:val="20"/>
        </w:rPr>
        <w:t>kibaba</w:t>
      </w:r>
      <w:r>
        <w:rPr>
          <w:rFonts w:ascii="Times New Roman" w:hAnsi="Times New Roman"/>
          <w:sz w:val="20"/>
        </w:rPr>
        <w:t>, κ</w:t>
      </w:r>
      <w:r>
        <w:rPr>
          <w:rFonts w:ascii="Times New Roman" w:hAnsi="Times New Roman"/>
          <w:sz w:val="20"/>
          <w:vertAlign w:val="subscript"/>
        </w:rPr>
        <w:t>12</w:t>
      </w:r>
      <w:r>
        <w:rPr>
          <w:rFonts w:ascii="Times New Roman" w:hAnsi="Times New Roman"/>
          <w:sz w:val="20"/>
        </w:rPr>
        <w:t xml:space="preserve"> = 20.0 kg per </w:t>
      </w:r>
      <w:r>
        <w:rPr>
          <w:rFonts w:ascii="Times New Roman" w:hAnsi="Times New Roman"/>
          <w:i/>
          <w:sz w:val="20"/>
        </w:rPr>
        <w:t>tenga</w:t>
      </w:r>
      <w:r>
        <w:rPr>
          <w:rFonts w:ascii="Times New Roman" w:hAnsi="Times New Roman"/>
          <w:sz w:val="20"/>
        </w:rPr>
        <w:t>, and κ</w:t>
      </w:r>
      <w:r>
        <w:rPr>
          <w:rFonts w:ascii="Times New Roman" w:hAnsi="Times New Roman"/>
          <w:sz w:val="20"/>
          <w:vertAlign w:val="subscript"/>
        </w:rPr>
        <w:t>26</w:t>
      </w:r>
      <w:r>
        <w:rPr>
          <w:rFonts w:ascii="Times New Roman" w:hAnsi="Times New Roman"/>
          <w:sz w:val="20"/>
        </w:rPr>
        <w:t xml:space="preserve"> = 50.0 kg per medium sack).</w:t>
      </w:r>
    </w:p>
    <w:p>
      <w:pPr>
        <w:jc w:val="both"/>
      </w:pPr>
      <w:r>
        <w:rPr>
          <w:rFonts w:ascii="Times New Roman" w:hAnsi="Times New Roman"/>
          <w:sz w:val="20"/>
        </w:rPr>
        <w:t>For household i ∈ 1, …, N cultivating plots p ∈ P</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and crops c ∈ C</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p</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during season s ∈ m, v, total seasonal harvested biomass (Q</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in kg) and total seasonal cultivated land area (A</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in ha) are aggregated as:</w:t>
      </w:r>
    </w:p>
    <w:p>
      <w:pPr>
        <w:spacing w:before="120" w:after="120"/>
        <w:jc w:val="center"/>
      </w:pPr>
      <m:oMathPara>
        <m:oMath>
          <m:sSub>
            <m:e>
              <m:r>
                <m:t>Q</m:t>
              </m:r>
            </m:e>
            <m:sub>
              <m:r>
                <m:t>i,s</m:t>
              </m:r>
            </m:sub>
          </m:sSub>
          <m:r>
            <m:rPr>
              <m:sty m:val="p"/>
            </m:rPr>
            <m:t> = </m:t>
          </m:r>
          <m:nary>
            <m:naryPr>
              <m:chr m:val="∑"/>
              <m:limLoc m:val="undOvr"/>
              <m:supHide m:val="1"/>
            </m:naryPr>
            <m:sub>
              <m:r>
                <m:t>p∈</m:t>
              </m:r>
              <m:sSub>
                <m:e>
                  <m:r>
                    <m:t>P</m:t>
                  </m:r>
                </m:e>
                <m:sub>
                  <m:r>
                    <m:t>i,s</m:t>
                  </m:r>
                </m:sub>
              </m:sSub>
            </m:sub>
            <m:sup/>
            <m:e>
              <m:nary>
                <m:naryPr>
                  <m:chr m:val="∑"/>
                  <m:limLoc m:val="undOvr"/>
                  <m:supHide m:val="1"/>
                </m:naryPr>
                <m:sub>
                  <m:r>
                    <m:t>c∈</m:t>
                  </m:r>
                  <m:sSub>
                    <m:e>
                      <m:r>
                        <m:t>C</m:t>
                      </m:r>
                    </m:e>
                    <m:sub>
                      <m:r>
                        <m:t>i,p,s</m:t>
                      </m:r>
                    </m:sub>
                  </m:sSub>
                </m:sub>
                <m:sup/>
                <m:e>
                  <m:sSub>
                    <m:e>
                      <m:r>
                        <m:t>q</m:t>
                      </m:r>
                    </m:e>
                    <m:sub>
                      <m:r>
                        <m:t>i,p,c,s</m:t>
                      </m:r>
                    </m:sub>
                  </m:sSub>
                  <m:r>
                    <m:rPr>
                      <m:sty m:val="p"/>
                    </m:rPr>
                    <m:t>⋅</m:t>
                  </m:r>
                  <m:sSub>
                    <m:e>
                      <m:r>
                        <m:t>κ</m:t>
                      </m:r>
                    </m:e>
                    <m:sub>
                      <m:r>
                        <m:t>u</m:t>
                      </m:r>
                    </m:sub>
                  </m:sSub>
                </m:e>
              </m:nary>
            </m:e>
          </m:nary>
          <m:r>
            <m:rPr>
              <m:sty m:val="p"/>
            </m:rPr>
            <m:t>,   </m:t>
          </m:r>
          <m:sSub>
            <m:e>
              <m:r>
                <m:t>A</m:t>
              </m:r>
            </m:e>
            <m:sub>
              <m:r>
                <m:t>i,s</m:t>
              </m:r>
            </m:sub>
          </m:sSub>
          <m:r>
            <m:rPr>
              <m:sty m:val="p"/>
            </m:rPr>
            <m:t> = </m:t>
          </m:r>
          <m:nary>
            <m:naryPr>
              <m:chr m:val="∑"/>
              <m:limLoc m:val="undOvr"/>
              <m:supHide m:val="1"/>
            </m:naryPr>
            <m:sub>
              <m:r>
                <m:t>p∈</m:t>
              </m:r>
              <m:sSub>
                <m:e>
                  <m:r>
                    <m:t>P</m:t>
                  </m:r>
                </m:e>
                <m:sub>
                  <m:r>
                    <m:t>i,s</m:t>
                  </m:r>
                </m:sub>
              </m:sSub>
            </m:sub>
            <m:sup/>
            <m:e>
              <m:sSub>
                <m:e>
                  <m:r>
                    <m:t>a</m:t>
                  </m:r>
                </m:e>
                <m:sub>
                  <m:r>
                    <m:t>i,p,s</m:t>
                  </m:r>
                </m:sub>
              </m:sSub>
            </m:e>
          </m:nary>
          <m:r>
            <m:rPr>
              <m:sty m:val="p"/>
            </m:rPr>
            <m:t>   (1)</m:t>
          </m:r>
        </m:oMath>
      </m:oMathPara>
    </w:p>
    <w:p>
      <w:pPr>
        <w:jc w:val="both"/>
      </w:pPr>
      <w:r>
        <w:rPr>
          <w:rFonts w:ascii="Times New Roman" w:hAnsi="Times New Roman"/>
          <w:sz w:val="20"/>
        </w:rPr>
        <w:t>where q</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p</w:t>
      </w:r>
      <w:r>
        <w:rPr>
          <w:rFonts w:ascii="Times New Roman" w:hAnsi="Times New Roman"/>
          <w:sz w:val="20"/>
        </w:rPr>
        <w:t>,c,</w:t>
      </w:r>
      <w:r>
        <w:rPr>
          <w:rFonts w:ascii="Times New Roman" w:hAnsi="Times New Roman"/>
          <w:sz w:val="20"/>
          <w:vertAlign w:val="subscript"/>
        </w:rPr>
        <w:t>s</w:t>
      </w:r>
      <w:r>
        <w:rPr>
          <w:rFonts w:ascii="Times New Roman" w:hAnsi="Times New Roman"/>
          <w:sz w:val="20"/>
        </w:rPr>
        <w:t xml:space="preserve"> is the raw harvested quantity, κ</w:t>
      </w:r>
      <w:r>
        <w:rPr>
          <w:rFonts w:ascii="Times New Roman" w:hAnsi="Times New Roman"/>
          <w:sz w:val="20"/>
          <w:vertAlign w:val="subscript"/>
        </w:rPr>
        <w:t>u</w:t>
      </w:r>
      <w:r>
        <w:rPr>
          <w:rFonts w:ascii="Times New Roman" w:hAnsi="Times New Roman"/>
          <w:sz w:val="20"/>
        </w:rPr>
        <w:t>₍</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p</w:t>
      </w:r>
      <w:r>
        <w:rPr>
          <w:rFonts w:ascii="Times New Roman" w:hAnsi="Times New Roman"/>
          <w:sz w:val="20"/>
        </w:rPr>
        <w:t>,c,</w:t>
      </w:r>
      <w:r>
        <w:rPr>
          <w:rFonts w:ascii="Times New Roman" w:hAnsi="Times New Roman"/>
          <w:sz w:val="20"/>
          <w:vertAlign w:val="subscript"/>
        </w:rPr>
        <w:t>s</w:t>
      </w:r>
      <w:r>
        <w:rPr>
          <w:rFonts w:ascii="Times New Roman" w:hAnsi="Times New Roman"/>
          <w:sz w:val="20"/>
        </w:rPr>
        <w:t>₎ is the metric conversion multiplier for unit u, and a</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p</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is the cultivated area of plot p in hectares (GPS-measured plot area). The household's area-weighted baseline seasonal yield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in kg ha</w:t>
      </w:r>
      <w:r>
        <w:rPr>
          <w:rFonts w:ascii="Times New Roman" w:hAnsi="Times New Roman"/>
          <w:sz w:val="20"/>
          <w:vertAlign w:val="superscript"/>
        </w:rPr>
        <w:t>-1</w:t>
      </w:r>
      <w:r>
        <w:rPr>
          <w:rFonts w:ascii="Times New Roman" w:hAnsi="Times New Roman"/>
          <w:sz w:val="20"/>
        </w:rPr>
        <w:t>) is then defined as:</w:t>
      </w:r>
    </w:p>
    <w:p>
      <w:pPr>
        <w:spacing w:before="120" w:after="120"/>
        <w:jc w:val="center"/>
      </w:pPr>
      <m:oMathPara>
        <m:oMath>
          <m:sSub>
            <m:e>
              <m:r>
                <m:t>Y</m:t>
              </m:r>
            </m:e>
            <m:sub>
              <m:r>
                <m:t>i,s</m:t>
              </m:r>
            </m:sub>
          </m:sSub>
          <m:r>
            <m:rPr>
              <m:sty m:val="p"/>
            </m:rPr>
            <m:t> = </m:t>
          </m:r>
          <m:f>
            <m:num>
              <m:sSub>
                <m:e>
                  <m:r>
                    <m:t>Q</m:t>
                  </m:r>
                </m:e>
                <m:sub>
                  <m:r>
                    <m:t>i,s</m:t>
                  </m:r>
                </m:sub>
              </m:sSub>
            </m:num>
            <m:den>
              <m:sSub>
                <m:e>
                  <m:r>
                    <m:t>A</m:t>
                  </m:r>
                </m:e>
                <m:sub>
                  <m:r>
                    <m:t>i,s</m:t>
                  </m:r>
                </m:sub>
              </m:sSub>
            </m:den>
          </m:f>
          <m:r>
            <m:rPr>
              <m:sty m:val="p"/>
            </m:rPr>
            <m:t>,   s ∈ {m, v}   (2)</m:t>
          </m:r>
        </m:oMath>
      </m:oMathPara>
    </w:p>
    <w:p>
      <w:pPr>
        <w:jc w:val="both"/>
      </w:pPr>
      <w:r>
        <w:rPr>
          <w:rFonts w:ascii="Times New Roman" w:hAnsi="Times New Roman"/>
          <w:sz w:val="20"/>
        </w:rPr>
        <w:t>To quantify inter-seasonal production instability without suffering from scale distortion or zero-denominator singularities when one season experiences total crop failure, we formulate the Yield Volatility Index (Y</w:t>
      </w:r>
      <w:r>
        <w:rPr>
          <w:rFonts w:ascii="Times New Roman" w:hAnsi="Times New Roman"/>
          <w:sz w:val="20"/>
          <w:vertAlign w:val="subscript"/>
        </w:rPr>
        <w:t>vol</w:t>
      </w:r>
      <w:r>
        <w:rPr>
          <w:rFonts w:ascii="Times New Roman" w:hAnsi="Times New Roman"/>
          <w:sz w:val="20"/>
        </w:rPr>
        <w:t>,</w:t>
      </w:r>
      <w:r>
        <w:rPr>
          <w:rFonts w:ascii="Times New Roman" w:hAnsi="Times New Roman"/>
          <w:sz w:val="20"/>
          <w:vertAlign w:val="subscript"/>
        </w:rPr>
        <w:t>i</w:t>
      </w:r>
      <w:r>
        <w:rPr>
          <w:rFonts w:ascii="Times New Roman" w:hAnsi="Times New Roman"/>
          <w:sz w:val="20"/>
        </w:rPr>
        <w:t>) as the absolute seasonal yield divergence normalised by the inter-seasonal mean yield Ȳ</w:t>
      </w:r>
      <w:r>
        <w:rPr>
          <w:rFonts w:ascii="Times New Roman" w:hAnsi="Times New Roman"/>
          <w:sz w:val="20"/>
          <w:vertAlign w:val="subscript"/>
        </w:rPr>
        <w:t>i</w:t>
      </w:r>
      <w:r>
        <w:rPr>
          <w:rFonts w:ascii="Times New Roman" w:hAnsi="Times New Roman"/>
          <w:sz w:val="20"/>
        </w:rPr>
        <w:t xml:space="preserve"> = ½(Y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xml:space="preserve"> +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w:t>
      </w:r>
    </w:p>
    <w:p>
      <w:pPr>
        <w:spacing w:before="120" w:after="120"/>
        <w:jc w:val="center"/>
      </w:pPr>
      <m:oMathPara>
        <m:oMath>
          <m:sSub>
            <m:e>
              <m:r>
                <m:t>Y</m:t>
              </m:r>
            </m:e>
            <m:sub>
              <m:r>
                <m:rPr>
                  <m:sty m:val="p"/>
                </m:rPr>
                <m:t>vol,i</m:t>
              </m:r>
            </m:sub>
          </m:sSub>
          <m:r>
            <m:rPr>
              <m:sty m:val="p"/>
            </m:rPr>
            <m:t> = </m:t>
          </m:r>
          <m:f>
            <m:num>
              <m:r>
                <m:rPr>
                  <m:sty m:val="p"/>
                </m:rPr>
                <m:t>2|</m:t>
              </m:r>
              <m:sSub>
                <m:e>
                  <m:r>
                    <m:t>Y</m:t>
                  </m:r>
                </m:e>
                <m:sub>
                  <m:r>
                    <m:t>i,m</m:t>
                  </m:r>
                </m:sub>
              </m:sSub>
              <m:r>
                <m:rPr>
                  <m:sty m:val="p"/>
                </m:rPr>
                <m:t> − </m:t>
              </m:r>
              <m:sSub>
                <m:e>
                  <m:r>
                    <m:t>Y</m:t>
                  </m:r>
                </m:e>
                <m:sub>
                  <m:r>
                    <m:t>i,v</m:t>
                  </m:r>
                </m:sub>
              </m:sSub>
              <m:r>
                <m:rPr>
                  <m:sty m:val="p"/>
                </m:rPr>
                <m:t>|</m:t>
              </m:r>
            </m:num>
            <m:den>
              <m:sSub>
                <m:e>
                  <m:r>
                    <m:t>Y</m:t>
                  </m:r>
                </m:e>
                <m:sub>
                  <m:r>
                    <m:t>i,m</m:t>
                  </m:r>
                </m:sub>
              </m:sSub>
              <m:r>
                <m:rPr>
                  <m:sty m:val="p"/>
                </m:rPr>
                <m:t> + </m:t>
              </m:r>
              <m:sSub>
                <m:e>
                  <m:r>
                    <m:t>Y</m:t>
                  </m:r>
                </m:e>
                <m:sub>
                  <m:r>
                    <m:t>i,v</m:t>
                  </m:r>
                </m:sub>
              </m:sSub>
              <m:r>
                <m:rPr>
                  <m:sty m:val="p"/>
                </m:rPr>
                <m:t> + 2ε</m:t>
              </m:r>
            </m:den>
          </m:f>
          <m:r>
            <m:rPr>
              <m:sty m:val="p"/>
            </m:rPr>
            <m:t>   (3)</m:t>
          </m:r>
        </m:oMath>
      </m:oMathPara>
    </w:p>
    <w:p>
      <w:pPr>
        <w:jc w:val="both"/>
      </w:pPr>
      <w:r>
        <w:rPr>
          <w:rFonts w:ascii="Times New Roman" w:hAnsi="Times New Roman"/>
          <w:sz w:val="20"/>
        </w:rPr>
        <w:t>where ε = 10</w:t>
      </w:r>
      <w:r>
        <w:rPr>
          <w:rFonts w:ascii="Times New Roman" w:hAnsi="Times New Roman"/>
          <w:sz w:val="20"/>
          <w:vertAlign w:val="superscript"/>
        </w:rPr>
        <w:t>-5</w:t>
      </w:r>
      <w:r>
        <w:rPr>
          <w:rFonts w:ascii="Times New Roman" w:hAnsi="Times New Roman"/>
          <w:sz w:val="20"/>
        </w:rPr>
        <w:t xml:space="preserve"> kg ha</w:t>
      </w:r>
      <w:r>
        <w:rPr>
          <w:rFonts w:ascii="Times New Roman" w:hAnsi="Times New Roman"/>
          <w:sz w:val="20"/>
          <w:vertAlign w:val="superscript"/>
        </w:rPr>
        <w:t>-1</w:t>
      </w:r>
      <w:r>
        <w:rPr>
          <w:rFonts w:ascii="Times New Roman" w:hAnsi="Times New Roman"/>
          <w:sz w:val="20"/>
        </w:rPr>
        <w:t xml:space="preserve"> is a numerical stability constant. Equation (3) possesses three desirable mathematical properties for statistical learning: (i) strict boundedness on the compact interval Y</w:t>
      </w:r>
      <w:r>
        <w:rPr>
          <w:rFonts w:ascii="Times New Roman" w:hAnsi="Times New Roman"/>
          <w:sz w:val="20"/>
          <w:vertAlign w:val="subscript"/>
        </w:rPr>
        <w:t>vol</w:t>
      </w:r>
      <w:r>
        <w:rPr>
          <w:rFonts w:ascii="Times New Roman" w:hAnsi="Times New Roman"/>
          <w:sz w:val="20"/>
        </w:rPr>
        <w:t>,</w:t>
      </w:r>
      <w:r>
        <w:rPr>
          <w:rFonts w:ascii="Times New Roman" w:hAnsi="Times New Roman"/>
          <w:sz w:val="20"/>
          <w:vertAlign w:val="subscript"/>
        </w:rPr>
        <w:t>i</w:t>
      </w:r>
      <w:r>
        <w:rPr>
          <w:rFonts w:ascii="Times New Roman" w:hAnsi="Times New Roman"/>
          <w:sz w:val="20"/>
        </w:rPr>
        <w:t xml:space="preserve"> ∈ [0, 2], where Y</w:t>
      </w:r>
      <w:r>
        <w:rPr>
          <w:rFonts w:ascii="Times New Roman" w:hAnsi="Times New Roman"/>
          <w:sz w:val="20"/>
          <w:vertAlign w:val="subscript"/>
        </w:rPr>
        <w:t>vol</w:t>
      </w:r>
      <w:r>
        <w:rPr>
          <w:rFonts w:ascii="Times New Roman" w:hAnsi="Times New Roman"/>
          <w:sz w:val="20"/>
        </w:rPr>
        <w:t>,</w:t>
      </w:r>
      <w:r>
        <w:rPr>
          <w:rFonts w:ascii="Times New Roman" w:hAnsi="Times New Roman"/>
          <w:sz w:val="20"/>
          <w:vertAlign w:val="subscript"/>
        </w:rPr>
        <w:t>i</w:t>
      </w:r>
      <w:r>
        <w:rPr>
          <w:rFonts w:ascii="Times New Roman" w:hAnsi="Times New Roman"/>
          <w:sz w:val="20"/>
        </w:rPr>
        <w:t xml:space="preserve"> = 0 denotes perfect inter-seasonal yield parity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xml:space="preserve"> =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 and Y</w:t>
      </w:r>
      <w:r>
        <w:rPr>
          <w:rFonts w:ascii="Times New Roman" w:hAnsi="Times New Roman"/>
          <w:sz w:val="20"/>
          <w:vertAlign w:val="subscript"/>
        </w:rPr>
        <w:t>vol</w:t>
      </w:r>
      <w:r>
        <w:rPr>
          <w:rFonts w:ascii="Times New Roman" w:hAnsi="Times New Roman"/>
          <w:sz w:val="20"/>
        </w:rPr>
        <w:t>,</w:t>
      </w:r>
      <w:r>
        <w:rPr>
          <w:rFonts w:ascii="Times New Roman" w:hAnsi="Times New Roman"/>
          <w:sz w:val="20"/>
          <w:vertAlign w:val="subscript"/>
        </w:rPr>
        <w:t>i</w:t>
      </w:r>
      <w:r>
        <w:rPr>
          <w:rFonts w:ascii="Times New Roman" w:hAnsi="Times New Roman"/>
          <w:sz w:val="20"/>
        </w:rPr>
        <w:t xml:space="preserve"> = 2.0 denotes complete uni-seasonal harvest collapse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xml:space="preserve"> = 0 or Y</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 xml:space="preserve"> = 0); (ii) scale invariance, ensuring that proportional yield fluctuations on a 400 kg ha</w:t>
      </w:r>
      <w:r>
        <w:rPr>
          <w:rFonts w:ascii="Times New Roman" w:hAnsi="Times New Roman"/>
          <w:sz w:val="20"/>
          <w:vertAlign w:val="superscript"/>
        </w:rPr>
        <w:t>-1</w:t>
      </w:r>
      <w:r>
        <w:rPr>
          <w:rFonts w:ascii="Times New Roman" w:hAnsi="Times New Roman"/>
          <w:sz w:val="20"/>
        </w:rPr>
        <w:t xml:space="preserve"> legume farm and a 4,000 kg ha</w:t>
      </w:r>
      <w:r>
        <w:rPr>
          <w:rFonts w:ascii="Times New Roman" w:hAnsi="Times New Roman"/>
          <w:sz w:val="20"/>
          <w:vertAlign w:val="superscript"/>
        </w:rPr>
        <w:t>-1</w:t>
      </w:r>
      <w:r>
        <w:rPr>
          <w:rFonts w:ascii="Times New Roman" w:hAnsi="Times New Roman"/>
          <w:sz w:val="20"/>
        </w:rPr>
        <w:t xml:space="preserve"> commercial maize farm are evaluated on an identical dimensionless risk metric; and (iii) sign symmetry between </w:t>
      </w:r>
      <w:r>
        <w:rPr>
          <w:rFonts w:ascii="Times New Roman" w:hAnsi="Times New Roman"/>
          <w:i/>
          <w:sz w:val="20"/>
        </w:rPr>
        <w:t>Masika</w:t>
      </w:r>
      <w:r>
        <w:rPr>
          <w:rFonts w:ascii="Times New Roman" w:hAnsi="Times New Roman"/>
          <w:sz w:val="20"/>
        </w:rPr>
        <w:t xml:space="preserve">-dominant and </w:t>
      </w:r>
      <w:r>
        <w:rPr>
          <w:rFonts w:ascii="Times New Roman" w:hAnsi="Times New Roman"/>
          <w:i/>
          <w:sz w:val="20"/>
        </w:rPr>
        <w:t>Vuli</w:t>
      </w:r>
      <w:r>
        <w:rPr>
          <w:rFonts w:ascii="Times New Roman" w:hAnsi="Times New Roman"/>
          <w:sz w:val="20"/>
        </w:rPr>
        <w:t>-dominant agro-ecosystems.</w:t>
      </w:r>
    </w:p>
    <w:p>
      <w:pPr>
        <w:spacing w:before="180" w:after="60"/>
      </w:pPr>
      <w:r>
        <w:rPr>
          <w:rFonts w:ascii="Times New Roman" w:hAnsi="Times New Roman"/>
          <w:b/>
          <w:sz w:val="22"/>
        </w:rPr>
        <w:t>2.4 Multi-domain feature engineering and ecological indices</w:t>
      </w:r>
    </w:p>
    <w:p>
      <w:pPr>
        <w:jc w:val="both"/>
      </w:pPr>
      <w:r>
        <w:rPr>
          <w:rFonts w:ascii="Times New Roman" w:hAnsi="Times New Roman"/>
          <w:sz w:val="20"/>
        </w:rPr>
        <w:t>Drawing on agro-ecological resilience theory and agricultural household economics, we engineered 246 candidate explanatory features spanning six thematic domains (Online Resource 1 provides the complete ranked inventory of all 246 candidate features). Crucially, to prevent target leakage, zero post-harvest yield or production quantities from Equations (1)–(2) are permitted to enter the predictive feature matrix X.</w:t>
      </w:r>
    </w:p>
    <w:p>
      <w:pPr>
        <w:spacing w:before="120" w:after="40"/>
      </w:pPr>
      <w:r>
        <w:rPr>
          <w:rFonts w:ascii="Times New Roman" w:hAnsi="Times New Roman"/>
          <w:b/>
          <w:i/>
          <w:sz w:val="20"/>
        </w:rPr>
        <w:t>2.4.1 Crop portfolio diversity and turnover indices</w:t>
      </w:r>
    </w:p>
    <w:p>
      <w:pPr>
        <w:jc w:val="both"/>
      </w:pPr>
      <w:r>
        <w:rPr>
          <w:rFonts w:ascii="Times New Roman" w:hAnsi="Times New Roman"/>
          <w:sz w:val="20"/>
        </w:rPr>
        <w:t>Let p</w:t>
      </w:r>
      <w:r>
        <w:rPr>
          <w:rFonts w:ascii="Times New Roman" w:hAnsi="Times New Roman"/>
          <w:sz w:val="20"/>
          <w:vertAlign w:val="subscript"/>
        </w:rPr>
        <w:t>i</w:t>
      </w:r>
      <w:r>
        <w:rPr>
          <w:rFonts w:ascii="Times New Roman" w:hAnsi="Times New Roman"/>
          <w:sz w:val="20"/>
        </w:rPr>
        <w:t>,c,</w:t>
      </w:r>
      <w:r>
        <w:rPr>
          <w:rFonts w:ascii="Times New Roman" w:hAnsi="Times New Roman"/>
          <w:sz w:val="20"/>
          <w:vertAlign w:val="subscript"/>
        </w:rPr>
        <w:t>s</w:t>
      </w:r>
      <w:r>
        <w:rPr>
          <w:rFonts w:ascii="Times New Roman" w:hAnsi="Times New Roman"/>
          <w:sz w:val="20"/>
        </w:rPr>
        <w:t xml:space="preserve"> = a</w:t>
      </w:r>
      <w:r>
        <w:rPr>
          <w:rFonts w:ascii="Times New Roman" w:hAnsi="Times New Roman"/>
          <w:sz w:val="20"/>
          <w:vertAlign w:val="subscript"/>
        </w:rPr>
        <w:t>i</w:t>
      </w:r>
      <w:r>
        <w:rPr>
          <w:rFonts w:ascii="Times New Roman" w:hAnsi="Times New Roman"/>
          <w:sz w:val="20"/>
        </w:rPr>
        <w:t>,c,</w:t>
      </w:r>
      <w:r>
        <w:rPr>
          <w:rFonts w:ascii="Times New Roman" w:hAnsi="Times New Roman"/>
          <w:sz w:val="20"/>
          <w:vertAlign w:val="subscript"/>
        </w:rPr>
        <w:t>s</w:t>
      </w:r>
      <w:r>
        <w:rPr>
          <w:rFonts w:ascii="Times New Roman" w:hAnsi="Times New Roman"/>
          <w:sz w:val="20"/>
        </w:rPr>
        <w:t xml:space="preserve"> / A</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denote the proportion of cultivated area allocated to crop species c ∈ 1, …, S</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by household i in season s. We compute four complementary ecological diversity indices for each season: the Shannon–Wiener Diversity Index (H′</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the Herfindahl–Hirschman Concentration Index (C</w:t>
      </w:r>
      <w:r>
        <w:rPr>
          <w:rFonts w:ascii="Times New Roman" w:hAnsi="Times New Roman"/>
          <w:sz w:val="20"/>
          <w:vertAlign w:val="subscript"/>
        </w:rPr>
        <w:t>HHI,i,s</w:t>
      </w:r>
      <w:r>
        <w:rPr>
          <w:rFonts w:ascii="Times New Roman" w:hAnsi="Times New Roman"/>
          <w:sz w:val="20"/>
        </w:rPr>
        <w:t>), the Berger–Parker Dominance Index (D</w:t>
      </w:r>
      <w:r>
        <w:rPr>
          <w:rFonts w:ascii="Times New Roman" w:hAnsi="Times New Roman"/>
          <w:sz w:val="20"/>
          <w:vertAlign w:val="subscript"/>
        </w:rPr>
        <w:t>BP,i,s</w:t>
      </w:r>
      <w:r>
        <w:rPr>
          <w:rFonts w:ascii="Times New Roman" w:hAnsi="Times New Roman"/>
          <w:sz w:val="20"/>
        </w:rPr>
        <w:t>), and Pielou's Species Evenness Index (J′</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(Shannon, 1948; Magurran, 2004):</w:t>
      </w:r>
    </w:p>
    <w:p>
      <w:pPr>
        <w:spacing w:before="120" w:after="120"/>
        <w:jc w:val="center"/>
      </w:pPr>
      <m:oMathPara>
        <m:oMath>
          <m:sSub>
            <m:e>
              <m:r>
                <m:t>H'</m:t>
              </m:r>
            </m:e>
            <m:sub>
              <m:r>
                <m:t>i,s</m:t>
              </m:r>
            </m:sub>
          </m:sSub>
          <m:r>
            <m:rPr>
              <m:sty m:val="p"/>
            </m:rPr>
            <m:t> = −</m:t>
          </m:r>
          <m:nary>
            <m:naryPr>
              <m:chr m:val="∑"/>
              <m:limLoc m:val="undOvr"/>
            </m:naryPr>
            <m:sub>
              <m:r>
                <m:t>c=1</m:t>
              </m:r>
            </m:sub>
            <m:sup>
              <m:sSub>
                <m:e>
                  <m:r>
                    <m:t>S</m:t>
                  </m:r>
                </m:e>
                <m:sub>
                  <m:r>
                    <m:t>i,s</m:t>
                  </m:r>
                </m:sub>
              </m:sSub>
            </m:sup>
            <m:e>
              <m:sSub>
                <m:e>
                  <m:r>
                    <m:t>p</m:t>
                  </m:r>
                </m:e>
                <m:sub>
                  <m:r>
                    <m:t>i,c,s</m:t>
                  </m:r>
                </m:sub>
              </m:sSub>
              <m:r>
                <m:rPr>
                  <m:sty m:val="p"/>
                </m:rPr>
                <m:t> ln(</m:t>
              </m:r>
              <m:sSub>
                <m:e>
                  <m:r>
                    <m:t>p</m:t>
                  </m:r>
                </m:e>
                <m:sub>
                  <m:r>
                    <m:t>i,c,s</m:t>
                  </m:r>
                </m:sub>
              </m:sSub>
              <m:r>
                <m:rPr>
                  <m:sty m:val="p"/>
                </m:rPr>
                <m:t>)</m:t>
              </m:r>
            </m:e>
          </m:nary>
          <m:r>
            <m:rPr>
              <m:sty m:val="p"/>
            </m:rPr>
            <m:t>,   </m:t>
          </m:r>
          <m:sSub>
            <m:e>
              <m:r>
                <m:t>C</m:t>
              </m:r>
            </m:e>
            <m:sub>
              <m:r>
                <m:rPr>
                  <m:sty m:val="p"/>
                </m:rPr>
                <m:t>HHI,i,s</m:t>
              </m:r>
            </m:sub>
          </m:sSub>
          <m:r>
            <m:rPr>
              <m:sty m:val="p"/>
            </m:rPr>
            <m:t> = </m:t>
          </m:r>
          <m:nary>
            <m:naryPr>
              <m:chr m:val="∑"/>
              <m:limLoc m:val="undOvr"/>
            </m:naryPr>
            <m:sub>
              <m:r>
                <m:t>c=1</m:t>
              </m:r>
            </m:sub>
            <m:sup>
              <m:sSub>
                <m:e>
                  <m:r>
                    <m:t>S</m:t>
                  </m:r>
                </m:e>
                <m:sub>
                  <m:r>
                    <m:t>i,s</m:t>
                  </m:r>
                </m:sub>
              </m:sSub>
            </m:sup>
            <m:e>
              <m:sSubSup>
                <m:e>
                  <m:r>
                    <m:t>p</m:t>
                  </m:r>
                </m:e>
                <m:sub>
                  <m:r>
                    <m:t>i,c,s</m:t>
                  </m:r>
                </m:sub>
                <m:sup>
                  <m:r>
                    <m:rPr>
                      <m:sty m:val="p"/>
                    </m:rPr>
                    <m:t>2</m:t>
                  </m:r>
                </m:sup>
              </m:sSubSup>
            </m:e>
          </m:nary>
          <m:r>
            <m:rPr>
              <m:sty m:val="p"/>
            </m:rPr>
            <m:t>,   </m:t>
          </m:r>
          <m:sSub>
            <m:e>
              <m:r>
                <m:t>J'</m:t>
              </m:r>
            </m:e>
            <m:sub>
              <m:r>
                <m:t>i,s</m:t>
              </m:r>
            </m:sub>
          </m:sSub>
          <m:r>
            <m:rPr>
              <m:sty m:val="p"/>
            </m:rPr>
            <m:t> = </m:t>
          </m:r>
          <m:f>
            <m:num>
              <m:sSub>
                <m:e>
                  <m:r>
                    <m:t>H'</m:t>
                  </m:r>
                </m:e>
                <m:sub>
                  <m:r>
                    <m:t>i,s</m:t>
                  </m:r>
                </m:sub>
              </m:sSub>
            </m:num>
            <m:den>
              <m:r>
                <m:rPr>
                  <m:sty m:val="p"/>
                </m:rPr>
                <m:t>ln(</m:t>
              </m:r>
              <m:sSub>
                <m:e>
                  <m:r>
                    <m:t>S</m:t>
                  </m:r>
                </m:e>
                <m:sub>
                  <m:r>
                    <m:t>i,s</m:t>
                  </m:r>
                </m:sub>
              </m:sSub>
              <m:r>
                <m:rPr>
                  <m:sty m:val="p"/>
                </m:rPr>
                <m:t>)</m:t>
              </m:r>
            </m:den>
          </m:f>
          <m:r>
            <m:rPr>
              <m:sty m:val="p"/>
            </m:rPr>
            <m:t>   (4)</m:t>
          </m:r>
        </m:oMath>
      </m:oMathPara>
    </w:p>
    <w:p>
      <w:pPr>
        <w:jc w:val="both"/>
      </w:pPr>
      <w:r>
        <w:rPr>
          <w:rFonts w:ascii="Times New Roman" w:hAnsi="Times New Roman"/>
          <w:sz w:val="20"/>
        </w:rPr>
        <w:t xml:space="preserve">To capture inter-seasonal crop rotation and portfolio restructuring between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let C</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xml:space="preserve"> and C</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 xml:space="preserve"> denote the sets of distinct crop species cultivated in each season. We define the cross-seasonal Jaccard Crop Similarity Coefficient (J(C</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C</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 and the Seasonal Crop Rotation Index (R</w:t>
      </w:r>
      <w:r>
        <w:rPr>
          <w:rFonts w:ascii="Times New Roman" w:hAnsi="Times New Roman"/>
          <w:sz w:val="20"/>
          <w:vertAlign w:val="subscript"/>
        </w:rPr>
        <w:t>rot,i</w:t>
      </w:r>
      <w:r>
        <w:rPr>
          <w:rFonts w:ascii="Times New Roman" w:hAnsi="Times New Roman"/>
          <w:sz w:val="20"/>
        </w:rPr>
        <w:t>) as:</w:t>
      </w:r>
    </w:p>
    <w:p>
      <w:pPr>
        <w:spacing w:before="120" w:after="120"/>
        <w:jc w:val="center"/>
      </w:pPr>
      <m:oMathPara>
        <m:oMath>
          <m:r>
            <m:rPr>
              <m:sty m:val="p"/>
            </m:rPr>
            <m:t>J(</m:t>
          </m:r>
          <m:sSub>
            <m:e>
              <m:r>
                <m:t>C</m:t>
              </m:r>
            </m:e>
            <m:sub>
              <m:r>
                <m:t>i,m</m:t>
              </m:r>
            </m:sub>
          </m:sSub>
          <m:r>
            <m:rPr>
              <m:sty m:val="p"/>
            </m:rPr>
            <m:t>, </m:t>
          </m:r>
          <m:sSub>
            <m:e>
              <m:r>
                <m:t>C</m:t>
              </m:r>
            </m:e>
            <m:sub>
              <m:r>
                <m:t>i,v</m:t>
              </m:r>
            </m:sub>
          </m:sSub>
          <m:r>
            <m:rPr>
              <m:sty m:val="p"/>
            </m:rPr>
            <m:t>) = </m:t>
          </m:r>
          <m:f>
            <m:num>
              <m:r>
                <m:rPr>
                  <m:sty m:val="p"/>
                </m:rPr>
                <m:t>|</m:t>
              </m:r>
              <m:sSub>
                <m:e>
                  <m:r>
                    <m:t>C</m:t>
                  </m:r>
                </m:e>
                <m:sub>
                  <m:r>
                    <m:t>i,m</m:t>
                  </m:r>
                </m:sub>
              </m:sSub>
              <m:r>
                <m:rPr>
                  <m:sty m:val="p"/>
                </m:rPr>
                <m:t> ∩ </m:t>
              </m:r>
              <m:sSub>
                <m:e>
                  <m:r>
                    <m:t>C</m:t>
                  </m:r>
                </m:e>
                <m:sub>
                  <m:r>
                    <m:t>i,v</m:t>
                  </m:r>
                </m:sub>
              </m:sSub>
              <m:r>
                <m:rPr>
                  <m:sty m:val="p"/>
                </m:rPr>
                <m:t>|</m:t>
              </m:r>
            </m:num>
            <m:den>
              <m:r>
                <m:rPr>
                  <m:sty m:val="p"/>
                </m:rPr>
                <m:t>|</m:t>
              </m:r>
              <m:sSub>
                <m:e>
                  <m:r>
                    <m:t>C</m:t>
                  </m:r>
                </m:e>
                <m:sub>
                  <m:r>
                    <m:t>i,m</m:t>
                  </m:r>
                </m:sub>
              </m:sSub>
              <m:r>
                <m:rPr>
                  <m:sty m:val="p"/>
                </m:rPr>
                <m:t> ∪ </m:t>
              </m:r>
              <m:sSub>
                <m:e>
                  <m:r>
                    <m:t>C</m:t>
                  </m:r>
                </m:e>
                <m:sub>
                  <m:r>
                    <m:t>i,v</m:t>
                  </m:r>
                </m:sub>
              </m:sSub>
              <m:r>
                <m:rPr>
                  <m:sty m:val="p"/>
                </m:rPr>
                <m:t>|</m:t>
              </m:r>
            </m:den>
          </m:f>
          <m:r>
            <m:rPr>
              <m:sty m:val="p"/>
            </m:rPr>
            <m:t>,   </m:t>
          </m:r>
          <m:sSub>
            <m:e>
              <m:r>
                <m:t>R</m:t>
              </m:r>
            </m:e>
            <m:sub>
              <m:r>
                <m:rPr>
                  <m:sty m:val="p"/>
                </m:rPr>
                <m:t>rot,i</m:t>
              </m:r>
            </m:sub>
          </m:sSub>
          <m:r>
            <m:rPr>
              <m:sty m:val="p"/>
            </m:rPr>
            <m:t> = 1 − J(</m:t>
          </m:r>
          <m:sSub>
            <m:e>
              <m:r>
                <m:t>C</m:t>
              </m:r>
            </m:e>
            <m:sub>
              <m:r>
                <m:t>i,m</m:t>
              </m:r>
            </m:sub>
          </m:sSub>
          <m:r>
            <m:rPr>
              <m:sty m:val="p"/>
            </m:rPr>
            <m:t>, </m:t>
          </m:r>
          <m:sSub>
            <m:e>
              <m:r>
                <m:t>C</m:t>
              </m:r>
            </m:e>
            <m:sub>
              <m:r>
                <m:t>i,v</m:t>
              </m:r>
            </m:sub>
          </m:sSub>
          <m:r>
            <m:rPr>
              <m:sty m:val="p"/>
            </m:rPr>
            <m:t>)   (5)</m:t>
          </m:r>
        </m:oMath>
      </m:oMathPara>
    </w:p>
    <w:p>
      <w:pPr>
        <w:jc w:val="both"/>
      </w:pPr>
      <w:r>
        <w:rPr>
          <w:rFonts w:ascii="Times New Roman" w:hAnsi="Times New Roman"/>
          <w:sz w:val="20"/>
        </w:rPr>
        <w:t>alongside inter-seasonal portfolio shifts ΔH′</w:t>
      </w:r>
      <w:r>
        <w:rPr>
          <w:rFonts w:ascii="Times New Roman" w:hAnsi="Times New Roman"/>
          <w:sz w:val="20"/>
          <w:vertAlign w:val="subscript"/>
        </w:rPr>
        <w:t>i</w:t>
      </w:r>
      <w:r>
        <w:rPr>
          <w:rFonts w:ascii="Times New Roman" w:hAnsi="Times New Roman"/>
          <w:sz w:val="20"/>
        </w:rPr>
        <w:t xml:space="preserve"> = H′</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xml:space="preserve"> − H′</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 ΔJ′</w:t>
      </w:r>
      <w:r>
        <w:rPr>
          <w:rFonts w:ascii="Times New Roman" w:hAnsi="Times New Roman"/>
          <w:sz w:val="20"/>
          <w:vertAlign w:val="subscript"/>
        </w:rPr>
        <w:t>i</w:t>
      </w:r>
      <w:r>
        <w:rPr>
          <w:rFonts w:ascii="Times New Roman" w:hAnsi="Times New Roman"/>
          <w:sz w:val="20"/>
        </w:rPr>
        <w:t xml:space="preserve"> = J′</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xml:space="preserve"> − J′</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 and ΔC</w:t>
      </w:r>
      <w:r>
        <w:rPr>
          <w:rFonts w:ascii="Times New Roman" w:hAnsi="Times New Roman"/>
          <w:sz w:val="20"/>
          <w:vertAlign w:val="subscript"/>
        </w:rPr>
        <w:t>HHI,i</w:t>
      </w:r>
      <w:r>
        <w:rPr>
          <w:rFonts w:ascii="Times New Roman" w:hAnsi="Times New Roman"/>
          <w:sz w:val="20"/>
        </w:rPr>
        <w:t xml:space="preserve"> = C</w:t>
      </w:r>
      <w:r>
        <w:rPr>
          <w:rFonts w:ascii="Times New Roman" w:hAnsi="Times New Roman"/>
          <w:sz w:val="20"/>
          <w:vertAlign w:val="subscript"/>
        </w:rPr>
        <w:t>HHI,i,m</w:t>
      </w:r>
      <w:r>
        <w:rPr>
          <w:rFonts w:ascii="Times New Roman" w:hAnsi="Times New Roman"/>
          <w:sz w:val="20"/>
        </w:rPr>
        <w:t xml:space="preserve"> − C</w:t>
      </w:r>
      <w:r>
        <w:rPr>
          <w:rFonts w:ascii="Times New Roman" w:hAnsi="Times New Roman"/>
          <w:sz w:val="20"/>
          <w:vertAlign w:val="subscript"/>
        </w:rPr>
        <w:t>HHI,i,v</w:t>
      </w:r>
      <w:r>
        <w:rPr>
          <w:rFonts w:ascii="Times New Roman" w:hAnsi="Times New Roman"/>
          <w:sz w:val="20"/>
        </w:rPr>
        <w:t>.</w:t>
      </w:r>
    </w:p>
    <w:p>
      <w:pPr>
        <w:spacing w:before="120" w:after="40"/>
      </w:pPr>
      <w:r>
        <w:rPr>
          <w:rFonts w:ascii="Times New Roman" w:hAnsi="Times New Roman"/>
          <w:b/>
          <w:i/>
          <w:sz w:val="20"/>
        </w:rPr>
        <w:t>2.4.2 Phenological planting timing and plot fragmentation</w:t>
      </w:r>
    </w:p>
    <w:p>
      <w:pPr>
        <w:jc w:val="both"/>
      </w:pPr>
      <w:r>
        <w:rPr>
          <w:rFonts w:ascii="Times New Roman" w:hAnsi="Times New Roman"/>
          <w:sz w:val="20"/>
        </w:rPr>
        <w:t>Because rainfed crop establishment depends critically on matching sowing dates to the onset of effective soil moisture, we extract the mean planting calendar month in each season (M̄</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m</w:t>
      </w:r>
      <w:r>
        <w:rPr>
          <w:rFonts w:ascii="Times New Roman" w:hAnsi="Times New Roman"/>
          <w:sz w:val="20"/>
        </w:rPr>
        <w:t xml:space="preserve"> and M̄</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v</w:t>
      </w:r>
      <w:r>
        <w:rPr>
          <w:rFonts w:ascii="Times New Roman" w:hAnsi="Times New Roman"/>
          <w:sz w:val="20"/>
        </w:rPr>
        <w:t>) and define the inter-seasonal Planting Month Difference (ΔM</w:t>
      </w:r>
      <w:r>
        <w:rPr>
          <w:rFonts w:ascii="Times New Roman" w:hAnsi="Times New Roman"/>
          <w:sz w:val="20"/>
          <w:vertAlign w:val="subscript"/>
        </w:rPr>
        <w:t>i</w:t>
      </w:r>
      <w:r>
        <w:rPr>
          <w:rFonts w:ascii="Times New Roman" w:hAnsi="Times New Roman"/>
          <w:sz w:val="20"/>
        </w:rPr>
        <w:t>, inter-seasonal planting delay):</w:t>
      </w:r>
    </w:p>
    <w:p>
      <w:pPr>
        <w:spacing w:before="120" w:after="120"/>
        <w:jc w:val="center"/>
      </w:pPr>
      <m:oMathPara>
        <m:oMath>
          <m:sSub>
            <m:e>
              <m:r>
                <m:t>ΔM</m:t>
              </m:r>
            </m:e>
            <m:sub>
              <m:r>
                <m:t>i</m:t>
              </m:r>
            </m:sub>
          </m:sSub>
          <m:r>
            <m:rPr>
              <m:sty m:val="p"/>
            </m:rPr>
            <m:t> = </m:t>
          </m:r>
          <m:sSub>
            <m:e>
              <m:r>
                <m:t>M̄</m:t>
              </m:r>
            </m:e>
            <m:sub>
              <m:r>
                <m:t>i,m</m:t>
              </m:r>
            </m:sub>
          </m:sSub>
          <m:r>
            <m:rPr>
              <m:sty m:val="p"/>
            </m:rPr>
            <m:t> − </m:t>
          </m:r>
          <m:sSub>
            <m:e>
              <m:r>
                <m:t>M̄</m:t>
              </m:r>
            </m:e>
            <m:sub>
              <m:r>
                <m:t>i,v</m:t>
              </m:r>
            </m:sub>
          </m:sSub>
          <m:r>
            <m:rPr>
              <m:sty m:val="p"/>
            </m:rPr>
            <m:t>   (6)</m:t>
          </m:r>
        </m:oMath>
      </m:oMathPara>
    </w:p>
    <w:p>
      <w:pPr>
        <w:jc w:val="both"/>
      </w:pPr>
      <w:r>
        <w:rPr>
          <w:rFonts w:ascii="Times New Roman" w:hAnsi="Times New Roman"/>
          <w:sz w:val="20"/>
        </w:rPr>
        <w:t>Spatial parcel dispersion and land fragmentation across a holding's K</w:t>
      </w:r>
      <w:r>
        <w:rPr>
          <w:rFonts w:ascii="Times New Roman" w:hAnsi="Times New Roman"/>
          <w:sz w:val="20"/>
          <w:vertAlign w:val="subscript"/>
        </w:rPr>
        <w:t>i</w:t>
      </w:r>
      <w:r>
        <w:rPr>
          <w:rFonts w:ascii="Times New Roman" w:hAnsi="Times New Roman"/>
          <w:sz w:val="20"/>
        </w:rPr>
        <w:t xml:space="preserve"> operational plots are quantified via the Plot Area Coefficient of Variation (CV</w:t>
      </w:r>
      <w:r>
        <w:rPr>
          <w:rFonts w:ascii="Times New Roman" w:hAnsi="Times New Roman"/>
          <w:sz w:val="20"/>
          <w:vertAlign w:val="subscript"/>
        </w:rPr>
        <w:t>plot</w:t>
      </w:r>
      <w:r>
        <w:rPr>
          <w:rFonts w:ascii="Times New Roman" w:hAnsi="Times New Roman"/>
          <w:sz w:val="20"/>
        </w:rPr>
        <w:t>,</w:t>
      </w:r>
      <w:r>
        <w:rPr>
          <w:rFonts w:ascii="Times New Roman" w:hAnsi="Times New Roman"/>
          <w:sz w:val="20"/>
          <w:vertAlign w:val="subscript"/>
        </w:rPr>
        <w:t>i</w:t>
      </w:r>
      <w:r>
        <w:rPr>
          <w:rFonts w:ascii="Times New Roman" w:hAnsi="Times New Roman"/>
          <w:sz w:val="20"/>
        </w:rPr>
        <w:t>, plot area fragmentation):</w:t>
      </w:r>
    </w:p>
    <w:p>
      <w:pPr>
        <w:spacing w:before="120" w:after="120"/>
        <w:jc w:val="center"/>
      </w:pPr>
      <m:oMathPara>
        <m:oMath>
          <m:sSub>
            <m:e>
              <m:r>
                <m:rPr>
                  <m:sty m:val="p"/>
                </m:rPr>
                <m:t>CV</m:t>
              </m:r>
            </m:e>
            <m:sub>
              <m:r>
                <m:rPr>
                  <m:sty m:val="p"/>
                </m:rPr>
                <m:t>plot,i</m:t>
              </m:r>
            </m:sub>
          </m:sSub>
          <m:r>
            <m:rPr>
              <m:sty m:val="p"/>
            </m:rPr>
            <m:t> = </m:t>
          </m:r>
          <m:f>
            <m:num>
              <m:sSub>
                <m:e>
                  <m:r>
                    <m:t>σ</m:t>
                  </m:r>
                </m:e>
                <m:sub>
                  <m:r>
                    <m:t>a,i</m:t>
                  </m:r>
                </m:sub>
              </m:sSub>
            </m:num>
            <m:den>
              <m:sSub>
                <m:e>
                  <m:r>
                    <m:t>μ</m:t>
                  </m:r>
                </m:e>
                <m:sub>
                  <m:r>
                    <m:t>a,i</m:t>
                  </m:r>
                </m:sub>
              </m:sSub>
              <m:r>
                <m:rPr>
                  <m:sty m:val="p"/>
                </m:rPr>
                <m:t> + ε</m:t>
              </m:r>
            </m:den>
          </m:f>
          <m:r>
            <m:rPr>
              <m:sty m:val="p"/>
            </m:rPr>
            <m:t>   (7)</m:t>
          </m:r>
        </m:oMath>
      </m:oMathPara>
    </w:p>
    <w:p>
      <w:pPr>
        <w:spacing w:before="120" w:after="40"/>
      </w:pPr>
      <w:r>
        <w:rPr>
          <w:rFonts w:ascii="Times New Roman" w:hAnsi="Times New Roman"/>
          <w:b/>
          <w:i/>
          <w:sz w:val="20"/>
        </w:rPr>
        <w:t>2.4.3 Livestock asset buffers and capital–labour ratios</w:t>
      </w:r>
    </w:p>
    <w:p>
      <w:pPr>
        <w:jc w:val="both"/>
      </w:pPr>
      <w:r>
        <w:rPr>
          <w:rFonts w:ascii="Times New Roman" w:hAnsi="Times New Roman"/>
          <w:sz w:val="20"/>
        </w:rPr>
        <w:t>To aggregate heterogeneous livestock species into a standardised metabolic wealth buffer, we compute Tropical Livestock Units (TLU</w:t>
      </w:r>
      <w:r>
        <w:rPr>
          <w:rFonts w:ascii="Times New Roman" w:hAnsi="Times New Roman"/>
          <w:sz w:val="20"/>
          <w:vertAlign w:val="subscript"/>
        </w:rPr>
        <w:t>i</w:t>
      </w:r>
      <w:r>
        <w:rPr>
          <w:rFonts w:ascii="Times New Roman" w:hAnsi="Times New Roman"/>
          <w:sz w:val="20"/>
        </w:rPr>
        <w:t>, total livestock holdings) using FAO sub-Saharan African conversion weights (1 TLU = 250 kg live weight) (Jahnke, 1982; Njuki et al., 2011):</w:t>
      </w:r>
    </w:p>
    <w:p>
      <w:pPr>
        <w:spacing w:before="120" w:after="120"/>
        <w:jc w:val="center"/>
      </w:pPr>
      <m:oMathPara>
        <m:oMath>
          <m:sSub>
            <m:e>
              <m:r>
                <m:rPr>
                  <m:sty m:val="p"/>
                </m:rPr>
                <m:t>TLU</m:t>
              </m:r>
            </m:e>
            <m:sub>
              <m:r>
                <m:t>i</m:t>
              </m:r>
            </m:sub>
          </m:sSub>
          <m:r>
            <m:rPr>
              <m:sty m:val="p"/>
            </m:rPr>
            <m:t> = 0.70</m:t>
          </m:r>
          <m:sSub>
            <m:e>
              <m:r>
                <m:t>N</m:t>
              </m:r>
            </m:e>
            <m:sub>
              <m:r>
                <m:rPr>
                  <m:sty m:val="p"/>
                </m:rPr>
                <m:t>cattle,i</m:t>
              </m:r>
            </m:sub>
          </m:sSub>
          <m:r>
            <m:rPr>
              <m:sty m:val="p"/>
            </m:rPr>
            <m:t> + 0.50</m:t>
          </m:r>
          <m:sSub>
            <m:e>
              <m:r>
                <m:t>N</m:t>
              </m:r>
            </m:e>
            <m:sub>
              <m:r>
                <m:rPr>
                  <m:sty m:val="p"/>
                </m:rPr>
                <m:t>donkey,i</m:t>
              </m:r>
            </m:sub>
          </m:sSub>
          <m:r>
            <m:rPr>
              <m:sty m:val="p"/>
            </m:rPr>
            <m:t> + 0.20</m:t>
          </m:r>
          <m:sSub>
            <m:e>
              <m:r>
                <m:t>N</m:t>
              </m:r>
            </m:e>
            <m:sub>
              <m:r>
                <m:rPr>
                  <m:sty m:val="p"/>
                </m:rPr>
                <m:t>pig,i</m:t>
              </m:r>
            </m:sub>
          </m:sSub>
          <m:r>
            <m:rPr>
              <m:sty m:val="p"/>
            </m:rPr>
            <m:t> + 0.10(</m:t>
          </m:r>
          <m:sSub>
            <m:e>
              <m:r>
                <m:t>N</m:t>
              </m:r>
            </m:e>
            <m:sub>
              <m:r>
                <m:rPr>
                  <m:sty m:val="p"/>
                </m:rPr>
                <m:t>goat,i</m:t>
              </m:r>
            </m:sub>
          </m:sSub>
          <m:r>
            <m:rPr>
              <m:sty m:val="p"/>
            </m:rPr>
            <m:t> + </m:t>
          </m:r>
          <m:sSub>
            <m:e>
              <m:r>
                <m:t>N</m:t>
              </m:r>
            </m:e>
            <m:sub>
              <m:r>
                <m:rPr>
                  <m:sty m:val="p"/>
                </m:rPr>
                <m:t>sheep,i</m:t>
              </m:r>
            </m:sub>
          </m:sSub>
          <m:r>
            <m:rPr>
              <m:sty m:val="p"/>
            </m:rPr>
            <m:t>) + 0.01</m:t>
          </m:r>
          <m:sSub>
            <m:e>
              <m:r>
                <m:t>N</m:t>
              </m:r>
            </m:e>
            <m:sub>
              <m:r>
                <m:rPr>
                  <m:sty m:val="p"/>
                </m:rPr>
                <m:t>poultry,i</m:t>
              </m:r>
            </m:sub>
          </m:sSub>
          <m:r>
            <m:rPr>
              <m:sty m:val="p"/>
            </m:rPr>
            <m:t>   (8)</m:t>
          </m:r>
        </m:oMath>
      </m:oMathPara>
    </w:p>
    <w:p>
      <w:pPr>
        <w:jc w:val="both"/>
      </w:pPr>
      <w:r>
        <w:rPr>
          <w:rFonts w:ascii="Times New Roman" w:hAnsi="Times New Roman"/>
          <w:sz w:val="20"/>
        </w:rPr>
        <w:t>Household labour capitalisation and input intensification are captured through cultivated land per adult labourer (A</w:t>
      </w:r>
      <w:r>
        <w:rPr>
          <w:rFonts w:ascii="Times New Roman" w:hAnsi="Times New Roman"/>
          <w:sz w:val="20"/>
          <w:vertAlign w:val="subscript"/>
        </w:rPr>
        <w:t>i</w:t>
      </w:r>
      <w:r>
        <w:rPr>
          <w:rFonts w:ascii="Times New Roman" w:hAnsi="Times New Roman"/>
          <w:sz w:val="20"/>
        </w:rPr>
        <w:t xml:space="preserve"> / L</w:t>
      </w:r>
      <w:r>
        <w:rPr>
          <w:rFonts w:ascii="Times New Roman" w:hAnsi="Times New Roman"/>
          <w:sz w:val="20"/>
          <w:vertAlign w:val="subscript"/>
        </w:rPr>
        <w:t>adult,i</w:t>
      </w:r>
      <w:r>
        <w:rPr>
          <w:rFonts w:ascii="Times New Roman" w:hAnsi="Times New Roman"/>
          <w:sz w:val="20"/>
        </w:rPr>
        <w:t>, cultivated land area per adult labourer), plots per adult labourer, household dependency ratio, inorganic fertiliser application intensity (F</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 A</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kg ha</w:t>
      </w:r>
      <w:r>
        <w:rPr>
          <w:rFonts w:ascii="Times New Roman" w:hAnsi="Times New Roman"/>
          <w:sz w:val="20"/>
          <w:vertAlign w:val="superscript"/>
        </w:rPr>
        <w:t>-1</w:t>
      </w:r>
      <w:r>
        <w:rPr>
          <w:rFonts w:ascii="Times New Roman" w:hAnsi="Times New Roman"/>
          <w:sz w:val="20"/>
        </w:rPr>
        <w:t>), pesticide intensity (P</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xml:space="preserve"> / A</w:t>
      </w:r>
      <w:r>
        <w:rPr>
          <w:rFonts w:ascii="Times New Roman" w:hAnsi="Times New Roman"/>
          <w:sz w:val="20"/>
          <w:vertAlign w:val="subscript"/>
        </w:rPr>
        <w:t>i</w:t>
      </w:r>
      <w:r>
        <w:rPr>
          <w:rFonts w:ascii="Times New Roman" w:hAnsi="Times New Roman"/>
          <w:sz w:val="20"/>
        </w:rPr>
        <w:t>,</w:t>
      </w:r>
      <w:r>
        <w:rPr>
          <w:rFonts w:ascii="Times New Roman" w:hAnsi="Times New Roman"/>
          <w:sz w:val="20"/>
          <w:vertAlign w:val="subscript"/>
        </w:rPr>
        <w:t>s</w:t>
      </w:r>
      <w:r>
        <w:rPr>
          <w:rFonts w:ascii="Times New Roman" w:hAnsi="Times New Roman"/>
          <w:sz w:val="20"/>
        </w:rPr>
        <w:t>), and seasonal fertiliser allocation ratios.</w:t>
      </w:r>
    </w:p>
    <w:p>
      <w:pPr>
        <w:spacing w:before="120" w:after="40"/>
      </w:pPr>
      <w:r>
        <w:rPr>
          <w:rFonts w:ascii="Times New Roman" w:hAnsi="Times New Roman"/>
          <w:b/>
          <w:i/>
          <w:sz w:val="20"/>
        </w:rPr>
        <w:t>2.4.4 Spatial community peer benchmarks and latent representations</w:t>
      </w:r>
    </w:p>
    <w:p>
      <w:pPr>
        <w:jc w:val="both"/>
      </w:pPr>
      <w:r>
        <w:rPr>
          <w:rFonts w:ascii="Times New Roman" w:hAnsi="Times New Roman"/>
          <w:sz w:val="20"/>
        </w:rPr>
        <w:t>To contextualise each smallholder's management practices relative to local agro-ecological norms without leaking target values, we compute spatial peer-group deviations for key structural variables X</w:t>
      </w:r>
      <w:r>
        <w:rPr>
          <w:rFonts w:ascii="Times New Roman" w:hAnsi="Times New Roman"/>
          <w:sz w:val="20"/>
          <w:vertAlign w:val="subscript"/>
        </w:rPr>
        <w:t>k</w:t>
      </w:r>
      <w:r>
        <w:rPr>
          <w:rFonts w:ascii="Times New Roman" w:hAnsi="Times New Roman"/>
          <w:sz w:val="20"/>
        </w:rPr>
        <w:t xml:space="preserve"> ∈ H′</w:t>
      </w:r>
      <w:r>
        <w:rPr>
          <w:rFonts w:ascii="Times New Roman" w:hAnsi="Times New Roman"/>
          <w:sz w:val="20"/>
          <w:vertAlign w:val="subscript"/>
        </w:rPr>
        <w:t>m</w:t>
      </w:r>
      <w:r>
        <w:rPr>
          <w:rFonts w:ascii="Times New Roman" w:hAnsi="Times New Roman"/>
          <w:sz w:val="20"/>
        </w:rPr>
        <w:t>, A, F</w:t>
      </w:r>
      <w:r>
        <w:rPr>
          <w:rFonts w:ascii="Times New Roman" w:hAnsi="Times New Roman"/>
          <w:sz w:val="20"/>
          <w:vertAlign w:val="subscript"/>
        </w:rPr>
        <w:t>m</w:t>
      </w:r>
      <w:r>
        <w:rPr>
          <w:rFonts w:ascii="Times New Roman" w:hAnsi="Times New Roman"/>
          <w:sz w:val="20"/>
        </w:rPr>
        <w:t xml:space="preserve"> relative to the regional community mean X̄</w:t>
      </w:r>
      <w:r>
        <w:rPr>
          <w:rFonts w:ascii="Times New Roman" w:hAnsi="Times New Roman"/>
          <w:sz w:val="20"/>
          <w:vertAlign w:val="subscript"/>
        </w:rPr>
        <w:t>k</w:t>
      </w:r>
      <w:r>
        <w:rPr>
          <w:rFonts w:ascii="Times New Roman" w:hAnsi="Times New Roman"/>
          <w:sz w:val="20"/>
        </w:rPr>
        <w:t>,</w:t>
      </w:r>
      <w:r>
        <w:rPr>
          <w:rFonts w:ascii="Times New Roman" w:hAnsi="Times New Roman"/>
          <w:sz w:val="20"/>
          <w:vertAlign w:val="subscript"/>
        </w:rPr>
        <w:t>r</w:t>
      </w:r>
      <w:r>
        <w:rPr>
          <w:rFonts w:ascii="Times New Roman" w:hAnsi="Times New Roman"/>
          <w:sz w:val="20"/>
        </w:rPr>
        <w:t>₍</w:t>
      </w:r>
      <w:r>
        <w:rPr>
          <w:rFonts w:ascii="Times New Roman" w:hAnsi="Times New Roman"/>
          <w:sz w:val="20"/>
          <w:vertAlign w:val="subscript"/>
        </w:rPr>
        <w:t>i</w:t>
      </w:r>
      <w:r>
        <w:rPr>
          <w:rFonts w:ascii="Times New Roman" w:hAnsi="Times New Roman"/>
          <w:sz w:val="20"/>
        </w:rPr>
        <w:t>₎:</w:t>
      </w:r>
    </w:p>
    <w:p>
      <w:pPr>
        <w:spacing w:before="120" w:after="120"/>
        <w:jc w:val="center"/>
      </w:pPr>
      <m:oMathPara>
        <m:oMath>
          <m:sSubSup>
            <m:e>
              <m:r>
                <m:t>ΔX</m:t>
              </m:r>
            </m:e>
            <m:sub>
              <m:r>
                <m:t>k,i</m:t>
              </m:r>
            </m:sub>
            <m:sup>
              <m:r>
                <m:rPr>
                  <m:sty m:val="p"/>
                </m:rPr>
                <m:t>reg</m:t>
              </m:r>
            </m:sup>
          </m:sSubSup>
          <m:r>
            <m:rPr>
              <m:sty m:val="p"/>
            </m:rPr>
            <m:t> = </m:t>
          </m:r>
          <m:sSub>
            <m:e>
              <m:r>
                <m:t>X</m:t>
              </m:r>
            </m:e>
            <m:sub>
              <m:r>
                <m:t>k,i</m:t>
              </m:r>
            </m:sub>
          </m:sSub>
          <m:r>
            <m:rPr>
              <m:sty m:val="p"/>
            </m:rPr>
            <m:t> − </m:t>
          </m:r>
          <m:sSub>
            <m:e>
              <m:r>
                <m:t>X̄</m:t>
              </m:r>
            </m:e>
            <m:sub>
              <m:r>
                <m:t>k,r(i)</m:t>
              </m:r>
            </m:sub>
          </m:sSub>
          <m:r>
            <m:rPr>
              <m:sty m:val="p"/>
            </m:rPr>
            <m:t>,   </m:t>
          </m:r>
          <m:sSubSup>
            <m:e>
              <m:r>
                <m:t>Z</m:t>
              </m:r>
            </m:e>
            <m:sub>
              <m:r>
                <m:t>k,i</m:t>
              </m:r>
            </m:sub>
            <m:sup>
              <m:r>
                <m:rPr>
                  <m:sty m:val="p"/>
                </m:rPr>
                <m:t>reg</m:t>
              </m:r>
            </m:sup>
          </m:sSubSup>
          <m:r>
            <m:rPr>
              <m:sty m:val="p"/>
            </m:rPr>
            <m:t> = </m:t>
          </m:r>
          <m:f>
            <m:num>
              <m:sSub>
                <m:e>
                  <m:r>
                    <m:t>X</m:t>
                  </m:r>
                </m:e>
                <m:sub>
                  <m:r>
                    <m:t>k,i</m:t>
                  </m:r>
                </m:sub>
              </m:sSub>
              <m:r>
                <m:rPr>
                  <m:sty m:val="p"/>
                </m:rPr>
                <m:t> − </m:t>
              </m:r>
              <m:sSub>
                <m:e>
                  <m:r>
                    <m:t>X̄</m:t>
                  </m:r>
                </m:e>
                <m:sub>
                  <m:r>
                    <m:t>k,r(i)</m:t>
                  </m:r>
                </m:sub>
              </m:sSub>
            </m:num>
            <m:den>
              <m:sSub>
                <m:e>
                  <m:r>
                    <m:t>σ</m:t>
                  </m:r>
                </m:e>
                <m:sub>
                  <m:r>
                    <m:t>k,r(i)</m:t>
                  </m:r>
                </m:sub>
              </m:sSub>
              <m:r>
                <m:rPr>
                  <m:sty m:val="p"/>
                </m:rPr>
                <m:t> + ε</m:t>
              </m:r>
            </m:den>
          </m:f>
          <m:r>
            <m:rPr>
              <m:sty m:val="p"/>
            </m:rPr>
            <m:t>   (9)</m:t>
          </m:r>
        </m:oMath>
      </m:oMathPara>
    </w:p>
    <w:p>
      <w:pPr>
        <w:jc w:val="both"/>
      </w:pPr>
      <w:r>
        <w:rPr>
          <w:rFonts w:ascii="Times New Roman" w:hAnsi="Times New Roman"/>
          <w:sz w:val="20"/>
        </w:rPr>
        <w:t>Additionally, inside each training fold, we extract four unsupervised K-Means Agronomic Archetype Distances (d</w:t>
      </w:r>
      <w:r>
        <w:rPr>
          <w:rFonts w:ascii="Times New Roman" w:hAnsi="Times New Roman"/>
          <w:sz w:val="20"/>
          <w:vertAlign w:val="subscript"/>
        </w:rPr>
        <w:t>i</w:t>
      </w:r>
      <w:r>
        <w:rPr>
          <w:rFonts w:ascii="Times New Roman" w:hAnsi="Times New Roman"/>
          <w:sz w:val="20"/>
        </w:rPr>
        <w:t>,꜀ = ‖z</w:t>
      </w:r>
      <w:r>
        <w:rPr>
          <w:rFonts w:ascii="Times New Roman" w:hAnsi="Times New Roman"/>
          <w:sz w:val="20"/>
          <w:vertAlign w:val="subscript"/>
        </w:rPr>
        <w:t>i</w:t>
      </w:r>
      <w:r>
        <w:rPr>
          <w:rFonts w:ascii="Times New Roman" w:hAnsi="Times New Roman"/>
          <w:sz w:val="20"/>
        </w:rPr>
        <w:t xml:space="preserve"> − μ꜀‖</w:t>
      </w:r>
      <w:r>
        <w:rPr>
          <w:rFonts w:ascii="Times New Roman" w:hAnsi="Times New Roman"/>
          <w:sz w:val="20"/>
          <w:vertAlign w:val="subscript"/>
        </w:rPr>
        <w:t>2</w:t>
      </w:r>
      <w:r>
        <w:rPr>
          <w:rFonts w:ascii="Times New Roman" w:hAnsi="Times New Roman"/>
          <w:sz w:val="20"/>
        </w:rPr>
        <w:t xml:space="preserve"> for c ∈ 0, 1, 2, 3, representing Euclidean distance in standardised input–diversity–scale space to Subsistence Cereal, Commercial Mixed Cropping, Agro-Pastoral, and Diversified Tree-Crop clusters) and three orthogonal Principal Component Analysis (PCA) latent factors (the first principal component, the second principal component, the third principal component) capturing farm scale, capital–labour substitution, and agro-ecological elevation gradients.</w:t>
      </w:r>
    </w:p>
    <w:p>
      <w:pPr>
        <w:spacing w:before="180" w:after="60"/>
      </w:pPr>
      <w:r>
        <w:rPr>
          <w:rFonts w:ascii="Times New Roman" w:hAnsi="Times New Roman"/>
          <w:b/>
          <w:sz w:val="22"/>
        </w:rPr>
        <w:t>2.5 Spatial cross-validation and the five-pillar leakage isolation protocol</w:t>
      </w:r>
    </w:p>
    <w:p>
      <w:pPr>
        <w:jc w:val="both"/>
      </w:pPr>
      <w:r>
        <w:rPr>
          <w:rFonts w:ascii="Times New Roman" w:hAnsi="Times New Roman"/>
          <w:sz w:val="20"/>
        </w:rPr>
        <w:t>Standard random cross-validation violates the assumption of independent and identically distributed (i.i.d.) validation errors when observations are spatially clustered within census Enumeration Areas (Roberts et al., 2017; Meyer et al., 2018; Ploton et al., 2020). Let G</w:t>
      </w:r>
      <w:r>
        <w:rPr>
          <w:rFonts w:ascii="Times New Roman" w:hAnsi="Times New Roman"/>
          <w:sz w:val="20"/>
          <w:vertAlign w:val="subscript"/>
        </w:rPr>
        <w:t>i</w:t>
      </w:r>
      <w:r>
        <w:rPr>
          <w:rFonts w:ascii="Times New Roman" w:hAnsi="Times New Roman"/>
          <w:sz w:val="20"/>
        </w:rPr>
        <w:t xml:space="preserve"> ∈ 1, …, 921 denote the Enumeration Area identifier (</w:t>
      </w:r>
      <w:r>
        <w:rPr>
          <w:rFonts w:ascii="Times New Roman" w:hAnsi="Times New Roman"/>
          <w:sz w:val="20"/>
        </w:rPr>
        <w:t>ea</w:t>
      </w:r>
      <w:r>
        <w:rPr>
          <w:rFonts w:ascii="Times New Roman" w:hAnsi="Times New Roman"/>
          <w:sz w:val="20"/>
          <w:vertAlign w:val="subscript"/>
        </w:rPr>
        <w:t>id</w:t>
      </w:r>
      <w:r>
        <w:rPr>
          <w:rFonts w:ascii="Times New Roman" w:hAnsi="Times New Roman"/>
          <w:sz w:val="20"/>
        </w:rPr>
        <w:t>) of household i. We partition the N = 4,564 holdings into K = 5 spatially disjoint folds ℱ</w:t>
      </w:r>
      <w:r>
        <w:rPr>
          <w:rFonts w:ascii="Times New Roman" w:hAnsi="Times New Roman"/>
          <w:sz w:val="20"/>
          <w:vertAlign w:val="subscript"/>
        </w:rPr>
        <w:t>1</w:t>
      </w:r>
      <w:r>
        <w:rPr>
          <w:rFonts w:ascii="Times New Roman" w:hAnsi="Times New Roman"/>
          <w:sz w:val="20"/>
        </w:rPr>
        <w:t>, …, ℱ</w:t>
      </w:r>
      <w:r>
        <w:rPr>
          <w:rFonts w:ascii="Times New Roman" w:hAnsi="Times New Roman"/>
          <w:sz w:val="20"/>
          <w:vertAlign w:val="subscript"/>
        </w:rPr>
        <w:t>5</w:t>
      </w:r>
      <w:r>
        <w:rPr>
          <w:rFonts w:ascii="Times New Roman" w:hAnsi="Times New Roman"/>
          <w:sz w:val="20"/>
        </w:rPr>
        <w:t xml:space="preserve"> using Spatial Group K-Fold Cross-Validation (geographic group cross-validation), enforcing the strict geographic disjointness constraint:</w:t>
      </w:r>
    </w:p>
    <w:p>
      <w:pPr>
        <w:spacing w:before="120" w:after="120"/>
        <w:jc w:val="center"/>
      </w:pPr>
      <m:oMathPara>
        <m:oMath>
          <m:r>
            <m:rPr>
              <m:sty m:val="p"/>
            </m:rPr>
            <m:t>∀ k ≠ k' ∈ {1, …, 5}:   { </m:t>
          </m:r>
          <m:sSub>
            <m:e>
              <m:r>
                <m:t>G</m:t>
              </m:r>
            </m:e>
            <m:sub>
              <m:r>
                <m:t>i</m:t>
              </m:r>
            </m:sub>
          </m:sSub>
          <m:r>
            <m:rPr>
              <m:sty m:val="p"/>
            </m:rPr>
            <m:t> : i ∈ </m:t>
          </m:r>
          <m:sSub>
            <m:e>
              <m:r>
                <m:t>F</m:t>
              </m:r>
            </m:e>
            <m:sub>
              <m:r>
                <m:t>k</m:t>
              </m:r>
            </m:sub>
          </m:sSub>
          <m:r>
            <m:rPr>
              <m:sty m:val="p"/>
            </m:rPr>
            <m:t> } ∩ { </m:t>
          </m:r>
          <m:sSub>
            <m:e>
              <m:r>
                <m:t>G</m:t>
              </m:r>
            </m:e>
            <m:sub>
              <m:r>
                <m:t>j</m:t>
              </m:r>
            </m:sub>
          </m:sSub>
          <m:r>
            <m:rPr>
              <m:sty m:val="p"/>
            </m:rPr>
            <m:t> : j ∈ </m:t>
          </m:r>
          <m:sSub>
            <m:e>
              <m:r>
                <m:t>F</m:t>
              </m:r>
            </m:e>
            <m:sub>
              <m:r>
                <m:t>k'</m:t>
              </m:r>
            </m:sub>
          </m:sSub>
          <m:r>
            <m:rPr>
              <m:sty m:val="p"/>
            </m:rPr>
            <m:t> } = ∅   (10)</m:t>
          </m:r>
        </m:oMath>
      </m:oMathPara>
    </w:p>
    <w:p>
      <w:pPr>
        <w:jc w:val="both"/>
      </w:pPr>
      <w:r>
        <w:rPr>
          <w:rFonts w:ascii="Times New Roman" w:hAnsi="Times New Roman"/>
          <w:sz w:val="20"/>
        </w:rPr>
        <w:t>Equation (10) guarantees that no Enumeration Area—and consequently no village micro-climate, shared soil catena, or local enumerator team—ever spans both training and validation partitions.</w:t>
      </w:r>
    </w:p>
    <w:p>
      <w:pPr>
        <w:jc w:val="both"/>
      </w:pPr>
      <w:r>
        <w:rPr>
          <w:rFonts w:ascii="Times New Roman" w:hAnsi="Times New Roman"/>
          <w:sz w:val="20"/>
        </w:rPr>
        <w:t>To ensure that zero information from validation holdings contaminates model training, we enforce and programmatically verify a Five-Pillar Spatial Leakage Isolation Protocol:</w:t>
      </w:r>
    </w:p>
    <w:p>
      <w:pPr>
        <w:jc w:val="both"/>
      </w:pPr>
      <w:r>
        <w:rPr>
          <w:rFonts w:ascii="Times New Roman" w:hAnsi="Times New Roman"/>
          <w:sz w:val="20"/>
        </w:rPr>
        <w:t>- Pillar 1 (Spatial Group Disjointness): Verifies Equation (10) across all five folds (zero overlapping EAs across 921 clusters).</w:t>
      </w:r>
    </w:p>
    <w:p>
      <w:pPr>
        <w:jc w:val="both"/>
      </w:pPr>
      <w:r>
        <w:rPr>
          <w:rFonts w:ascii="Times New Roman" w:hAnsi="Times New Roman"/>
          <w:sz w:val="20"/>
        </w:rPr>
        <w:t>- Pillar 2 (Target Variable Independence): Verifies that Y</w:t>
      </w:r>
      <w:r>
        <w:rPr>
          <w:rFonts w:ascii="Times New Roman" w:hAnsi="Times New Roman"/>
          <w:sz w:val="20"/>
          <w:vertAlign w:val="subscript"/>
        </w:rPr>
        <w:t>vol</w:t>
      </w:r>
      <w:r>
        <w:rPr>
          <w:rFonts w:ascii="Times New Roman" w:hAnsi="Times New Roman"/>
          <w:sz w:val="20"/>
        </w:rPr>
        <w:t>, Y</w:t>
      </w:r>
      <w:r>
        <w:rPr>
          <w:rFonts w:ascii="Times New Roman" w:hAnsi="Times New Roman"/>
          <w:sz w:val="20"/>
          <w:vertAlign w:val="subscript"/>
        </w:rPr>
        <w:t>m</w:t>
      </w:r>
      <w:r>
        <w:rPr>
          <w:rFonts w:ascii="Times New Roman" w:hAnsi="Times New Roman"/>
          <w:sz w:val="20"/>
        </w:rPr>
        <w:t>, Y</w:t>
      </w:r>
      <w:r>
        <w:rPr>
          <w:rFonts w:ascii="Times New Roman" w:hAnsi="Times New Roman"/>
          <w:sz w:val="20"/>
          <w:vertAlign w:val="subscript"/>
        </w:rPr>
        <w:t>v</w:t>
      </w:r>
      <w:r>
        <w:rPr>
          <w:rFonts w:ascii="Times New Roman" w:hAnsi="Times New Roman"/>
          <w:sz w:val="20"/>
        </w:rPr>
        <w:t>, Q</w:t>
      </w:r>
      <w:r>
        <w:rPr>
          <w:rFonts w:ascii="Times New Roman" w:hAnsi="Times New Roman"/>
          <w:sz w:val="20"/>
          <w:vertAlign w:val="subscript"/>
        </w:rPr>
        <w:t>m</w:t>
      </w:r>
      <w:r>
        <w:rPr>
          <w:rFonts w:ascii="Times New Roman" w:hAnsi="Times New Roman"/>
          <w:sz w:val="20"/>
        </w:rPr>
        <w:t>, and Q</w:t>
      </w:r>
      <w:r>
        <w:rPr>
          <w:rFonts w:ascii="Times New Roman" w:hAnsi="Times New Roman"/>
          <w:sz w:val="20"/>
          <w:vertAlign w:val="subscript"/>
        </w:rPr>
        <w:t>v</w:t>
      </w:r>
      <w:r>
        <w:rPr>
          <w:rFonts w:ascii="Times New Roman" w:hAnsi="Times New Roman"/>
          <w:sz w:val="20"/>
        </w:rPr>
        <w:t xml:space="preserve"> are strictly excluded from X and audits the maximum absolute Pearson correlation maxⱼ |r(Xⱼ, Y</w:t>
      </w:r>
      <w:r>
        <w:rPr>
          <w:rFonts w:ascii="Times New Roman" w:hAnsi="Times New Roman"/>
          <w:sz w:val="20"/>
          <w:vertAlign w:val="subscript"/>
        </w:rPr>
        <w:t>vol</w:t>
      </w:r>
      <w:r>
        <w:rPr>
          <w:rFonts w:ascii="Times New Roman" w:hAnsi="Times New Roman"/>
          <w:sz w:val="20"/>
        </w:rPr>
        <w:t>)| to confirm the absence of deterministic target proxies.</w:t>
      </w:r>
    </w:p>
    <w:p>
      <w:pPr>
        <w:jc w:val="both"/>
      </w:pPr>
      <w:r>
        <w:rPr>
          <w:rFonts w:ascii="Times New Roman" w:hAnsi="Times New Roman"/>
          <w:sz w:val="20"/>
        </w:rPr>
        <w:t>- Pillar 3 (Preprocessing &amp; Imputation Isolation): All median imputers, robust interquartile scaling interquartile transformations, and one-hot categorical encoding mappings are fitted strictly on training fold indices ℐ</w:t>
      </w:r>
      <w:r>
        <w:rPr>
          <w:rFonts w:ascii="Times New Roman" w:hAnsi="Times New Roman"/>
          <w:sz w:val="20"/>
          <w:vertAlign w:val="subscript"/>
        </w:rPr>
        <w:t>train</w:t>
      </w:r>
      <w:r>
        <w:rPr>
          <w:rFonts w:ascii="Times New Roman" w:hAnsi="Times New Roman"/>
          <w:sz w:val="20"/>
          <w:vertAlign w:val="superscript"/>
        </w:rPr>
        <w:t>(−k)</w:t>
      </w:r>
      <w:r>
        <w:rPr>
          <w:rFonts w:ascii="Times New Roman" w:hAnsi="Times New Roman"/>
          <w:sz w:val="20"/>
        </w:rPr>
        <w:t xml:space="preserve"> and applied out-of-fold to ℐ</w:t>
      </w:r>
      <w:r>
        <w:rPr>
          <w:rFonts w:ascii="Times New Roman" w:hAnsi="Times New Roman"/>
          <w:sz w:val="20"/>
          <w:vertAlign w:val="subscript"/>
        </w:rPr>
        <w:t>val</w:t>
      </w:r>
      <w:r>
        <w:rPr>
          <w:rFonts w:ascii="Times New Roman" w:hAnsi="Times New Roman"/>
          <w:sz w:val="20"/>
          <w:vertAlign w:val="superscript"/>
        </w:rPr>
        <w:t>(k)</w:t>
      </w:r>
      <w:r>
        <w:rPr>
          <w:rFonts w:ascii="Times New Roman" w:hAnsi="Times New Roman"/>
          <w:sz w:val="20"/>
        </w:rPr>
        <w:t>.</w:t>
      </w:r>
    </w:p>
    <w:p>
      <w:pPr>
        <w:jc w:val="both"/>
      </w:pPr>
      <w:r>
        <w:rPr>
          <w:rFonts w:ascii="Times New Roman" w:hAnsi="Times New Roman"/>
          <w:sz w:val="20"/>
        </w:rPr>
        <w:t>- Pillar 4 (Unsupervised Representation Isolation): Both unsupervised k-means clustering with four cluster centroids and principal component analysis retaining three components projection matrices are estimated strictly on training fold observations.</w:t>
      </w:r>
    </w:p>
    <w:p>
      <w:pPr>
        <w:jc w:val="both"/>
      </w:pPr>
      <w:r>
        <w:rPr>
          <w:rFonts w:ascii="Times New Roman" w:hAnsi="Times New Roman"/>
          <w:sz w:val="20"/>
        </w:rPr>
        <w:t>- Pillar 5 (Feature Selection &amp; Lookahead Integrity): Tree-gain feature importance ranking (tree-gain feature importance selection) is executed without accessing validation target labels, pruning the 246 candidate features down to the top K</w:t>
      </w:r>
      <w:r>
        <w:rPr>
          <w:rFonts w:ascii="Times New Roman" w:hAnsi="Times New Roman"/>
          <w:sz w:val="20"/>
          <w:vertAlign w:val="subscript"/>
        </w:rPr>
        <w:t>top</w:t>
      </w:r>
      <w:r>
        <w:rPr>
          <w:rFonts w:ascii="Times New Roman" w:hAnsi="Times New Roman"/>
          <w:sz w:val="20"/>
        </w:rPr>
        <w:t xml:space="preserve"> = 100 features (champion feature subset) that capture 99.1% of cumulative information gain whilst eliminating 146 collinear or high-noise variables.</w:t>
      </w:r>
    </w:p>
    <w:p>
      <w:pPr>
        <w:spacing w:before="180" w:after="60"/>
      </w:pPr>
      <w:r>
        <w:rPr>
          <w:rFonts w:ascii="Times New Roman" w:hAnsi="Times New Roman"/>
          <w:b/>
          <w:sz w:val="22"/>
        </w:rPr>
        <w:t>2.6 Supervised ensemble architecture and interpretability framework</w:t>
      </w:r>
    </w:p>
    <w:p>
      <w:pPr>
        <w:jc w:val="both"/>
      </w:pPr>
      <w:r>
        <w:rPr>
          <w:rFonts w:ascii="Times New Roman" w:hAnsi="Times New Roman"/>
          <w:sz w:val="20"/>
        </w:rPr>
        <w:t>We benchmark four supervised regression architectures across the identical five-fold spatial cross-validation splits:</w:t>
      </w:r>
    </w:p>
    <w:p>
      <w:pPr>
        <w:jc w:val="both"/>
      </w:pPr>
      <w:r>
        <w:rPr>
          <w:rFonts w:ascii="Times New Roman" w:hAnsi="Times New Roman"/>
          <w:sz w:val="20"/>
        </w:rPr>
        <w:t xml:space="preserve">1. Light Gradient Boosting Machine (LightGBM): A histogram-based gradient boosting framework utilizing leaf-wise (best-first) tree growth with Gradient-based One-Side Sampling (GOSS) and Exclusive Feature Bundling (EFB), configured with </w:t>
      </w:r>
      <w:r>
        <w:rPr>
          <w:rFonts w:ascii="Times New Roman" w:hAnsi="Times New Roman"/>
          <w:sz w:val="20"/>
        </w:rPr>
        <w:t>num</w:t>
      </w:r>
      <w:r>
        <w:rPr>
          <w:rFonts w:ascii="Times New Roman" w:hAnsi="Times New Roman"/>
          <w:sz w:val="20"/>
          <w:vertAlign w:val="subscript"/>
        </w:rPr>
        <w:t>leaves</w:t>
      </w:r>
      <w:r>
        <w:rPr>
          <w:rFonts w:ascii="Times New Roman" w:hAnsi="Times New Roman"/>
          <w:sz w:val="20"/>
        </w:rPr>
        <w:t xml:space="preserve"> = 35, </w:t>
      </w:r>
      <w:r>
        <w:rPr>
          <w:rFonts w:ascii="Times New Roman" w:hAnsi="Times New Roman"/>
          <w:sz w:val="20"/>
        </w:rPr>
        <w:t>max</w:t>
      </w:r>
      <w:r>
        <w:rPr>
          <w:rFonts w:ascii="Times New Roman" w:hAnsi="Times New Roman"/>
          <w:sz w:val="20"/>
          <w:vertAlign w:val="subscript"/>
        </w:rPr>
        <w:t>depth</w:t>
      </w:r>
      <w:r>
        <w:rPr>
          <w:rFonts w:ascii="Times New Roman" w:hAnsi="Times New Roman"/>
          <w:sz w:val="20"/>
        </w:rPr>
        <w:t xml:space="preserve"> = 6, learning rate η = 0.03, subsample = 0.80, </w:t>
      </w:r>
      <w:r>
        <w:rPr>
          <w:rFonts w:ascii="Times New Roman" w:hAnsi="Times New Roman"/>
          <w:sz w:val="20"/>
        </w:rPr>
        <w:t>colsample</w:t>
      </w:r>
      <w:r>
        <w:rPr>
          <w:rFonts w:ascii="Times New Roman" w:hAnsi="Times New Roman"/>
          <w:sz w:val="20"/>
          <w:vertAlign w:val="subscript"/>
        </w:rPr>
        <w:t>bytree</w:t>
      </w:r>
      <w:r>
        <w:rPr>
          <w:rFonts w:ascii="Times New Roman" w:hAnsi="Times New Roman"/>
          <w:sz w:val="20"/>
        </w:rPr>
        <w:t xml:space="preserve"> = 0.70, and L</w:t>
      </w:r>
      <w:r>
        <w:rPr>
          <w:rFonts w:ascii="Times New Roman" w:hAnsi="Times New Roman"/>
          <w:sz w:val="20"/>
          <w:vertAlign w:val="subscript"/>
        </w:rPr>
        <w:t>1</w:t>
      </w:r>
      <w:r>
        <w:rPr>
          <w:rFonts w:ascii="Times New Roman" w:hAnsi="Times New Roman"/>
          <w:sz w:val="20"/>
        </w:rPr>
        <w:t>/L</w:t>
      </w:r>
      <w:r>
        <w:rPr>
          <w:rFonts w:ascii="Times New Roman" w:hAnsi="Times New Roman"/>
          <w:sz w:val="20"/>
          <w:vertAlign w:val="subscript"/>
        </w:rPr>
        <w:t>2</w:t>
      </w:r>
      <w:r>
        <w:rPr>
          <w:rFonts w:ascii="Times New Roman" w:hAnsi="Times New Roman"/>
          <w:sz w:val="20"/>
        </w:rPr>
        <w:t xml:space="preserve"> regularisation α = 0.1, λ = 1.0 (Ke et al., 2017);</w:t>
      </w:r>
    </w:p>
    <w:p>
      <w:pPr>
        <w:jc w:val="both"/>
      </w:pPr>
      <w:r>
        <w:rPr>
          <w:rFonts w:ascii="Times New Roman" w:hAnsi="Times New Roman"/>
          <w:sz w:val="20"/>
        </w:rPr>
        <w:t xml:space="preserve">2. Extreme Gradient Boosting (XGBoost): A depth-wise regularised second-order Taylor-expansion gradient booster configured with </w:t>
      </w:r>
      <w:r>
        <w:rPr>
          <w:rFonts w:ascii="Times New Roman" w:hAnsi="Times New Roman"/>
          <w:sz w:val="20"/>
        </w:rPr>
        <w:t>max</w:t>
      </w:r>
      <w:r>
        <w:rPr>
          <w:rFonts w:ascii="Times New Roman" w:hAnsi="Times New Roman"/>
          <w:sz w:val="20"/>
          <w:vertAlign w:val="subscript"/>
        </w:rPr>
        <w:t>depth</w:t>
      </w:r>
      <w:r>
        <w:rPr>
          <w:rFonts w:ascii="Times New Roman" w:hAnsi="Times New Roman"/>
          <w:sz w:val="20"/>
        </w:rPr>
        <w:t xml:space="preserve"> = 5, learning rate η = 0.03, subsample = 0.80, </w:t>
      </w:r>
      <w:r>
        <w:rPr>
          <w:rFonts w:ascii="Times New Roman" w:hAnsi="Times New Roman"/>
          <w:sz w:val="20"/>
        </w:rPr>
        <w:t>colsample</w:t>
      </w:r>
      <w:r>
        <w:rPr>
          <w:rFonts w:ascii="Times New Roman" w:hAnsi="Times New Roman"/>
          <w:sz w:val="20"/>
          <w:vertAlign w:val="subscript"/>
        </w:rPr>
        <w:t>bytree</w:t>
      </w:r>
      <w:r>
        <w:rPr>
          <w:rFonts w:ascii="Times New Roman" w:hAnsi="Times New Roman"/>
          <w:sz w:val="20"/>
        </w:rPr>
        <w:t xml:space="preserve"> = 0.70, and λ = 1.5 (Chen &amp; Guestrin, 2016);</w:t>
      </w:r>
    </w:p>
    <w:p>
      <w:pPr>
        <w:jc w:val="both"/>
      </w:pPr>
      <w:r>
        <w:rPr>
          <w:rFonts w:ascii="Times New Roman" w:hAnsi="Times New Roman"/>
          <w:sz w:val="20"/>
        </w:rPr>
        <w:t>3. Random Forest Regressor (RF): A variance-reducing bootstrap aggregation (bagging) ensemble of 400 deep decision trees trained with a maximum depth of 16 and square-root feature subsampling (Breiman, 2001); and</w:t>
      </w:r>
    </w:p>
    <w:p>
      <w:pPr>
        <w:jc w:val="both"/>
      </w:pPr>
      <w:r>
        <w:rPr>
          <w:rFonts w:ascii="Times New Roman" w:hAnsi="Times New Roman"/>
          <w:sz w:val="20"/>
        </w:rPr>
        <w:t>4. Champion Soft-Voting Weighted Ensemble: A convex linear combination of the three diverse base learners designed to minimise spatial generalisation variance (Breiman, 1996; Dietterich, 2000):</w:t>
      </w:r>
    </w:p>
    <w:p>
      <w:pPr>
        <w:spacing w:before="120" w:after="120"/>
        <w:jc w:val="center"/>
      </w:pPr>
      <m:oMathPara>
        <m:oMath>
          <m:sSubSup>
            <m:e>
              <m:r>
                <m:t>Ŷ</m:t>
              </m:r>
            </m:e>
            <m:sub>
              <m:r>
                <m:rPr>
                  <m:sty m:val="p"/>
                </m:rPr>
                <m:t>vol,i</m:t>
              </m:r>
            </m:sub>
            <m:sup>
              <m:r>
                <m:rPr>
                  <m:sty m:val="p"/>
                </m:rPr>
                <m:t>ens</m:t>
              </m:r>
            </m:sup>
          </m:sSubSup>
          <m:r>
            <m:rPr>
              <m:sty m:val="p"/>
            </m:rPr>
            <m:t> = clip(0.50 </m:t>
          </m:r>
          <m:sSub>
            <m:e>
              <m:r>
                <m:t>f̂</m:t>
              </m:r>
            </m:e>
            <m:sub>
              <m:r>
                <m:rPr>
                  <m:sty m:val="p"/>
                </m:rPr>
                <m:t>LGB</m:t>
              </m:r>
            </m:sub>
          </m:sSub>
          <m:r>
            <m:rPr>
              <m:sty m:val="p"/>
            </m:rPr>
            <m:t>(x) + 0.40 </m:t>
          </m:r>
          <m:sSub>
            <m:e>
              <m:r>
                <m:t>f̂</m:t>
              </m:r>
            </m:e>
            <m:sub>
              <m:r>
                <m:rPr>
                  <m:sty m:val="p"/>
                </m:rPr>
                <m:t>XGB</m:t>
              </m:r>
            </m:sub>
          </m:sSub>
          <m:r>
            <m:rPr>
              <m:sty m:val="p"/>
            </m:rPr>
            <m:t>(x) + 0.10 </m:t>
          </m:r>
          <m:sSub>
            <m:e>
              <m:r>
                <m:t>f̂</m:t>
              </m:r>
            </m:e>
            <m:sub>
              <m:r>
                <m:rPr>
                  <m:sty m:val="p"/>
                </m:rPr>
                <m:t>RF</m:t>
              </m:r>
            </m:sub>
          </m:sSub>
          <m:r>
            <m:rPr>
              <m:sty m:val="p"/>
            </m:rPr>
            <m:t>(x), 0.0, 2.0)   (11)</m:t>
          </m:r>
        </m:oMath>
      </m:oMathPara>
    </w:p>
    <w:p>
      <w:pPr>
        <w:jc w:val="both"/>
      </w:pPr>
      <w:r>
        <w:rPr>
          <w:rFonts w:ascii="Times New Roman" w:hAnsi="Times New Roman"/>
          <w:sz w:val="20"/>
        </w:rPr>
        <w:t>with simplex weights w</w:t>
      </w:r>
      <w:r>
        <w:rPr>
          <w:rFonts w:ascii="Times New Roman" w:hAnsi="Times New Roman"/>
          <w:sz w:val="20"/>
          <w:vertAlign w:val="subscript"/>
        </w:rPr>
        <w:t>LGB</w:t>
      </w:r>
      <w:r>
        <w:rPr>
          <w:rFonts w:ascii="Times New Roman" w:hAnsi="Times New Roman"/>
          <w:sz w:val="20"/>
        </w:rPr>
        <w:t xml:space="preserve"> = 0.50, w</w:t>
      </w:r>
      <w:r>
        <w:rPr>
          <w:rFonts w:ascii="Times New Roman" w:hAnsi="Times New Roman"/>
          <w:sz w:val="20"/>
          <w:vertAlign w:val="subscript"/>
        </w:rPr>
        <w:t>XGB</w:t>
      </w:r>
      <w:r>
        <w:rPr>
          <w:rFonts w:ascii="Times New Roman" w:hAnsi="Times New Roman"/>
          <w:sz w:val="20"/>
        </w:rPr>
        <w:t xml:space="preserve"> = 0.40, and w</w:t>
      </w:r>
      <w:r>
        <w:rPr>
          <w:rFonts w:ascii="Times New Roman" w:hAnsi="Times New Roman"/>
          <w:sz w:val="20"/>
          <w:vertAlign w:val="subscript"/>
        </w:rPr>
        <w:t>RF</w:t>
      </w:r>
      <w:r>
        <w:rPr>
          <w:rFonts w:ascii="Times New Roman" w:hAnsi="Times New Roman"/>
          <w:sz w:val="20"/>
        </w:rPr>
        <w:t xml:space="preserve"> = 0.10 selected via out-of-fold simplex grid optimisation on training partitions. Model predictive accuracy is evaluated across all out-of-fold spatial predictions using Root Mean Squared Error (RMSE), Mean Absolute Error (MAE), and the out-of-fold Coefficient of Determination (R</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To ensure transparent, game-theoretically consistent attribution of non-linear predictions, we compute exact Tree-based Shapley Additive Explanations (TreeSHAP) (Lundberg &amp; Lee, 2017; Lundberg et al., 2020), which decompose each household's prediction f̂(x</w:t>
      </w:r>
      <w:r>
        <w:rPr>
          <w:rFonts w:ascii="Times New Roman" w:hAnsi="Times New Roman"/>
          <w:sz w:val="20"/>
          <w:vertAlign w:val="subscript"/>
        </w:rPr>
        <w:t>i</w:t>
      </w:r>
      <w:r>
        <w:rPr>
          <w:rFonts w:ascii="Times New Roman" w:hAnsi="Times New Roman"/>
          <w:sz w:val="20"/>
        </w:rPr>
        <w:t>) into the expected baseline volatility E[f(X)] plus exact marginal feature contributions ϕ</w:t>
      </w:r>
      <w:r>
        <w:rPr>
          <w:rFonts w:ascii="Times New Roman" w:hAnsi="Times New Roman"/>
          <w:sz w:val="20"/>
          <w:vertAlign w:val="subscript"/>
        </w:rPr>
        <w:t>i</w:t>
      </w:r>
      <w:r>
        <w:rPr>
          <w:rFonts w:ascii="Times New Roman" w:hAnsi="Times New Roman"/>
          <w:sz w:val="20"/>
        </w:rPr>
        <w:t>,ⱼ:</w:t>
      </w:r>
    </w:p>
    <w:p>
      <w:pPr>
        <w:spacing w:before="120" w:after="120"/>
        <w:jc w:val="center"/>
      </w:pPr>
      <m:oMathPara>
        <m:oMath>
          <m:r>
            <m:rPr>
              <m:sty m:val="p"/>
            </m:rPr>
            <m:t>f̂(x) = E[f(X)] + </m:t>
          </m:r>
          <m:nary>
            <m:naryPr>
              <m:chr m:val="∑"/>
              <m:limLoc m:val="undOvr"/>
            </m:naryPr>
            <m:sub>
              <m:r>
                <m:t>j=1</m:t>
              </m:r>
            </m:sub>
            <m:sup>
              <m:r>
                <m:t>M</m:t>
              </m:r>
            </m:sup>
            <m:e>
              <m:sSub>
                <m:e>
                  <m:r>
                    <m:t>ϕ</m:t>
                  </m:r>
                </m:e>
                <m:sub>
                  <m:r>
                    <m:t>i,j</m:t>
                  </m:r>
                </m:sub>
              </m:sSub>
            </m:e>
          </m:nary>
          <m:r>
            <m:rPr>
              <m:sty m:val="p"/>
            </m:rPr>
            <m:t>   (12)</m:t>
          </m:r>
        </m:oMath>
      </m:oMathPara>
    </w:p>
    <w:p>
      <w:pPr>
        <w:jc w:val="both"/>
      </w:pPr>
      <w:r>
        <w:rPr>
          <w:rFonts w:ascii="Times New Roman" w:hAnsi="Times New Roman"/>
          <w:sz w:val="20"/>
        </w:rPr>
        <w:t>All data processing, spatial cross-validation, statistical testing, and publication graphics were implemented in Python 3.11 using NumPy (v1.26; Harris et al., 2020), pandas (v2.2; McKinney, 2010), SciPy (v1.12; Virtanen et al., 2020), scikit-learn (v1.4; Pedregosa et al., 2011), LightGBM (v4.3; Ke et al., 2017), XGBoost (v2.0; Chen &amp; Guestrin, 2016), and Matplotlib (v3.8; Hunter, 2007).</w:t>
      </w:r>
    </w:p>
    <w:p>
      <w:pPr>
        <w:spacing w:before="240" w:after="80"/>
      </w:pPr>
      <w:r>
        <w:rPr>
          <w:rFonts w:ascii="Times New Roman" w:hAnsi="Times New Roman"/>
          <w:b/>
          <w:sz w:val="24"/>
        </w:rPr>
        <w:t>3 Results</w:t>
      </w:r>
    </w:p>
    <w:p>
      <w:pPr>
        <w:spacing w:before="180" w:after="60"/>
      </w:pPr>
      <w:r>
        <w:rPr>
          <w:rFonts w:ascii="Times New Roman" w:hAnsi="Times New Roman"/>
          <w:b/>
          <w:sz w:val="22"/>
        </w:rPr>
        <w:t>3.1 Empirical distribution of yield volatility and seasonal dynamics</w:t>
      </w:r>
    </w:p>
    <w:p>
      <w:pPr>
        <w:jc w:val="both"/>
      </w:pPr>
      <w:r>
        <w:rPr>
          <w:rFonts w:ascii="Times New Roman" w:hAnsi="Times New Roman"/>
          <w:sz w:val="20"/>
        </w:rPr>
        <w:t>Descriptive summary statistics across the N = 4,564 bimodal smallholder holdings (Table 1) reveal pronounced structural skewness in farm scale, input intensification, and seasonal production outcomes. The target Yield Volatility Index (Y</w:t>
      </w:r>
      <w:r>
        <w:rPr>
          <w:rFonts w:ascii="Times New Roman" w:hAnsi="Times New Roman"/>
          <w:sz w:val="20"/>
          <w:vertAlign w:val="subscript"/>
        </w:rPr>
        <w:t>vol</w:t>
      </w:r>
      <w:r>
        <w:rPr>
          <w:rFonts w:ascii="Times New Roman" w:hAnsi="Times New Roman"/>
          <w:sz w:val="20"/>
        </w:rPr>
        <w:t>) exhibits a sample mean of 1.084 ± 0.727 (standard deviation) and a median of 1.014, with an interquartile range (IQR) spanning from Q</w:t>
      </w:r>
      <w:r>
        <w:rPr>
          <w:rFonts w:ascii="Times New Roman" w:hAnsi="Times New Roman"/>
          <w:sz w:val="20"/>
          <w:vertAlign w:val="subscript"/>
        </w:rPr>
        <w:t>1</w:t>
      </w:r>
      <w:r>
        <w:rPr>
          <w:rFonts w:ascii="Times New Roman" w:hAnsi="Times New Roman"/>
          <w:sz w:val="20"/>
        </w:rPr>
        <w:t xml:space="preserve"> = 0.400 to Q</w:t>
      </w:r>
      <w:r>
        <w:rPr>
          <w:rFonts w:ascii="Times New Roman" w:hAnsi="Times New Roman"/>
          <w:sz w:val="20"/>
          <w:vertAlign w:val="subscript"/>
        </w:rPr>
        <w:t>3</w:t>
      </w:r>
      <w:r>
        <w:rPr>
          <w:rFonts w:ascii="Times New Roman" w:hAnsi="Times New Roman"/>
          <w:sz w:val="20"/>
        </w:rPr>
        <w:t xml:space="preserve"> = 2.000. Area-weighted seasonal crop yields average 930.13 ± 2,057.96 kg ha</w:t>
      </w:r>
      <w:r>
        <w:rPr>
          <w:rFonts w:ascii="Times New Roman" w:hAnsi="Times New Roman"/>
          <w:sz w:val="20"/>
          <w:vertAlign w:val="superscript"/>
        </w:rPr>
        <w:t>-1</w:t>
      </w:r>
      <w:r>
        <w:rPr>
          <w:rFonts w:ascii="Times New Roman" w:hAnsi="Times New Roman"/>
          <w:sz w:val="20"/>
        </w:rPr>
        <w:t xml:space="preserve"> (median 396.95 kg ha</w:t>
      </w:r>
      <w:r>
        <w:rPr>
          <w:rFonts w:ascii="Times New Roman" w:hAnsi="Times New Roman"/>
          <w:sz w:val="20"/>
          <w:vertAlign w:val="superscript"/>
        </w:rPr>
        <w:t>-1</w:t>
      </w:r>
      <w:r>
        <w:rPr>
          <w:rFonts w:ascii="Times New Roman" w:hAnsi="Times New Roman"/>
          <w:sz w:val="20"/>
        </w:rPr>
        <w:t>, IQR [123.79, 990.10] kg ha</w:t>
      </w:r>
      <w:r>
        <w:rPr>
          <w:rFonts w:ascii="Times New Roman" w:hAnsi="Times New Roman"/>
          <w:sz w:val="20"/>
          <w:vertAlign w:val="superscript"/>
        </w:rPr>
        <w:t>-1</w:t>
      </w:r>
      <w:r>
        <w:rPr>
          <w:rFonts w:ascii="Times New Roman" w:hAnsi="Times New Roman"/>
          <w:sz w:val="20"/>
        </w:rPr>
        <w:t xml:space="preserve">) during the primary </w:t>
      </w:r>
      <w:r>
        <w:rPr>
          <w:rFonts w:ascii="Times New Roman" w:hAnsi="Times New Roman"/>
          <w:i/>
          <w:sz w:val="20"/>
        </w:rPr>
        <w:t>Masika</w:t>
      </w:r>
      <w:r>
        <w:rPr>
          <w:rFonts w:ascii="Times New Roman" w:hAnsi="Times New Roman"/>
          <w:sz w:val="20"/>
        </w:rPr>
        <w:t xml:space="preserve"> long rains and 900.80 ± 1,952.16 kg ha</w:t>
      </w:r>
      <w:r>
        <w:rPr>
          <w:rFonts w:ascii="Times New Roman" w:hAnsi="Times New Roman"/>
          <w:sz w:val="20"/>
          <w:vertAlign w:val="superscript"/>
        </w:rPr>
        <w:t>-1</w:t>
      </w:r>
      <w:r>
        <w:rPr>
          <w:rFonts w:ascii="Times New Roman" w:hAnsi="Times New Roman"/>
          <w:sz w:val="20"/>
        </w:rPr>
        <w:t xml:space="preserve"> (median 414.34 kg ha</w:t>
      </w:r>
      <w:r>
        <w:rPr>
          <w:rFonts w:ascii="Times New Roman" w:hAnsi="Times New Roman"/>
          <w:sz w:val="20"/>
          <w:vertAlign w:val="superscript"/>
        </w:rPr>
        <w:t>-1</w:t>
      </w:r>
      <w:r>
        <w:rPr>
          <w:rFonts w:ascii="Times New Roman" w:hAnsi="Times New Roman"/>
          <w:sz w:val="20"/>
        </w:rPr>
        <w:t>, IQR [123.58, 998.04] kg ha</w:t>
      </w:r>
      <w:r>
        <w:rPr>
          <w:rFonts w:ascii="Times New Roman" w:hAnsi="Times New Roman"/>
          <w:sz w:val="20"/>
          <w:vertAlign w:val="superscript"/>
        </w:rPr>
        <w:t>-1</w:t>
      </w:r>
      <w:r>
        <w:rPr>
          <w:rFonts w:ascii="Times New Roman" w:hAnsi="Times New Roman"/>
          <w:sz w:val="20"/>
        </w:rPr>
        <w:t xml:space="preserve">) during the secondary </w:t>
      </w:r>
      <w:r>
        <w:rPr>
          <w:rFonts w:ascii="Times New Roman" w:hAnsi="Times New Roman"/>
          <w:i/>
          <w:sz w:val="20"/>
        </w:rPr>
        <w:t>Vuli</w:t>
      </w:r>
      <w:r>
        <w:rPr>
          <w:rFonts w:ascii="Times New Roman" w:hAnsi="Times New Roman"/>
          <w:sz w:val="20"/>
        </w:rPr>
        <w:t xml:space="preserve"> short rains. Despite similar national seasonal medians, the absolute inter-seasonal yield difference within individual holdings averages 883.52 ± 2,170.16 kg ha</w:t>
      </w:r>
      <w:r>
        <w:rPr>
          <w:rFonts w:ascii="Times New Roman" w:hAnsi="Times New Roman"/>
          <w:sz w:val="20"/>
          <w:vertAlign w:val="superscript"/>
        </w:rPr>
        <w:t>-1</w:t>
      </w:r>
      <w:r>
        <w:rPr>
          <w:rFonts w:ascii="Times New Roman" w:hAnsi="Times New Roman"/>
          <w:sz w:val="20"/>
        </w:rPr>
        <w:t xml:space="preserve"> (median 353.58 kg ha</w:t>
      </w:r>
      <w:r>
        <w:rPr>
          <w:rFonts w:ascii="Times New Roman" w:hAnsi="Times New Roman"/>
          <w:sz w:val="20"/>
          <w:vertAlign w:val="superscript"/>
        </w:rPr>
        <w:t>-1</w:t>
      </w:r>
      <w:r>
        <w:rPr>
          <w:rFonts w:ascii="Times New Roman" w:hAnsi="Times New Roman"/>
          <w:sz w:val="20"/>
        </w:rPr>
        <w:t>), demonstrating that individual farms experience dramatic yield swings between consecutive harvests even when aggregate national seasonal averages appear stable.</w:t>
      </w:r>
    </w:p>
    <w:p>
      <w:pPr>
        <w:spacing w:before="80" w:after="120"/>
      </w:pPr>
      <w:r>
        <w:rPr>
          <w:rFonts w:ascii="Times New Roman" w:hAnsi="Times New Roman"/>
          <w:sz w:val="18"/>
        </w:rPr>
        <w:t>Table 1 Summary statistics of smallholder agricultural holdings and seasonal agronomic dynamics (N = 4,564)</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Variable Description</w:t>
            </w:r>
          </w:p>
        </w:tc>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Domain Category</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Observations (N)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Std Dev</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Q1 (25%)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Median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Q3 (75%)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Min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Max</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Yield Volatility Index (Y</w:t>
            </w:r>
            <w:r>
              <w:rPr>
                <w:rFonts w:ascii="Times New Roman" w:hAnsi="Times New Roman"/>
                <w:sz w:val="17"/>
                <w:vertAlign w:val="subscript"/>
              </w:rPr>
              <w:t>vol</w:t>
            </w:r>
            <w:r>
              <w:rPr>
                <w:rFonts w:ascii="Times New Roman" w:hAnsi="Times New Roman"/>
                <w:sz w:val="17"/>
              </w:rPr>
              <w: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Target Variable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1.084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0.727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1.014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Harvest Yield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930.13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2,057.96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123.79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396.95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990.10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64,126.85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Vuli Harvest Yield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900.80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1,952.16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123.58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414.34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998.04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59,394.25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Seasonal Yield Difference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883.52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2,170.16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133.50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353.58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872.51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62,855.23</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Total Cultivated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16.646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140.55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4.047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3,723.11</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Plot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8.285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70.309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2.023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1,861.55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Vuli Plot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8.361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70.320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0.994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2.030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1,861.55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Inorganic Fertiliser Applied (kg)</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Input Intensification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1,086.25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41,528.35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2,733,766.67</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Pesticide Applied (L or kg)</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Input Intensification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118.26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1,613.45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5.638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96,500.00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Shannon Crop Diversity Index</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Diversification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0.180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0.310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0.342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1.688</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Plot Fragmentation (Coefficient of Variation)</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Plot Heterogeneity</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0.305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0.115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0.552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3.152</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Tropical Livestock Units (TLU)</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Asset Buffers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4.969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23.666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0.040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0.360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4.737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1,112.47</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Head of Household Age (Years)</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Household Demographics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48.715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17.535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106.00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Available Adult Labour Count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Labour Dynamics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2.817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1.766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15.000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Harvest Percentage (%)</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Harvest Outcomes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66.664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31.522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48.000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Planting Month Difference (Masika – Vuli, Months)</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Agronomic Timing</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-4.282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3.708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10.000</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vertAlign w:val="superscript"/>
        </w:rPr>
        <w:t>a</w:t>
      </w:r>
      <w:r>
        <w:rPr>
          <w:rFonts w:ascii="Times New Roman" w:hAnsi="Times New Roman"/>
          <w:sz w:val="18"/>
        </w:rPr>
        <w:t xml:space="preserve">Statistics computed across all N = 4,564 bimodal agricultural holdings in the 2024/2025 Tanzania NBS Annual Agricultural Sample Survey (AASS). </w:t>
      </w:r>
      <w:r>
        <w:rPr>
          <w:rFonts w:ascii="Times New Roman" w:hAnsi="Times New Roman"/>
          <w:sz w:val="18"/>
          <w:vertAlign w:val="superscript"/>
        </w:rPr>
        <w:t>b</w:t>
      </w:r>
      <w:r>
        <w:rPr>
          <w:rFonts w:ascii="Times New Roman" w:hAnsi="Times New Roman"/>
          <w:sz w:val="18"/>
        </w:rPr>
        <w:t>Y</w:t>
      </w:r>
      <w:r>
        <w:rPr>
          <w:rFonts w:ascii="Times New Roman" w:hAnsi="Times New Roman"/>
          <w:sz w:val="18"/>
          <w:vertAlign w:val="subscript"/>
        </w:rPr>
        <w:t>vol</w:t>
      </w:r>
      <w:r>
        <w:rPr>
          <w:rFonts w:ascii="Times New Roman" w:hAnsi="Times New Roman"/>
          <w:sz w:val="18"/>
        </w:rPr>
        <w:t xml:space="preserve"> ∈ [0, 2] denotes the bounded inter-seasonal Yield Volatility Index defined in Equation (3); TLU denotes Tropical Livestock Units (1 TLU = 250 kg live metabolic weight equivalent).</w:t>
      </w:r>
    </w:p>
    <w:p>
      <w:pPr>
        <w:jc w:val="both"/>
      </w:pPr>
      <w:r>
        <w:rPr>
          <w:rFonts w:ascii="Times New Roman" w:hAnsi="Times New Roman"/>
          <w:sz w:val="20"/>
        </w:rPr>
        <w:t>The empirical probability density of Y</w:t>
      </w:r>
      <w:r>
        <w:rPr>
          <w:rFonts w:ascii="Times New Roman" w:hAnsi="Times New Roman"/>
          <w:sz w:val="20"/>
          <w:vertAlign w:val="subscript"/>
        </w:rPr>
        <w:t>vol</w:t>
      </w:r>
      <w:r>
        <w:rPr>
          <w:rFonts w:ascii="Times New Roman" w:hAnsi="Times New Roman"/>
          <w:sz w:val="20"/>
        </w:rPr>
        <w:t xml:space="preserve"> (Fig. 1a) is distinctly bimodal, characterised by a broad interior mode centred near Y</w:t>
      </w:r>
      <w:r>
        <w:rPr>
          <w:rFonts w:ascii="Times New Roman" w:hAnsi="Times New Roman"/>
          <w:sz w:val="20"/>
          <w:vertAlign w:val="subscript"/>
        </w:rPr>
        <w:t>vol</w:t>
      </w:r>
      <w:r>
        <w:rPr>
          <w:rFonts w:ascii="Times New Roman" w:hAnsi="Times New Roman"/>
          <w:sz w:val="20"/>
        </w:rPr>
        <w:t xml:space="preserve"> ≈ 0.45 (representing diversified holdings maintaining moderate seasonal yield fluctuations) and a sharp upper boundary concentration at Y</w:t>
      </w:r>
      <w:r>
        <w:rPr>
          <w:rFonts w:ascii="Times New Roman" w:hAnsi="Times New Roman"/>
          <w:sz w:val="20"/>
          <w:vertAlign w:val="subscript"/>
        </w:rPr>
        <w:t>vol</w:t>
      </w:r>
      <w:r>
        <w:rPr>
          <w:rFonts w:ascii="Times New Roman" w:hAnsi="Times New Roman"/>
          <w:sz w:val="20"/>
        </w:rPr>
        <w:t xml:space="preserve"> = 2.00 (representing holdings that suffered complete crop failure in one of the two seasons). Cross-seasonal log-yield parity analysis (Fig. 1b) illustrates that holdings clustering along the 1:1 seasonal parity diagonal achieve low volatility (Y</w:t>
      </w:r>
      <w:r>
        <w:rPr>
          <w:rFonts w:ascii="Times New Roman" w:hAnsi="Times New Roman"/>
          <w:sz w:val="20"/>
          <w:vertAlign w:val="subscript"/>
        </w:rPr>
        <w:t>vol</w:t>
      </w:r>
      <w:r>
        <w:rPr>
          <w:rFonts w:ascii="Times New Roman" w:hAnsi="Times New Roman"/>
          <w:sz w:val="20"/>
        </w:rPr>
        <w:t xml:space="preserve"> &lt; 0.40), whereas points along the horizontal and vertical axes correspond to uni-seasonal harvest collapse. Stratifying holdings across four landholding size classes (Fig. 1c) confirms an inverse relationship between farm scale and production instability: marginal sub-subsistence holdings cultivating &lt; 0.5 ha exhibit the highest median volatility and widest dispersion, whereas medium (1.5–3.5 ha) and commercial (&gt; 3.5 ha) holdings benefit from spatial parcel averaging across toposequences.</w:t>
      </w:r>
    </w:p>
    <w:p>
      <w:pPr>
        <w:jc w:val="center"/>
      </w:pPr>
      <w:r>
        <w:drawing>
          <wp:inline xmlns:a="http://schemas.openxmlformats.org/drawingml/2006/main" xmlns:pic="http://schemas.openxmlformats.org/drawingml/2006/picture">
            <wp:extent cx="5760720" cy="2249105"/>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11"/>
                    <a:stretch>
                      <a:fillRect/>
                    </a:stretch>
                  </pic:blipFill>
                  <pic:spPr>
                    <a:xfrm>
                      <a:off x="0" y="0"/>
                      <a:ext cx="5760720" cy="2249105"/>
                    </a:xfrm>
                    <a:prstGeom prst="rect"/>
                  </pic:spPr>
                </pic:pic>
              </a:graphicData>
            </a:graphic>
          </wp:inline>
        </w:drawing>
      </w:r>
    </w:p>
    <w:p>
      <w:pPr>
        <w:spacing w:before="80" w:after="120"/>
      </w:pPr>
      <w:r>
        <w:rPr>
          <w:rFonts w:ascii="Times New Roman" w:hAnsi="Times New Roman"/>
          <w:sz w:val="18"/>
        </w:rPr>
        <w:t>Fig. 1 Empirical distribution of the Yield Volatility Index (Y</w:t>
      </w:r>
      <w:r>
        <w:rPr>
          <w:rFonts w:ascii="Times New Roman" w:hAnsi="Times New Roman"/>
          <w:sz w:val="18"/>
          <w:vertAlign w:val="subscript"/>
        </w:rPr>
        <w:t>vol</w:t>
      </w:r>
      <w:r>
        <w:rPr>
          <w:rFonts w:ascii="Times New Roman" w:hAnsi="Times New Roman"/>
          <w:sz w:val="18"/>
        </w:rPr>
        <w:t>) and cross-seasonal production dynamics across N = 4,564 Tanzanian smallholder holdings: (a) histogram and Gaussian kernel density estimate (KDE) of Y</w:t>
      </w:r>
      <w:r>
        <w:rPr>
          <w:rFonts w:ascii="Times New Roman" w:hAnsi="Times New Roman"/>
          <w:sz w:val="18"/>
          <w:vertAlign w:val="subscript"/>
        </w:rPr>
        <w:t>vol</w:t>
      </w:r>
      <w:r>
        <w:rPr>
          <w:rFonts w:ascii="Times New Roman" w:hAnsi="Times New Roman"/>
          <w:sz w:val="18"/>
        </w:rPr>
        <w:t xml:space="preserve"> ∈ [0, 2] indicating median (1.01) and interquartile range ([0.40, 2.00]); (b) joint log-yield parity scatter between </w:t>
      </w:r>
      <w:r>
        <w:rPr>
          <w:rFonts w:ascii="Times New Roman" w:hAnsi="Times New Roman"/>
          <w:i/>
          <w:sz w:val="18"/>
        </w:rPr>
        <w:t>Masika</w:t>
      </w:r>
      <w:r>
        <w:rPr>
          <w:rFonts w:ascii="Times New Roman" w:hAnsi="Times New Roman"/>
          <w:sz w:val="18"/>
        </w:rPr>
        <w:t xml:space="preserve"> and </w:t>
      </w:r>
      <w:r>
        <w:rPr>
          <w:rFonts w:ascii="Times New Roman" w:hAnsi="Times New Roman"/>
          <w:i/>
          <w:sz w:val="18"/>
        </w:rPr>
        <w:t>Vuli</w:t>
      </w:r>
      <w:r>
        <w:rPr>
          <w:rFonts w:ascii="Times New Roman" w:hAnsi="Times New Roman"/>
          <w:sz w:val="18"/>
        </w:rPr>
        <w:t xml:space="preserve"> seasons coloured by Y</w:t>
      </w:r>
      <w:r>
        <w:rPr>
          <w:rFonts w:ascii="Times New Roman" w:hAnsi="Times New Roman"/>
          <w:sz w:val="18"/>
          <w:vertAlign w:val="subscript"/>
        </w:rPr>
        <w:t>vol</w:t>
      </w:r>
      <w:r>
        <w:rPr>
          <w:rFonts w:ascii="Times New Roman" w:hAnsi="Times New Roman"/>
          <w:sz w:val="18"/>
        </w:rPr>
        <w:t>; (c) boxplots of Y</w:t>
      </w:r>
      <w:r>
        <w:rPr>
          <w:rFonts w:ascii="Times New Roman" w:hAnsi="Times New Roman"/>
          <w:sz w:val="18"/>
          <w:vertAlign w:val="subscript"/>
        </w:rPr>
        <w:t>vol</w:t>
      </w:r>
      <w:r>
        <w:rPr>
          <w:rFonts w:ascii="Times New Roman" w:hAnsi="Times New Roman"/>
          <w:sz w:val="18"/>
        </w:rPr>
        <w:t xml:space="preserve"> stratified across four landholding size classes (Graphics programme: Python 3.11 / Matplotlib 3.8)</w:t>
      </w:r>
    </w:p>
    <w:p>
      <w:pPr>
        <w:jc w:val="both"/>
      </w:pPr>
      <w:r>
        <w:rPr>
          <w:rFonts w:ascii="Times New Roman" w:hAnsi="Times New Roman"/>
          <w:sz w:val="20"/>
        </w:rPr>
        <w:t>Input adoption across the cohort remains highly skewed (Table 1): the median smallholder applies 0.00 kg of inorganic fertiliser (Q</w:t>
      </w:r>
      <w:r>
        <w:rPr>
          <w:rFonts w:ascii="Times New Roman" w:hAnsi="Times New Roman"/>
          <w:sz w:val="20"/>
          <w:vertAlign w:val="subscript"/>
        </w:rPr>
        <w:t>3</w:t>
      </w:r>
      <w:r>
        <w:rPr>
          <w:rFonts w:ascii="Times New Roman" w:hAnsi="Times New Roman"/>
          <w:sz w:val="20"/>
        </w:rPr>
        <w:t xml:space="preserve"> = 20.00 kg) and 0.00 L or kg of chemical pesticides (Q</w:t>
      </w:r>
      <w:r>
        <w:rPr>
          <w:rFonts w:ascii="Times New Roman" w:hAnsi="Times New Roman"/>
          <w:sz w:val="20"/>
          <w:vertAlign w:val="subscript"/>
        </w:rPr>
        <w:t>3</w:t>
      </w:r>
      <w:r>
        <w:rPr>
          <w:rFonts w:ascii="Times New Roman" w:hAnsi="Times New Roman"/>
          <w:sz w:val="20"/>
        </w:rPr>
        <w:t xml:space="preserve"> = 5.64), whilst median livestock wealth stands at 0.36 TLU (Q</w:t>
      </w:r>
      <w:r>
        <w:rPr>
          <w:rFonts w:ascii="Times New Roman" w:hAnsi="Times New Roman"/>
          <w:sz w:val="20"/>
          <w:vertAlign w:val="subscript"/>
        </w:rPr>
        <w:t>1</w:t>
      </w:r>
      <w:r>
        <w:rPr>
          <w:rFonts w:ascii="Times New Roman" w:hAnsi="Times New Roman"/>
          <w:sz w:val="20"/>
        </w:rPr>
        <w:t xml:space="preserve"> = 0.04, Q</w:t>
      </w:r>
      <w:r>
        <w:rPr>
          <w:rFonts w:ascii="Times New Roman" w:hAnsi="Times New Roman"/>
          <w:sz w:val="20"/>
          <w:vertAlign w:val="subscript"/>
        </w:rPr>
        <w:t>3</w:t>
      </w:r>
      <w:r>
        <w:rPr>
          <w:rFonts w:ascii="Times New Roman" w:hAnsi="Times New Roman"/>
          <w:sz w:val="20"/>
        </w:rPr>
        <w:t xml:space="preserve"> = 4.74, mean 4.97 ± 23.67 TLU). Similarly, the median </w:t>
      </w:r>
      <w:r>
        <w:rPr>
          <w:rFonts w:ascii="Times New Roman" w:hAnsi="Times New Roman"/>
          <w:i/>
          <w:sz w:val="20"/>
        </w:rPr>
        <w:t>Masika</w:t>
      </w:r>
      <w:r>
        <w:rPr>
          <w:rFonts w:ascii="Times New Roman" w:hAnsi="Times New Roman"/>
          <w:sz w:val="20"/>
        </w:rPr>
        <w:t xml:space="preserve"> Shannon crop diversity index is 0.000 (Q</w:t>
      </w:r>
      <w:r>
        <w:rPr>
          <w:rFonts w:ascii="Times New Roman" w:hAnsi="Times New Roman"/>
          <w:sz w:val="20"/>
          <w:vertAlign w:val="subscript"/>
        </w:rPr>
        <w:t>3</w:t>
      </w:r>
      <w:r>
        <w:rPr>
          <w:rFonts w:ascii="Times New Roman" w:hAnsi="Times New Roman"/>
          <w:sz w:val="20"/>
        </w:rPr>
        <w:t xml:space="preserve"> = 0.342, mean 0.180 ± 0.310), indicating that over half of surveyed holdings rely on seasonal monoculture plots, leaving them highly exposed to crop-specific climatic and biotic shocks.</w:t>
      </w:r>
    </w:p>
    <w:p>
      <w:pPr>
        <w:spacing w:before="180" w:after="60"/>
      </w:pPr>
      <w:r>
        <w:rPr>
          <w:rFonts w:ascii="Times New Roman" w:hAnsi="Times New Roman"/>
          <w:b/>
          <w:sz w:val="22"/>
        </w:rPr>
        <w:t>3.2 Spatial cross-validation benchmark and model calibration</w:t>
      </w:r>
    </w:p>
    <w:p>
      <w:pPr>
        <w:jc w:val="both"/>
      </w:pPr>
      <w:r>
        <w:rPr>
          <w:rFonts w:ascii="Times New Roman" w:hAnsi="Times New Roman"/>
          <w:sz w:val="20"/>
        </w:rPr>
        <w:t>Across the five spatially disjoint Enumeration Area folds (921 EAs), the soft-voting Weighted Ensemble achieves the highest out-of-sample predictive accuracy (Table 2), recording a Spatial RMSE of 0.464, a Spatial MAE of 0.347, and a Spatial R</w:t>
      </w:r>
      <w:r>
        <w:rPr>
          <w:rFonts w:ascii="Times New Roman" w:hAnsi="Times New Roman"/>
          <w:sz w:val="20"/>
          <w:vertAlign w:val="superscript"/>
        </w:rPr>
        <w:t>2</w:t>
      </w:r>
      <w:r>
        <w:rPr>
          <w:rFonts w:ascii="Times New Roman" w:hAnsi="Times New Roman"/>
          <w:sz w:val="20"/>
        </w:rPr>
        <w:t xml:space="preserve"> of 0.592 (explaining 59.2% of out-of-sample variance in inter-seasonal yield volatility across unseen villages). Among individual base learners, LightGBM ranks second (Spatial RMSE = 0.465, MAE = 0.346, R</w:t>
      </w:r>
      <w:r>
        <w:rPr>
          <w:rFonts w:ascii="Times New Roman" w:hAnsi="Times New Roman"/>
          <w:sz w:val="20"/>
          <w:vertAlign w:val="superscript"/>
        </w:rPr>
        <w:t>2</w:t>
      </w:r>
      <w:r>
        <w:rPr>
          <w:rFonts w:ascii="Times New Roman" w:hAnsi="Times New Roman"/>
          <w:sz w:val="20"/>
        </w:rPr>
        <w:t xml:space="preserve"> = 0.590), closely followed by XGBoost (Spatial RMSE = 0.466, MAE = 0.348, R</w:t>
      </w:r>
      <w:r>
        <w:rPr>
          <w:rFonts w:ascii="Times New Roman" w:hAnsi="Times New Roman"/>
          <w:sz w:val="20"/>
          <w:vertAlign w:val="superscript"/>
        </w:rPr>
        <w:t>2</w:t>
      </w:r>
      <w:r>
        <w:rPr>
          <w:rFonts w:ascii="Times New Roman" w:hAnsi="Times New Roman"/>
          <w:sz w:val="20"/>
        </w:rPr>
        <w:t xml:space="preserve"> = 0.588), whereas Random Forest trails by 2.25 percentage points in explained variance (Spatial RMSE = 0.477, MAE = 0.368, R</w:t>
      </w:r>
      <w:r>
        <w:rPr>
          <w:rFonts w:ascii="Times New Roman" w:hAnsi="Times New Roman"/>
          <w:sz w:val="20"/>
          <w:vertAlign w:val="superscript"/>
        </w:rPr>
        <w:t>2</w:t>
      </w:r>
      <w:r>
        <w:rPr>
          <w:rFonts w:ascii="Times New Roman" w:hAnsi="Times New Roman"/>
          <w:sz w:val="20"/>
        </w:rPr>
        <w:t xml:space="preserve"> = 0.569).</w:t>
      </w:r>
    </w:p>
    <w:p>
      <w:pPr>
        <w:spacing w:before="80" w:after="120"/>
      </w:pPr>
      <w:r>
        <w:rPr>
          <w:rFonts w:ascii="Times New Roman" w:hAnsi="Times New Roman"/>
          <w:sz w:val="18"/>
        </w:rPr>
        <w:t>Table 2 Multi-model spatial cross-validation benchmark comparison across 921 Enumeration Areas (N = 4,564)</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Model Architecture</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Spatial RMSE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Spatial MAE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Spatial R</w:t>
            </w:r>
            <w:r>
              <w:rPr>
                <w:rFonts w:ascii="Times New Roman" w:hAnsi="Times New Roman"/>
                <w:b/>
                <w:sz w:val="17"/>
                <w:vertAlign w:val="superscript"/>
              </w:rPr>
              <w:t>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Hyperparameter Configuration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Training Time (s)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Weighted Ensemble</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0.592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0.50 LightGBM + 0.40 XGBoost + 0.10 Random Forest (Soft Voting)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9.190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LightGBM</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num</w:t>
            </w:r>
            <w:r>
              <w:rPr>
                <w:rFonts w:ascii="Times New Roman" w:hAnsi="Times New Roman"/>
                <w:sz w:val="17"/>
                <w:vertAlign w:val="subscript"/>
              </w:rPr>
              <w:t>leaves</w:t>
            </w:r>
            <w:r>
              <w:rPr>
                <w:rFonts w:ascii="Times New Roman" w:hAnsi="Times New Roman"/>
                <w:sz w:val="17"/>
              </w:rPr>
              <w:t>=35, lr=0.03, colsample=0.7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6.030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XGBoost</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0.588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max</w:t>
            </w:r>
            <w:r>
              <w:rPr>
                <w:rFonts w:ascii="Times New Roman" w:hAnsi="Times New Roman"/>
                <w:sz w:val="17"/>
                <w:vertAlign w:val="subscript"/>
              </w:rPr>
              <w:t>depth</w:t>
            </w:r>
            <w:r>
              <w:rPr>
                <w:rFonts w:ascii="Times New Roman" w:hAnsi="Times New Roman"/>
                <w:sz w:val="17"/>
              </w:rPr>
              <w:t>=5, lr=0.03, colsample=0.7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2.570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Random Forest</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0.477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0.368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max</w:t>
            </w:r>
            <w:r>
              <w:rPr>
                <w:rFonts w:ascii="Times New Roman" w:hAnsi="Times New Roman"/>
                <w:sz w:val="17"/>
                <w:vertAlign w:val="subscript"/>
              </w:rPr>
              <w:t>depth</w:t>
            </w:r>
            <w:r>
              <w:rPr>
                <w:rFonts w:ascii="Times New Roman" w:hAnsi="Times New Roman"/>
                <w:sz w:val="17"/>
              </w:rPr>
              <w:t xml:space="preserve">=16, </w:t>
            </w:r>
            <w:r>
              <w:rPr>
                <w:rFonts w:ascii="Times New Roman" w:hAnsi="Times New Roman"/>
                <w:sz w:val="17"/>
              </w:rPr>
              <w:t>max</w:t>
            </w:r>
            <w:r>
              <w:rPr>
                <w:rFonts w:ascii="Times New Roman" w:hAnsi="Times New Roman"/>
                <w:sz w:val="17"/>
                <w:vertAlign w:val="subscript"/>
              </w:rPr>
              <w:t>features</w:t>
            </w:r>
            <w:r>
              <w:rPr>
                <w:rFonts w:ascii="Times New Roman" w:hAnsi="Times New Roman"/>
                <w:sz w:val="17"/>
              </w:rPr>
              <w:t>=sqrt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0.510</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vertAlign w:val="superscript"/>
        </w:rPr>
        <w:t>a</w:t>
      </w:r>
      <w:r>
        <w:rPr>
          <w:rFonts w:ascii="Times New Roman" w:hAnsi="Times New Roman"/>
          <w:sz w:val="18"/>
        </w:rPr>
        <w:t xml:space="preserve">All models evaluated on the identical 5-fold Spatial Group Cross-Validation splits (geographic group cross-validation on Enumeration Area geography) using the top-100 pruned feature subset. </w:t>
      </w:r>
      <w:r>
        <w:rPr>
          <w:rFonts w:ascii="Times New Roman" w:hAnsi="Times New Roman"/>
          <w:sz w:val="18"/>
          <w:vertAlign w:val="superscript"/>
        </w:rPr>
        <w:t>b</w:t>
      </w:r>
      <w:r>
        <w:rPr>
          <w:rFonts w:ascii="Times New Roman" w:hAnsi="Times New Roman"/>
          <w:sz w:val="18"/>
        </w:rPr>
        <w:t>Soft-voting ensemble weights: 0.50 LightGBM + 0.40 XGBoost + 0.10 Random Forest.</w:t>
      </w:r>
    </w:p>
    <w:p>
      <w:pPr>
        <w:jc w:val="both"/>
      </w:pPr>
      <w:r>
        <w:rPr>
          <w:rFonts w:ascii="Times New Roman" w:hAnsi="Times New Roman"/>
          <w:sz w:val="20"/>
        </w:rPr>
        <w:t>Visual inspection of the multi-model benchmark (Fig. 2a) and out-of-fold spatial calibration scatter (Fig. 2b) confirms that the Weighted Ensemble predictions track the ideal 45° identity line across the full [0, 2] domain with an ordinary least squares calibration slope of 0.60 and intercept of 0.43. Across the five independent geographic folds (Fig. 2c), out-of-fold R</w:t>
      </w:r>
      <w:r>
        <w:rPr>
          <w:rFonts w:ascii="Times New Roman" w:hAnsi="Times New Roman"/>
          <w:sz w:val="20"/>
          <w:vertAlign w:val="superscript"/>
        </w:rPr>
        <w:t>2</w:t>
      </w:r>
      <w:r>
        <w:rPr>
          <w:rFonts w:ascii="Times New Roman" w:hAnsi="Times New Roman"/>
          <w:sz w:val="20"/>
        </w:rPr>
        <w:t xml:space="preserve"> remains tightly bounded within 0.592 ± 0.018, demonstrating that model performance is invariant to specific spatial partition boundaries and resilient against regional sampling fluctuations.</w:t>
      </w:r>
    </w:p>
    <w:p>
      <w:pPr>
        <w:jc w:val="center"/>
      </w:pPr>
      <w:r>
        <w:drawing>
          <wp:inline xmlns:a="http://schemas.openxmlformats.org/drawingml/2006/main" xmlns:pic="http://schemas.openxmlformats.org/drawingml/2006/picture">
            <wp:extent cx="5760720" cy="2230441"/>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2"/>
                    <a:stretch>
                      <a:fillRect/>
                    </a:stretch>
                  </pic:blipFill>
                  <pic:spPr>
                    <a:xfrm>
                      <a:off x="0" y="0"/>
                      <a:ext cx="5760720" cy="2230441"/>
                    </a:xfrm>
                    <a:prstGeom prst="rect"/>
                  </pic:spPr>
                </pic:pic>
              </a:graphicData>
            </a:graphic>
          </wp:inline>
        </w:drawing>
      </w:r>
    </w:p>
    <w:p>
      <w:pPr>
        <w:spacing w:before="80" w:after="120"/>
      </w:pPr>
      <w:r>
        <w:rPr>
          <w:rFonts w:ascii="Times New Roman" w:hAnsi="Times New Roman"/>
          <w:sz w:val="18"/>
        </w:rPr>
        <w:t>Fig. 2 Multi-model spatial cross-validation benchmark and out-of-fold calibration across five Enumeration Area folds: (a) comparison of Spatial R</w:t>
      </w:r>
      <w:r>
        <w:rPr>
          <w:rFonts w:ascii="Times New Roman" w:hAnsi="Times New Roman"/>
          <w:sz w:val="18"/>
          <w:vertAlign w:val="superscript"/>
        </w:rPr>
        <w:t>2</w:t>
      </w:r>
      <w:r>
        <w:rPr>
          <w:rFonts w:ascii="Times New Roman" w:hAnsi="Times New Roman"/>
          <w:sz w:val="18"/>
        </w:rPr>
        <w:t xml:space="preserve"> and Spatial RMSE across Weighted Ensemble, LightGBM, XGBoost, and Random Forest; (b) out-of-fold calibration scatter of observed (Y</w:t>
      </w:r>
      <w:r>
        <w:rPr>
          <w:rFonts w:ascii="Times New Roman" w:hAnsi="Times New Roman"/>
          <w:sz w:val="18"/>
          <w:vertAlign w:val="subscript"/>
        </w:rPr>
        <w:t>vol</w:t>
      </w:r>
      <w:r>
        <w:rPr>
          <w:rFonts w:ascii="Times New Roman" w:hAnsi="Times New Roman"/>
          <w:sz w:val="18"/>
        </w:rPr>
        <w:t>) versus predicted (Ŷ</w:t>
      </w:r>
      <w:r>
        <w:rPr>
          <w:rFonts w:ascii="Times New Roman" w:hAnsi="Times New Roman"/>
          <w:sz w:val="18"/>
          <w:vertAlign w:val="subscript"/>
        </w:rPr>
        <w:t>vol</w:t>
      </w:r>
      <w:r>
        <w:rPr>
          <w:rFonts w:ascii="Times New Roman" w:hAnsi="Times New Roman"/>
          <w:sz w:val="18"/>
        </w:rPr>
        <w:t>) yield volatility; (c) fold-wise spatial stability of out-of-fold R</w:t>
      </w:r>
      <w:r>
        <w:rPr>
          <w:rFonts w:ascii="Times New Roman" w:hAnsi="Times New Roman"/>
          <w:sz w:val="18"/>
          <w:vertAlign w:val="superscript"/>
        </w:rPr>
        <w:t>2</w:t>
      </w:r>
      <w:r>
        <w:rPr>
          <w:rFonts w:ascii="Times New Roman" w:hAnsi="Times New Roman"/>
          <w:sz w:val="18"/>
        </w:rPr>
        <w:t xml:space="preserve"> showing the mean (0.592) and ± 1 standard deviation band (Graphics programme: Python 3.11 / Matplotlib 3.8)</w:t>
      </w:r>
    </w:p>
    <w:p>
      <w:pPr>
        <w:spacing w:before="180" w:after="60"/>
      </w:pPr>
      <w:r>
        <w:rPr>
          <w:rFonts w:ascii="Times New Roman" w:hAnsi="Times New Roman"/>
          <w:b/>
          <w:sz w:val="22"/>
        </w:rPr>
        <w:t>3.3 Global feature importance and SHAP attributions</w:t>
      </w:r>
    </w:p>
    <w:p>
      <w:pPr>
        <w:jc w:val="both"/>
      </w:pPr>
      <w:r>
        <w:rPr>
          <w:rFonts w:ascii="Times New Roman" w:hAnsi="Times New Roman"/>
          <w:sz w:val="20"/>
        </w:rPr>
        <w:t>Pruning the 246 engineered candidate variables via out-of-fold tree information gain (tree-gain feature importance selection) reveals a steep Pareto hierarchy (Fig. 3a and Online Resource 1): the top 25 features account for 88.4% of total information gain, and the top 100 champion features capture 99.1% of cumulative information gain whilst eliminating 146 noisy or redundant variables. Categorising the top 100 selected features by agronomic domain (Fig. 3c) shows that Plot Technology, Soil &amp; Irrigation indicators constitute the largest structural group (29%), followed by Spatial Peer Benchmarks (23%), Crop Diversity &amp; Portfolio indices (16%), Livestock &amp; Labour Buffers (12%), Climatic &amp; Pest Shocks (12%), and Planting Timing &amp; Seasonality (8%).</w:t>
      </w:r>
    </w:p>
    <w:p>
      <w:pPr>
        <w:spacing w:before="80" w:after="120"/>
      </w:pPr>
      <w:r>
        <w:rPr>
          <w:rFonts w:ascii="Times New Roman" w:hAnsi="Times New Roman"/>
          <w:sz w:val="18"/>
        </w:rPr>
        <w:t>Table 3 Top-25 predictive features ranked by tree split frequency and information gain across agronomic domains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Rank</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Agronomic Variable Name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Agronomic Domain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Split Frequency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Gain Importance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Agronomic Description &amp; Rationale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Planting Month Difference (Masika –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277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11,357.75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Inter-seasonal gap in crop establishment timing between long and short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Planting Month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201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2,510.90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Calendar timing of Vuli short-rain crop sowing relative to rainy season onset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Harvested Area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Harvest Outcomes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191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2,633.40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Average proportion of cultivated holding area successfully harvested in Masika</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Crop Diversity vs Regional Mean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Crop Diversity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185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412.05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Holding-level portfolio diversification benchmarked against regional peer average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Crop Failure Plot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Failure Shocks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1,754.42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Proportion of cultivated parcels experiencing total crop loss or abandonment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6</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Tropical Livestock Units (TLU)</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Asset Buffers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110.46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Aggregated herd size providing liquid capital buffer against acute crop failure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7</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Seasonal Crop Evenness Shift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Crop Diversity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330.83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Inter-seasonal change in cultivar species evenness and abundance parity</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8</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Cultivated Land per Adult Labourer</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Labour Dynamics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145.07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Household labour capitalisation ratio (cultivated hectares per active adult)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9</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Planting Month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316.38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Calendar month of Masika long-rain crop sowing and field establishment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10</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Farm Area vs Regional Mean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Farm Structure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164.06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Deviation of total cultivated farm size from regional agro-ecological average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Operational Plot Area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141.22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Average operational parcel size across the agricultural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Age of Household Head (Years)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Demographics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127.30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Farming experience and managerial human capital of the primary decision-maker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Subsistence Cereal Cluster Distance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Archetype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122.00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Euclidean distance to regional Subsistence Cereal Monoculture cluster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Capital–Labour Latent Factor (PCA 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PCA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131.06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Orthogonal dimension capturing input capital investment versus labour reliance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Drought Failure Indicator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Climatic Shocks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1,673.90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Binary indicator of severe drought-induced crop failure during the short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16</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Plot Fragmentation (Area CV)</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134.83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Spatial fragmentation and parcel size inequality across operational plots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17</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Total Livestock Head Count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Asset Buffers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100.69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Total absolute number of domestic farm animals owned by the household</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18</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Commercial Cropping Cluster Distance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Archetype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200.89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Euclidean distance to regional Commercial Mixed Cropping farming cluster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19</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Fertiliser vs Regional Mean (kg)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Input Technology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107.91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Synthetic fertiliser usage rate relative to local farming community benchmark</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20</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Fallow Land Proportion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Soil Management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381.43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Proportion of holding area maintained under fallow for soil fertility restoration</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Plot Area Standard Deviation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95.325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Dispersion and size disparity among cultivated parcels within the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Seasonal Fertiliser Ratio</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Agro-economic</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281.73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Predictive feature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Pesticide Intensity (Masika, kg/ha)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Input Technology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89.890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Chemical crop protection intensity per cultivated hectare during long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Minimum Harvest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Harvest Outcomes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456.97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Lowest plot-level harvest realisation rate observed within the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Agro-Ecological Latent Factor (PCA 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PCA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112.45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Orthogonal dimension capturing topography, altitude, and thermal gradients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vertAlign w:val="superscript"/>
        </w:rPr>
        <w:t>a</w:t>
      </w:r>
      <w:r>
        <w:rPr>
          <w:rFonts w:ascii="Times New Roman" w:hAnsi="Times New Roman"/>
          <w:sz w:val="18"/>
        </w:rPr>
        <w:t xml:space="preserve">Split frequency and information gain computed from the gradient boosted decision tree feature selection stage across the N = 4,564 holdings. </w:t>
      </w:r>
      <w:r>
        <w:rPr>
          <w:rFonts w:ascii="Times New Roman" w:hAnsi="Times New Roman"/>
          <w:sz w:val="18"/>
          <w:vertAlign w:val="superscript"/>
        </w:rPr>
        <w:t>b</w:t>
      </w:r>
      <w:r>
        <w:rPr>
          <w:rFonts w:ascii="Times New Roman" w:hAnsi="Times New Roman"/>
          <w:sz w:val="18"/>
        </w:rPr>
        <w:t>The complete ranking of all 246 candidate features is provided in Online Resource 1 (Online Resource 1).</w:t>
      </w:r>
    </w:p>
    <w:p>
      <w:pPr>
        <w:jc w:val="both"/>
      </w:pPr>
      <w:r>
        <w:rPr>
          <w:rFonts w:ascii="Times New Roman" w:hAnsi="Times New Roman"/>
          <w:sz w:val="20"/>
        </w:rPr>
        <w:t>Despite representing only 8% of feature count, Planting Timing &amp; Seasonality dominates split frequency and total information gain (Table 3 and Fig. 3b). The inter-seasonal Planting Month Difference (Masika – Vuli) ranks first overall with 300 tree splits and an information gain of 11,375.62—more than four times the gain of the second-ranked feature, Mean Harvested Area Proportion (Masika) (mean long-rain harvested area proportion, 212 splits, gain 2,608.24), and the third-ranked feature, Mean Planting Month (Vuli) (mean short-rain planting month, 205 splits, gain 2,502.78). High-ranking structural predictors also include Shannon Crop Diversity Relative to Regional Mean (Rank 4, 187 splits, gain 423.74), Seasonal Species Evenness Shift (Rank 5, 142 splits, gain 356.96), Total Tropical Livestock Units (TLU) (Rank 6, 141 splits, gain 132.91), and Crop Failure Plot Share (Masika) (Rank 7, 131 splits, gain 1,812.26).</w:t>
      </w:r>
    </w:p>
    <w:p>
      <w:pPr>
        <w:jc w:val="center"/>
      </w:pPr>
      <w:r>
        <w:drawing>
          <wp:inline xmlns:a="http://schemas.openxmlformats.org/drawingml/2006/main" xmlns:pic="http://schemas.openxmlformats.org/drawingml/2006/picture">
            <wp:extent cx="5760720" cy="1928252"/>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3"/>
                    <a:stretch>
                      <a:fillRect/>
                    </a:stretch>
                  </pic:blipFill>
                  <pic:spPr>
                    <a:xfrm>
                      <a:off x="0" y="0"/>
                      <a:ext cx="5760720" cy="1928252"/>
                    </a:xfrm>
                    <a:prstGeom prst="rect"/>
                  </pic:spPr>
                </pic:pic>
              </a:graphicData>
            </a:graphic>
          </wp:inline>
        </w:drawing>
      </w:r>
    </w:p>
    <w:p>
      <w:pPr>
        <w:spacing w:before="80" w:after="120"/>
      </w:pPr>
      <w:r>
        <w:rPr>
          <w:rFonts w:ascii="Times New Roman" w:hAnsi="Times New Roman"/>
          <w:sz w:val="18"/>
        </w:rPr>
        <w:t>Fig. 3 Feature selection trajectory and domain composition across 246 candidate variables: (a) cumulative information gain scree curve illustrating the 99.1% information gain threshold at the top-100 feature cut-off; (b) top 15 features ranked by tree split frequency with annotated information gain; (c) proportional composition of the top-100 selected features across six core agro-economic domains (Graphics programme: Python 3.11 / Matplotlib 3.8)</w:t>
      </w:r>
    </w:p>
    <w:p>
      <w:pPr>
        <w:jc w:val="both"/>
      </w:pPr>
      <w:r>
        <w:rPr>
          <w:rFonts w:ascii="Times New Roman" w:hAnsi="Times New Roman"/>
          <w:sz w:val="20"/>
        </w:rPr>
        <w:t>Global exact TreeSHAP attributions (Fig. 4a, b) confirm both the magnitude and directional sign of each predictor's marginal impact on Y</w:t>
      </w:r>
      <w:r>
        <w:rPr>
          <w:rFonts w:ascii="Times New Roman" w:hAnsi="Times New Roman"/>
          <w:sz w:val="20"/>
          <w:vertAlign w:val="subscript"/>
        </w:rPr>
        <w:t>vol</w:t>
      </w:r>
      <w:r>
        <w:rPr>
          <w:rFonts w:ascii="Times New Roman" w:hAnsi="Times New Roman"/>
          <w:sz w:val="20"/>
        </w:rPr>
        <w:t xml:space="preserve">. In the beeswarm distribution (Fig. 4a), Planting Month Difference (Masika – Vuli) exhibits the largest mean absolute SHAP impact (|SHAP| = 0.202), followed by Mean Harvested Area Share (Masika) (|SHAP| = 0.098), Mean Planting Month (Vuli) (|SHAP| = 0.067), Drought Failure Indicator (Vuli) (|SHAP| = 0.047), and Crop Failure Plot Share (Masika) (|SHAP| = 0.046). Directionally, large planting month shifts, high plot failure shares, and Vuli drought shocks push SHAP values strongly positive (increasing yield volatility by +0.25 to +0.55 units), whereas high </w:t>
      </w:r>
      <w:r>
        <w:rPr>
          <w:rFonts w:ascii="Times New Roman" w:hAnsi="Times New Roman"/>
          <w:i/>
          <w:sz w:val="20"/>
        </w:rPr>
        <w:t>Masika</w:t>
      </w:r>
      <w:r>
        <w:rPr>
          <w:rFonts w:ascii="Times New Roman" w:hAnsi="Times New Roman"/>
          <w:sz w:val="20"/>
        </w:rPr>
        <w:t xml:space="preserve"> harvested area realisation, positive crop diversity relative to regional peers, and higher Tropical Livestock Units generate negative SHAP values that stabilise production across seasons.</w:t>
      </w:r>
    </w:p>
    <w:p>
      <w:pPr>
        <w:jc w:val="center"/>
      </w:pPr>
      <w:r>
        <w:drawing>
          <wp:inline xmlns:a="http://schemas.openxmlformats.org/drawingml/2006/main" xmlns:pic="http://schemas.openxmlformats.org/drawingml/2006/picture">
            <wp:extent cx="5760720" cy="1996585"/>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4"/>
                    <a:stretch>
                      <a:fillRect/>
                    </a:stretch>
                  </pic:blipFill>
                  <pic:spPr>
                    <a:xfrm>
                      <a:off x="0" y="0"/>
                      <a:ext cx="5760720" cy="1996585"/>
                    </a:xfrm>
                    <a:prstGeom prst="rect"/>
                  </pic:spPr>
                </pic:pic>
              </a:graphicData>
            </a:graphic>
          </wp:inline>
        </w:drawing>
      </w:r>
    </w:p>
    <w:p>
      <w:pPr>
        <w:spacing w:before="80" w:after="120"/>
      </w:pPr>
      <w:r>
        <w:rPr>
          <w:rFonts w:ascii="Times New Roman" w:hAnsi="Times New Roman"/>
          <w:sz w:val="18"/>
        </w:rPr>
        <w:t>Fig. 4 Global TreeSHAP feature attributions across the top 14 predictors of smallholder yield volatility: (a) directional beeswarm plot showing individual household SHAP values coloured by normalised feature magnitude (Low to High); (b) mean absolute SHAP magnitude (|SHAP|) quantifying global predictive contribution (Graphics programme: Python 3.11 / Matplotlib 3.8)</w:t>
      </w:r>
    </w:p>
    <w:p>
      <w:pPr>
        <w:spacing w:before="180" w:after="60"/>
      </w:pPr>
      <w:r>
        <w:rPr>
          <w:rFonts w:ascii="Times New Roman" w:hAnsi="Times New Roman"/>
          <w:b/>
          <w:sz w:val="22"/>
        </w:rPr>
        <w:t>3.4 Regional heterogeneity, spatial vulnerability mapping, and model transferability</w:t>
      </w:r>
    </w:p>
    <w:p>
      <w:pPr>
        <w:jc w:val="both"/>
      </w:pPr>
      <w:r>
        <w:rPr>
          <w:rFonts w:ascii="Times New Roman" w:hAnsi="Times New Roman"/>
          <w:sz w:val="20"/>
        </w:rPr>
        <w:t>A critical policy question for national statistical offices and early-warning agencies is whether machine learning models should be trained separately for each administrative region or pooled into a unified national model. Table 4 and Fig. 5 evaluate this across all 27 surveyed administrative regions of Tanzania by combining regional model benchmark metrics with high-resolution regional choropleth maps derived from the official 2022 Population and Housing Census administrative boundaries. Aggregated across all 27 surveyed regions, dedicated regional models achieve a pooled R</w:t>
      </w:r>
      <w:r>
        <w:rPr>
          <w:rFonts w:ascii="Times New Roman" w:hAnsi="Times New Roman"/>
          <w:sz w:val="20"/>
          <w:vertAlign w:val="superscript"/>
        </w:rPr>
        <w:t>2</w:t>
      </w:r>
      <w:r>
        <w:rPr>
          <w:rFonts w:ascii="Times New Roman" w:hAnsi="Times New Roman"/>
          <w:sz w:val="20"/>
        </w:rPr>
        <w:t xml:space="preserve"> of only 0.348 (RMSE = 0.587, MAE = 0.467), whereas the Unified National Model achieves R</w:t>
      </w:r>
      <w:r>
        <w:rPr>
          <w:rFonts w:ascii="Times New Roman" w:hAnsi="Times New Roman"/>
          <w:sz w:val="20"/>
          <w:vertAlign w:val="superscript"/>
        </w:rPr>
        <w:t>2</w:t>
      </w:r>
      <w:r>
        <w:rPr>
          <w:rFonts w:ascii="Times New Roman" w:hAnsi="Times New Roman"/>
          <w:sz w:val="20"/>
        </w:rPr>
        <w:t xml:space="preserve"> = 0.592 (RMSE = 0.464, MAE = 0.347)—a net national variance-explained advantage of +24.42 percentage points.</w:t>
      </w:r>
    </w:p>
    <w:p>
      <w:pPr>
        <w:spacing w:before="80" w:after="120"/>
      </w:pPr>
      <w:r>
        <w:rPr>
          <w:rFonts w:ascii="Times New Roman" w:hAnsi="Times New Roman"/>
          <w:sz w:val="18"/>
        </w:rPr>
        <w:t>Table 4 Regional heterogeneity and out-of-fold performance breakdown across all 27 surveyed regions (N = 4,564)</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Region ID</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Region Name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Holdings (N)</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Regional Model RMSE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Regional Model R</w:t>
            </w:r>
            <w:r>
              <w:rPr>
                <w:rFonts w:ascii="Times New Roman" w:hAnsi="Times New Roman"/>
                <w:b/>
                <w:sz w:val="17"/>
                <w:vertAlign w:val="superscript"/>
              </w:rPr>
              <w:t>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Model RMSE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Model R</w:t>
            </w:r>
            <w:r>
              <w:rPr>
                <w:rFonts w:ascii="Times New Roman" w:hAnsi="Times New Roman"/>
                <w:b/>
                <w:sz w:val="17"/>
                <w:vertAlign w:val="superscript"/>
              </w:rPr>
              <w:t>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Advantage (ΔR</w:t>
            </w:r>
            <w:r>
              <w:rPr>
                <w:rFonts w:ascii="Times New Roman" w:hAnsi="Times New Roman"/>
                <w:b/>
                <w:sz w:val="17"/>
                <w:vertAlign w:val="superscript"/>
              </w:rPr>
              <w:t>2</w:t>
            </w:r>
            <w:r>
              <w:rPr>
                <w:rFonts w:ascii="Times New Roman" w:hAnsi="Times New Roman"/>
                <w:b/>
                <w:sz w:val="17"/>
              </w:rPr>
              <w:t>)</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Tanga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650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20</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Mara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476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0.649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0.187</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Kilimanjaro</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375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0.278</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18</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Kagera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296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0.404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0.688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0.748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0.060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Morogoro</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0.062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0.517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Pwani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0.359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Mbeya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0.487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0.214</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19</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Mwanza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0.589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Arusha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0.297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Manyara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0.214</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Simiyu</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0.437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30</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Kaskazini Pemba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195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0.353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0.716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0.363</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Kaskazini Unguja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0.258</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25</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Geita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147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0.316</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Kusini Pemba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93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0.725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0.411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28</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Kusini Unguja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89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0.618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0.196</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29</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Mjini Magharibi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80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0.159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Dar es Salaam</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0.724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0.583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Kigoma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0.647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-0.042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0.399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Shinyanga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0.129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Dodoma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Katavi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0.223</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Iringa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0.328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0.627</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Singida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-0.175</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Tabora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0.168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0.715</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Njombe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-1.255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0.387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-0.915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Songwe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-1.132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1.159</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vertAlign w:val="superscript"/>
        </w:rPr>
        <w:t>a</w:t>
      </w:r>
      <w:r>
        <w:rPr>
          <w:rFonts w:ascii="Times New Roman" w:hAnsi="Times New Roman"/>
          <w:sz w:val="18"/>
        </w:rPr>
        <w:t xml:space="preserve">Regions ordered by bimodal sample size (N). </w:t>
      </w:r>
      <w:r>
        <w:rPr>
          <w:rFonts w:ascii="Times New Roman" w:hAnsi="Times New Roman"/>
          <w:sz w:val="18"/>
          <w:vertAlign w:val="superscript"/>
        </w:rPr>
        <w:t>b</w:t>
      </w:r>
      <w:r>
        <w:rPr>
          <w:rFonts w:ascii="Times New Roman" w:hAnsi="Times New Roman"/>
          <w:sz w:val="18"/>
        </w:rPr>
        <w:t>National Advantage defined as ΔR</w:t>
      </w:r>
      <w:r>
        <w:rPr>
          <w:rFonts w:ascii="Times New Roman" w:hAnsi="Times New Roman"/>
          <w:sz w:val="18"/>
          <w:vertAlign w:val="superscript"/>
        </w:rPr>
        <w:t>2</w:t>
      </w:r>
      <w:r>
        <w:rPr>
          <w:rFonts w:ascii="Times New Roman" w:hAnsi="Times New Roman"/>
          <w:sz w:val="18"/>
        </w:rPr>
        <w:t xml:space="preserve"> = R</w:t>
      </w:r>
      <w:r>
        <w:rPr>
          <w:rFonts w:ascii="Times New Roman" w:hAnsi="Times New Roman"/>
          <w:sz w:val="18"/>
          <w:vertAlign w:val="superscript"/>
        </w:rPr>
        <w:t>2</w:t>
      </w:r>
      <w:r>
        <w:rPr>
          <w:rFonts w:ascii="Times New Roman" w:hAnsi="Times New Roman"/>
          <w:sz w:val="18"/>
          <w:vertAlign w:val="subscript"/>
        </w:rPr>
        <w:t>National</w:t>
      </w:r>
      <w:r>
        <w:rPr>
          <w:rFonts w:ascii="Times New Roman" w:hAnsi="Times New Roman"/>
          <w:sz w:val="18"/>
        </w:rPr>
        <w:t xml:space="preserve"> − R</w:t>
      </w:r>
      <w:r>
        <w:rPr>
          <w:rFonts w:ascii="Times New Roman" w:hAnsi="Times New Roman"/>
          <w:sz w:val="18"/>
          <w:vertAlign w:val="superscript"/>
        </w:rPr>
        <w:t>2</w:t>
      </w:r>
      <w:r>
        <w:rPr>
          <w:rFonts w:ascii="Times New Roman" w:hAnsi="Times New Roman"/>
          <w:sz w:val="18"/>
          <w:vertAlign w:val="subscript"/>
        </w:rPr>
        <w:t>Regional</w:t>
      </w:r>
      <w:r>
        <w:rPr>
          <w:rFonts w:ascii="Times New Roman" w:hAnsi="Times New Roman"/>
          <w:sz w:val="18"/>
        </w:rPr>
        <w:t xml:space="preserve"> evaluated on identical out-of-fold Enumeration Area validation partitions.</w:t>
      </w:r>
    </w:p>
    <w:p>
      <w:pPr>
        <w:jc w:val="both"/>
      </w:pPr>
      <w:r>
        <w:rPr>
          <w:rFonts w:ascii="Times New Roman" w:hAnsi="Times New Roman"/>
          <w:sz w:val="20"/>
        </w:rPr>
        <w:t>Spatial visualization of survey sampling density (Fig. 5a) reveals that bimodal smallholder holdings are concentrated in the humid northeastern corridor (Tanga, N = 650; Kilimanjaro, N = 375; Arusha, N = 215), the Lake Victoria basin (Mara, N = 476; Kagera, N = 296; Mwanza, N = 215; Simiyu, N = 202; Geita, N = 147), the central eastern plains (Morogoro, N = 257; Pwani, N = 252), the southern highlands (Mbeya, N = 227), and the Zanzibar Archipelago (N = 608 combined across Pemba and Unguja), whereas purely unimodal zones in the central and southern interior cultivate only single annual cycles and are excluded from bimodal volatility tracking.</w:t>
      </w:r>
    </w:p>
    <w:p>
      <w:pPr>
        <w:jc w:val="both"/>
      </w:pPr>
      <w:r>
        <w:rPr>
          <w:rFonts w:ascii="Times New Roman" w:hAnsi="Times New Roman"/>
          <w:sz w:val="20"/>
        </w:rPr>
        <w:t>Mapping regional mean yield volatility (Fig. 5b) uncovers acute sub-national vulnerability hotspots:</w:t>
      </w:r>
    </w:p>
    <w:p>
      <w:pPr>
        <w:jc w:val="both"/>
      </w:pPr>
      <w:r>
        <w:rPr>
          <w:rFonts w:ascii="Times New Roman" w:hAnsi="Times New Roman"/>
          <w:sz w:val="20"/>
        </w:rPr>
        <w:t>1. Semi-Arid Drought Hotspots: In Dodoma (Ȳ</w:t>
      </w:r>
      <w:r>
        <w:rPr>
          <w:rFonts w:ascii="Times New Roman" w:hAnsi="Times New Roman"/>
          <w:sz w:val="20"/>
          <w:vertAlign w:val="subscript"/>
        </w:rPr>
        <w:t>vol</w:t>
      </w:r>
      <w:r>
        <w:rPr>
          <w:rFonts w:ascii="Times New Roman" w:hAnsi="Times New Roman"/>
          <w:sz w:val="20"/>
        </w:rPr>
        <w:t xml:space="preserve"> = 1.483), erratic rainfall leads to severe crop desiccation, with 59.3% of holdings suffering catastrophic uni-seasonal crop failure (Y</w:t>
      </w:r>
      <w:r>
        <w:rPr>
          <w:rFonts w:ascii="Times New Roman" w:hAnsi="Times New Roman"/>
          <w:sz w:val="20"/>
          <w:vertAlign w:val="subscript"/>
        </w:rPr>
        <w:t>vol</w:t>
      </w:r>
      <w:r>
        <w:rPr>
          <w:rFonts w:ascii="Times New Roman" w:hAnsi="Times New Roman"/>
          <w:sz w:val="20"/>
        </w:rPr>
        <w:t xml:space="preserve"> ≥ 1.50).</w:t>
      </w:r>
    </w:p>
    <w:p>
      <w:pPr>
        <w:jc w:val="both"/>
      </w:pPr>
      <w:r>
        <w:rPr>
          <w:rFonts w:ascii="Times New Roman" w:hAnsi="Times New Roman"/>
          <w:sz w:val="20"/>
        </w:rPr>
        <w:t>2. Maritime Island Vulnerability: In the Zanzibar Archipelago, particularly Kusini Pemba (Ȳ</w:t>
      </w:r>
      <w:r>
        <w:rPr>
          <w:rFonts w:ascii="Times New Roman" w:hAnsi="Times New Roman"/>
          <w:sz w:val="20"/>
          <w:vertAlign w:val="subscript"/>
        </w:rPr>
        <w:t>vol</w:t>
      </w:r>
      <w:r>
        <w:rPr>
          <w:rFonts w:ascii="Times New Roman" w:hAnsi="Times New Roman"/>
          <w:sz w:val="20"/>
        </w:rPr>
        <w:t xml:space="preserve"> = 1.514, 66.7% hyper-volatile) and Kaskazini Pemba (Ȳ</w:t>
      </w:r>
      <w:r>
        <w:rPr>
          <w:rFonts w:ascii="Times New Roman" w:hAnsi="Times New Roman"/>
          <w:sz w:val="20"/>
          <w:vertAlign w:val="subscript"/>
        </w:rPr>
        <w:t>vol</w:t>
      </w:r>
      <w:r>
        <w:rPr>
          <w:rFonts w:ascii="Times New Roman" w:hAnsi="Times New Roman"/>
          <w:sz w:val="20"/>
        </w:rPr>
        <w:t xml:space="preserve"> = 1.502, 64.1% hyper-volatile), extreme rainfall disparity between the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seasons leaves island smallholders acutely exposed to seasonal food supply deficits.</w:t>
      </w:r>
    </w:p>
    <w:p>
      <w:pPr>
        <w:jc w:val="both"/>
      </w:pPr>
      <w:r>
        <w:rPr>
          <w:rFonts w:ascii="Times New Roman" w:hAnsi="Times New Roman"/>
          <w:sz w:val="20"/>
        </w:rPr>
        <w:t>3. Resilient Lacustrine and Highland Pockets: Conversely, Kagera (Ȳ</w:t>
      </w:r>
      <w:r>
        <w:rPr>
          <w:rFonts w:ascii="Times New Roman" w:hAnsi="Times New Roman"/>
          <w:sz w:val="20"/>
          <w:vertAlign w:val="subscript"/>
        </w:rPr>
        <w:t>vol</w:t>
      </w:r>
      <w:r>
        <w:rPr>
          <w:rFonts w:ascii="Times New Roman" w:hAnsi="Times New Roman"/>
          <w:sz w:val="20"/>
        </w:rPr>
        <w:t xml:space="preserve"> = 1.139) and Tanga (Ȳ</w:t>
      </w:r>
      <w:r>
        <w:rPr>
          <w:rFonts w:ascii="Times New Roman" w:hAnsi="Times New Roman"/>
          <w:sz w:val="20"/>
          <w:vertAlign w:val="subscript"/>
        </w:rPr>
        <w:t>vol</w:t>
      </w:r>
      <w:r>
        <w:rPr>
          <w:rFonts w:ascii="Times New Roman" w:hAnsi="Times New Roman"/>
          <w:sz w:val="20"/>
        </w:rPr>
        <w:t xml:space="preserve"> = 0.978) benefit from agro-forestry systems, perennial banana–coffee canopies, and micro-climate buffering that dampen inter-seasonal harvest shocks.</w:t>
      </w:r>
    </w:p>
    <w:p>
      <w:pPr>
        <w:jc w:val="both"/>
      </w:pPr>
      <w:r>
        <w:rPr>
          <w:rFonts w:ascii="Times New Roman" w:hAnsi="Times New Roman"/>
          <w:sz w:val="20"/>
        </w:rPr>
        <w:t>Crucially, mapping out-of-fold spatial predictive skill across regions (Fig. 5c and Table 4) demonstrates that the Unified National Ensemble delivers high predictive power across heterogeneous agro-ecological zones, reaching R</w:t>
      </w:r>
      <w:r>
        <w:rPr>
          <w:rFonts w:ascii="Times New Roman" w:hAnsi="Times New Roman"/>
          <w:sz w:val="20"/>
          <w:vertAlign w:val="superscript"/>
        </w:rPr>
        <w:t>2</w:t>
      </w:r>
      <w:r>
        <w:rPr>
          <w:rFonts w:ascii="Times New Roman" w:hAnsi="Times New Roman"/>
          <w:sz w:val="20"/>
        </w:rPr>
        <w:t xml:space="preserve"> = 0.748 in Kagera, R</w:t>
      </w:r>
      <w:r>
        <w:rPr>
          <w:rFonts w:ascii="Times New Roman" w:hAnsi="Times New Roman"/>
          <w:sz w:val="20"/>
          <w:vertAlign w:val="superscript"/>
        </w:rPr>
        <w:t>2</w:t>
      </w:r>
      <w:r>
        <w:rPr>
          <w:rFonts w:ascii="Times New Roman" w:hAnsi="Times New Roman"/>
          <w:sz w:val="20"/>
        </w:rPr>
        <w:t xml:space="preserve"> = 0.754 in Mjini Magharibi, R</w:t>
      </w:r>
      <w:r>
        <w:rPr>
          <w:rFonts w:ascii="Times New Roman" w:hAnsi="Times New Roman"/>
          <w:sz w:val="20"/>
          <w:vertAlign w:val="superscript"/>
        </w:rPr>
        <w:t>2</w:t>
      </w:r>
      <w:r>
        <w:rPr>
          <w:rFonts w:ascii="Times New Roman" w:hAnsi="Times New Roman"/>
          <w:sz w:val="20"/>
        </w:rPr>
        <w:t xml:space="preserve"> = 0.725 in Kusini Pemba, R</w:t>
      </w:r>
      <w:r>
        <w:rPr>
          <w:rFonts w:ascii="Times New Roman" w:hAnsi="Times New Roman"/>
          <w:sz w:val="20"/>
          <w:vertAlign w:val="superscript"/>
        </w:rPr>
        <w:t>2</w:t>
      </w:r>
      <w:r>
        <w:rPr>
          <w:rFonts w:ascii="Times New Roman" w:hAnsi="Times New Roman"/>
          <w:sz w:val="20"/>
        </w:rPr>
        <w:t xml:space="preserve"> = 0.716 in Kaskazini Pemba, R</w:t>
      </w:r>
      <w:r>
        <w:rPr>
          <w:rFonts w:ascii="Times New Roman" w:hAnsi="Times New Roman"/>
          <w:sz w:val="20"/>
          <w:vertAlign w:val="superscript"/>
        </w:rPr>
        <w:t>2</w:t>
      </w:r>
      <w:r>
        <w:rPr>
          <w:rFonts w:ascii="Times New Roman" w:hAnsi="Times New Roman"/>
          <w:sz w:val="20"/>
        </w:rPr>
        <w:t xml:space="preserve"> = 0.649 in Mara, and R</w:t>
      </w:r>
      <w:r>
        <w:rPr>
          <w:rFonts w:ascii="Times New Roman" w:hAnsi="Times New Roman"/>
          <w:sz w:val="20"/>
          <w:vertAlign w:val="superscript"/>
        </w:rPr>
        <w:t>2</w:t>
      </w:r>
      <w:r>
        <w:rPr>
          <w:rFonts w:ascii="Times New Roman" w:hAnsi="Times New Roman"/>
          <w:sz w:val="20"/>
        </w:rPr>
        <w:t xml:space="preserve"> = 0.624 in Kilimanjaro. Furthermore, as shown in Table 4, the Unified National Ensemble outperforms isolated regional models (ΔR</w:t>
      </w:r>
      <w:r>
        <w:rPr>
          <w:rFonts w:ascii="Times New Roman" w:hAnsi="Times New Roman"/>
          <w:sz w:val="20"/>
          <w:vertAlign w:val="superscript"/>
        </w:rPr>
        <w:t>2</w:t>
      </w:r>
      <w:r>
        <w:rPr>
          <w:rFonts w:ascii="Times New Roman" w:hAnsi="Times New Roman"/>
          <w:sz w:val="20"/>
        </w:rPr>
        <w:t xml:space="preserve"> &gt; 0) in 26 out of 27 regions (96.3%). By learning shared non-linear response surfaces across regional borders, national data pooling prevents small-sample overfitting and establishes robust spatial generalisability for operational food security monitoring.</w:t>
      </w:r>
    </w:p>
    <w:p>
      <w:pPr>
        <w:jc w:val="center"/>
      </w:pPr>
      <w:r>
        <w:drawing>
          <wp:inline xmlns:a="http://schemas.openxmlformats.org/drawingml/2006/main" xmlns:pic="http://schemas.openxmlformats.org/drawingml/2006/picture">
            <wp:extent cx="5760720" cy="2299204"/>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5"/>
                    <a:stretch>
                      <a:fillRect/>
                    </a:stretch>
                  </pic:blipFill>
                  <pic:spPr>
                    <a:xfrm>
                      <a:off x="0" y="0"/>
                      <a:ext cx="5760720" cy="2299204"/>
                    </a:xfrm>
                    <a:prstGeom prst="rect"/>
                  </pic:spPr>
                </pic:pic>
              </a:graphicData>
            </a:graphic>
          </wp:inline>
        </w:drawing>
      </w:r>
    </w:p>
    <w:p>
      <w:pPr>
        <w:spacing w:before="80" w:after="120"/>
      </w:pPr>
      <w:r>
        <w:rPr>
          <w:rFonts w:ascii="Times New Roman" w:hAnsi="Times New Roman"/>
          <w:sz w:val="18"/>
        </w:rPr>
        <w:t>Fig. 5 Sub-national spatial distribution of smallholder yield volatility and machine learning predictive skill across 27 administrative regions of Tanzania based on 2022 PHC administrative shapefiles: (a) spatial coverage and sample concentration of surveyed bimodal agricultural holdings (N = 4,564); (b) choropleth map of regional mean Yield Volatility Index (Y</w:t>
      </w:r>
      <w:r>
        <w:rPr>
          <w:rFonts w:ascii="Times New Roman" w:hAnsi="Times New Roman"/>
          <w:sz w:val="18"/>
          <w:vertAlign w:val="subscript"/>
        </w:rPr>
        <w:t>vol</w:t>
      </w:r>
      <w:r>
        <w:rPr>
          <w:rFonts w:ascii="Times New Roman" w:hAnsi="Times New Roman"/>
          <w:sz w:val="18"/>
        </w:rPr>
        <w:t>) with annotations highlighting acute volatility hotspots in Dodoma semi-arid plains and Zanzibar (Pemba/Unguja) alongside resilient perennial production in Tanga and Kagera; (c) out-of-fold spatial machine learning predictive skill (R</w:t>
      </w:r>
      <w:r>
        <w:rPr>
          <w:rFonts w:ascii="Times New Roman" w:hAnsi="Times New Roman"/>
          <w:sz w:val="18"/>
          <w:vertAlign w:val="superscript"/>
        </w:rPr>
        <w:t>2</w:t>
      </w:r>
      <w:r>
        <w:rPr>
          <w:rFonts w:ascii="Times New Roman" w:hAnsi="Times New Roman"/>
          <w:sz w:val="18"/>
        </w:rPr>
        <w:t>) achieved by the Unified National Weighted Ensemble across unseen Enumeration Areas (Hatched grey polygons represent unimodal agro-ecological strata cultivating single annual cycles; Graphics programme: Python 3.11 / Matplotlib 3.8 / GeoPandas)</w:t>
      </w:r>
    </w:p>
    <w:p>
      <w:pPr>
        <w:spacing w:before="180" w:after="60"/>
      </w:pPr>
      <w:r>
        <w:rPr>
          <w:rFonts w:ascii="Times New Roman" w:hAnsi="Times New Roman"/>
          <w:b/>
          <w:sz w:val="22"/>
        </w:rPr>
        <w:t>3.5 Non-linear agronomic interactions, leakage audit, and household archetypes</w:t>
      </w:r>
    </w:p>
    <w:p>
      <w:pPr>
        <w:jc w:val="both"/>
      </w:pPr>
      <w:r>
        <w:rPr>
          <w:rFonts w:ascii="Times New Roman" w:hAnsi="Times New Roman"/>
          <w:sz w:val="20"/>
        </w:rPr>
        <w:t>Two-way interaction surfaces (Fig. 6) reveal that household asset endowments and agro-ecological management practices act as non-linear buffers that moderate climate shock transmission. First, stratifying the response to seasonal planting month shifts by median livestock holdings (Fig. 6a) demonstrates that livestock-poor households (TLU ≤ 0.36) suffer an escalation in mean Y</w:t>
      </w:r>
      <w:r>
        <w:rPr>
          <w:rFonts w:ascii="Times New Roman" w:hAnsi="Times New Roman"/>
          <w:sz w:val="20"/>
          <w:vertAlign w:val="subscript"/>
        </w:rPr>
        <w:t>vol</w:t>
      </w:r>
      <w:r>
        <w:rPr>
          <w:rFonts w:ascii="Times New Roman" w:hAnsi="Times New Roman"/>
          <w:sz w:val="20"/>
        </w:rPr>
        <w:t xml:space="preserve"> to 1.38 when planting timing diverges by ± 3 months, whereas livestock-buffered households (TLU &gt; 0.36) maintain mean Y</w:t>
      </w:r>
      <w:r>
        <w:rPr>
          <w:rFonts w:ascii="Times New Roman" w:hAnsi="Times New Roman"/>
          <w:sz w:val="20"/>
          <w:vertAlign w:val="subscript"/>
        </w:rPr>
        <w:t>vol</w:t>
      </w:r>
      <w:r>
        <w:rPr>
          <w:rFonts w:ascii="Times New Roman" w:hAnsi="Times New Roman"/>
          <w:sz w:val="20"/>
        </w:rPr>
        <w:t xml:space="preserve"> below 0.96 across the same timing gap—reflecting their capacity to mobilise animal draft power and liquid cash for rapid land preparation. Second, Fig. 6b shows that among holdings experiencing zero plot abandonment (zero unharvested plots), expanding crop portfolio diversity above the regional peer average (exceeding regional peer diversity by &gt; 0.25 Shannon units) compresses mean Y</w:t>
      </w:r>
      <w:r>
        <w:rPr>
          <w:rFonts w:ascii="Times New Roman" w:hAnsi="Times New Roman"/>
          <w:sz w:val="20"/>
          <w:vertAlign w:val="subscript"/>
        </w:rPr>
        <w:t>vol</w:t>
      </w:r>
      <w:r>
        <w:rPr>
          <w:rFonts w:ascii="Times New Roman" w:hAnsi="Times New Roman"/>
          <w:sz w:val="20"/>
        </w:rPr>
        <w:t xml:space="preserve"> from 0.95 to 0.68. Conversely, when complete plot failure shocks occur (unharvested plot failure &gt; 0), volatility rises above 1.35 for monocroppers but is dampened by 0.28 index points among highly diversified polyculture holdings. Third, Fig. 6c reveals that whilst high plot area fragmentation (CV</w:t>
      </w:r>
      <w:r>
        <w:rPr>
          <w:rFonts w:ascii="Times New Roman" w:hAnsi="Times New Roman"/>
          <w:sz w:val="20"/>
          <w:vertAlign w:val="subscript"/>
        </w:rPr>
        <w:t>plot</w:t>
      </w:r>
      <w:r>
        <w:rPr>
          <w:rFonts w:ascii="Times New Roman" w:hAnsi="Times New Roman"/>
          <w:sz w:val="20"/>
        </w:rPr>
        <w:t xml:space="preserve"> &gt; 0.80) elevates yield volatility under purely rainfed cultivation, access to supplemental irrigation (with active supplemental irrigation) decouples fragmentation from production instability, reducing mean Y</w:t>
      </w:r>
      <w:r>
        <w:rPr>
          <w:rFonts w:ascii="Times New Roman" w:hAnsi="Times New Roman"/>
          <w:sz w:val="20"/>
          <w:vertAlign w:val="subscript"/>
        </w:rPr>
        <w:t>vol</w:t>
      </w:r>
      <w:r>
        <w:rPr>
          <w:rFonts w:ascii="Times New Roman" w:hAnsi="Times New Roman"/>
          <w:sz w:val="20"/>
        </w:rPr>
        <w:t xml:space="preserve"> by 0.32–0.45 units across fragmented holdings.</w:t>
      </w:r>
    </w:p>
    <w:p>
      <w:pPr>
        <w:jc w:val="center"/>
      </w:pPr>
      <w:r>
        <w:drawing>
          <wp:inline xmlns:a="http://schemas.openxmlformats.org/drawingml/2006/main" xmlns:pic="http://schemas.openxmlformats.org/drawingml/2006/picture">
            <wp:extent cx="5760720" cy="2194560"/>
            <wp:docPr id="6" name="Picture 6"/>
            <wp:cNvGraphicFramePr>
              <a:graphicFrameLocks noChangeAspect="1"/>
            </wp:cNvGraphicFramePr>
            <a:graphic>
              <a:graphicData uri="http://schemas.openxmlformats.org/drawingml/2006/picture">
                <pic:pic>
                  <pic:nvPicPr>
                    <pic:cNvPr id="0" name="fig6_agronomic_non_linear_interactions.png"/>
                    <pic:cNvPicPr/>
                  </pic:nvPicPr>
                  <pic:blipFill>
                    <a:blip r:embed="rId16"/>
                    <a:stretch>
                      <a:fillRect/>
                    </a:stretch>
                  </pic:blipFill>
                  <pic:spPr>
                    <a:xfrm>
                      <a:off x="0" y="0"/>
                      <a:ext cx="5760720" cy="2194560"/>
                    </a:xfrm>
                    <a:prstGeom prst="rect"/>
                  </pic:spPr>
                </pic:pic>
              </a:graphicData>
            </a:graphic>
          </wp:inline>
        </w:drawing>
      </w:r>
    </w:p>
    <w:p>
      <w:pPr>
        <w:spacing w:before="80" w:after="120"/>
      </w:pPr>
      <w:r>
        <w:rPr>
          <w:rFonts w:ascii="Times New Roman" w:hAnsi="Times New Roman"/>
          <w:sz w:val="18"/>
        </w:rPr>
        <w:t>Fig. 6 Non-linear two-way agronomic interaction surfaces and resilience thresholds: (a) interaction between seasonal planting month difference and livestock asset buffers (Low vs. High TLU); (b) interaction between crop portfolio diversity divergence from regional peers and plot harvest failure shocks; (c) interaction between plot area fragmentation (CV</w:t>
      </w:r>
      <w:r>
        <w:rPr>
          <w:rFonts w:ascii="Times New Roman" w:hAnsi="Times New Roman"/>
          <w:sz w:val="18"/>
          <w:vertAlign w:val="subscript"/>
        </w:rPr>
        <w:t>plot</w:t>
      </w:r>
      <w:r>
        <w:rPr>
          <w:rFonts w:ascii="Times New Roman" w:hAnsi="Times New Roman"/>
          <w:sz w:val="18"/>
        </w:rPr>
        <w:t>) and supplemental irrigation access (Graphics programme: Python 3.11 / Matplotlib 3.8)</w:t>
      </w:r>
    </w:p>
    <w:p>
      <w:pPr>
        <w:jc w:val="both"/>
      </w:pPr>
      <w:r>
        <w:rPr>
          <w:rFonts w:ascii="Times New Roman" w:hAnsi="Times New Roman"/>
          <w:sz w:val="20"/>
        </w:rPr>
        <w:t>To verify that these empirical relationships are free from methodological artifacts, Table 5 and Fig. 7a report the results of our formal Five-Pillar Spatial Leakage Audit. All five audit pillars achieve a 100% pass certification (certified pass): (1) zero Enumeration Areas overlap between training and validation folds across all five splits; (2) the target Y</w:t>
      </w:r>
      <w:r>
        <w:rPr>
          <w:rFonts w:ascii="Times New Roman" w:hAnsi="Times New Roman"/>
          <w:sz w:val="20"/>
          <w:vertAlign w:val="subscript"/>
        </w:rPr>
        <w:t>vol</w:t>
      </w:r>
      <w:r>
        <w:rPr>
          <w:rFonts w:ascii="Times New Roman" w:hAnsi="Times New Roman"/>
          <w:sz w:val="20"/>
        </w:rPr>
        <w:t xml:space="preserve"> is completely isolated from the feature matrix with a maximum absolute single-feature correlation of r</w:t>
      </w:r>
      <w:r>
        <w:rPr>
          <w:rFonts w:ascii="Times New Roman" w:hAnsi="Times New Roman"/>
          <w:sz w:val="20"/>
          <w:vertAlign w:val="subscript"/>
        </w:rPr>
        <w:t>max</w:t>
      </w:r>
      <w:r>
        <w:rPr>
          <w:rFonts w:ascii="Times New Roman" w:hAnsi="Times New Roman"/>
          <w:sz w:val="20"/>
        </w:rPr>
        <w:t xml:space="preserve"> = 0.4365; (3) all robust interquartile scaling and median imputation parameters strictly obey fold boundaries; (4) unsupervised K-Means cluster centroids and PCA loadings are fitted strictly on training partitions; and (5) top-100 feature selection exhibits zero validation target lookahead.</w:t>
      </w:r>
    </w:p>
    <w:p>
      <w:pPr>
        <w:spacing w:before="80" w:after="120"/>
      </w:pPr>
      <w:r>
        <w:rPr>
          <w:rFonts w:ascii="Times New Roman" w:hAnsi="Times New Roman"/>
          <w:sz w:val="18"/>
        </w:rPr>
        <w:t>Table 5 Formal five-pillar spatial data leakage audit certificate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vAlign w:val="center"/>
          </w:tcPr>
          <w:p>
            <w:pPr>
              <w:spacing w:before="20" w:after="20"/>
              <w:jc w:val="left"/>
            </w:pPr>
            <w:r>
              <w:rPr>
                <w:rFonts w:ascii="Times New Roman" w:hAnsi="Times New Roman"/>
                <w:b/>
                <w:sz w:val="17"/>
              </w:rPr>
              <w:t>Pillar</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b/>
                <w:sz w:val="17"/>
              </w:rPr>
              <w:t>Audit Domain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Verification Criterion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Quantitative Empirical Result</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Verification Status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Spatial Group Disjointness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training and validation folds share zero Enumeration Areas (EAs)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Zero overlapping EAs across all 5 spatial cross-validation folds.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Target Variable Isolation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target Y</w:t>
            </w:r>
            <w:r>
              <w:rPr>
                <w:rFonts w:ascii="Times New Roman" w:hAnsi="Times New Roman"/>
                <w:sz w:val="17"/>
                <w:vertAlign w:val="subscript"/>
              </w:rPr>
              <w:t>vol</w:t>
            </w:r>
            <w:r>
              <w:rPr>
                <w:rFonts w:ascii="Times New Roman" w:hAnsi="Times New Roman"/>
                <w:sz w:val="17"/>
              </w:rPr>
              <w:t xml:space="preserve"> is strictly excluded from feature space and no trivial target proxies exist</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Target variable completely isolated. Maximum absolute feature correlation: 0.4365.</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Scaler &amp; Imputation Isolation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preprocessing scalers and medians are strictly computed on training folds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Preprocessing scalers and imputers conform strictly to out-of-fold fit boundaries.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Unsupervised Representation Isolation (KMeans &amp; PCA)</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KMeans cluster centroids and PCA latent components are computed strictly on training data</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Latent representations (KMeans agronomic clusters and PCA components) strictly isolated.</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Feature Selection &amp; Lookahead Integrity</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feature selection ranking does not access validation target values or lookahead timestamps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Top-100 features selected using independent tree-gain importance; validation targets zero-masked.</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vertAlign w:val="superscript"/>
        </w:rPr>
        <w:t>a</w:t>
      </w:r>
      <w:r>
        <w:rPr>
          <w:rFonts w:ascii="Times New Roman" w:hAnsi="Times New Roman"/>
          <w:sz w:val="18"/>
        </w:rPr>
        <w:t>Programmatic audit executed by Leakage Auditor across all 5 spatial cross-validation folds (N = 4,564 holdings, 921 Enumeration Areas).</w:t>
      </w:r>
    </w:p>
    <w:p>
      <w:pPr>
        <w:jc w:val="both"/>
      </w:pPr>
      <w:r>
        <w:rPr>
          <w:rFonts w:ascii="Times New Roman" w:hAnsi="Times New Roman"/>
          <w:sz w:val="20"/>
        </w:rPr>
        <w:t>Stratifying the 4,564 holdings into four equal volatility quartiles (N = 1,141 holdings per quartile; Table 6) exposes the structural divide between resilient and hyper-volatile farms. Holdings in Q1 (Low Volatility / Resilient) exhibit a mean Y</w:t>
      </w:r>
      <w:r>
        <w:rPr>
          <w:rFonts w:ascii="Times New Roman" w:hAnsi="Times New Roman"/>
          <w:sz w:val="20"/>
          <w:vertAlign w:val="subscript"/>
        </w:rPr>
        <w:t>vol</w:t>
      </w:r>
      <w:r>
        <w:rPr>
          <w:rFonts w:ascii="Times New Roman" w:hAnsi="Times New Roman"/>
          <w:sz w:val="20"/>
        </w:rPr>
        <w:t xml:space="preserve"> of 0.176, a mean seasonal yield gap of only 174.33 kg ha</w:t>
      </w:r>
      <w:r>
        <w:rPr>
          <w:rFonts w:ascii="Times New Roman" w:hAnsi="Times New Roman"/>
          <w:sz w:val="20"/>
          <w:vertAlign w:val="superscript"/>
        </w:rPr>
        <w:t>-1</w:t>
      </w:r>
      <w:r>
        <w:rPr>
          <w:rFonts w:ascii="Times New Roman" w:hAnsi="Times New Roman"/>
          <w:sz w:val="20"/>
        </w:rPr>
        <w:t>, the highest mean Shannon crop diversity (0.243), and substantial livestock buffers (5.21 TLU). By contrast, holdings in Q4 (Hyper-Volatile) suffer a mean Y</w:t>
      </w:r>
      <w:r>
        <w:rPr>
          <w:rFonts w:ascii="Times New Roman" w:hAnsi="Times New Roman"/>
          <w:sz w:val="20"/>
          <w:vertAlign w:val="subscript"/>
        </w:rPr>
        <w:t>vol</w:t>
      </w:r>
      <w:r>
        <w:rPr>
          <w:rFonts w:ascii="Times New Roman" w:hAnsi="Times New Roman"/>
          <w:sz w:val="20"/>
        </w:rPr>
        <w:t xml:space="preserve"> of 2.000 (complete seasonal collapse in one cropping window), accompanied by nearly three-fold lower crop diversity (H′</w:t>
      </w:r>
      <w:r>
        <w:rPr>
          <w:rFonts w:ascii="Times New Roman" w:hAnsi="Times New Roman"/>
          <w:sz w:val="20"/>
          <w:vertAlign w:val="subscript"/>
        </w:rPr>
        <w:t>m</w:t>
      </w:r>
      <w:r>
        <w:rPr>
          <w:rFonts w:ascii="Times New Roman" w:hAnsi="Times New Roman"/>
          <w:sz w:val="20"/>
        </w:rPr>
        <w:t xml:space="preserve"> = 0.086) and 44.4% lower livestock wealth (2.89 TLU). Notably, Q2 (Moderate-Low Volatility, mean Y</w:t>
      </w:r>
      <w:r>
        <w:rPr>
          <w:rFonts w:ascii="Times New Roman" w:hAnsi="Times New Roman"/>
          <w:sz w:val="20"/>
          <w:vertAlign w:val="subscript"/>
        </w:rPr>
        <w:t>vol</w:t>
      </w:r>
      <w:r>
        <w:rPr>
          <w:rFonts w:ascii="Times New Roman" w:hAnsi="Times New Roman"/>
          <w:sz w:val="20"/>
        </w:rPr>
        <w:t xml:space="preserve"> = 0.685) exhibits the highest mean inorganic fertiliser intensity (2,556.67 kg driven by commercial estates), whereas Q3 (Moderate-High Volatility, mean Y</w:t>
      </w:r>
      <w:r>
        <w:rPr>
          <w:rFonts w:ascii="Times New Roman" w:hAnsi="Times New Roman"/>
          <w:sz w:val="20"/>
          <w:vertAlign w:val="subscript"/>
        </w:rPr>
        <w:t>vol</w:t>
      </w:r>
      <w:r>
        <w:rPr>
          <w:rFonts w:ascii="Times New Roman" w:hAnsi="Times New Roman"/>
          <w:sz w:val="20"/>
        </w:rPr>
        <w:t xml:space="preserve"> = 1.476) experiences the largest absolute seasonal yield gap (1,891.01 kg ha</w:t>
      </w:r>
      <w:r>
        <w:rPr>
          <w:rFonts w:ascii="Times New Roman" w:hAnsi="Times New Roman"/>
          <w:sz w:val="20"/>
          <w:vertAlign w:val="superscript"/>
        </w:rPr>
        <w:t>-1</w:t>
      </w:r>
      <w:r>
        <w:rPr>
          <w:rFonts w:ascii="Times New Roman" w:hAnsi="Times New Roman"/>
          <w:sz w:val="20"/>
        </w:rPr>
        <w:t>) and highest plot fragmentation (CV</w:t>
      </w:r>
      <w:r>
        <w:rPr>
          <w:rFonts w:ascii="Times New Roman" w:hAnsi="Times New Roman"/>
          <w:sz w:val="20"/>
          <w:vertAlign w:val="subscript"/>
        </w:rPr>
        <w:t>plot</w:t>
      </w:r>
      <w:r>
        <w:rPr>
          <w:rFonts w:ascii="Times New Roman" w:hAnsi="Times New Roman"/>
          <w:sz w:val="20"/>
        </w:rPr>
        <w:t xml:space="preserve"> = 0.346).</w:t>
      </w:r>
    </w:p>
    <w:p>
      <w:pPr>
        <w:spacing w:before="80" w:after="120"/>
      </w:pPr>
      <w:r>
        <w:rPr>
          <w:rFonts w:ascii="Times New Roman" w:hAnsi="Times New Roman"/>
          <w:sz w:val="18"/>
        </w:rPr>
        <w:t>Table 6 Smallholder agronomic stratification across empirical Yield Volatility Index (Y</w:t>
      </w:r>
      <w:r>
        <w:rPr>
          <w:rFonts w:ascii="Times New Roman" w:hAnsi="Times New Roman"/>
          <w:sz w:val="18"/>
          <w:vertAlign w:val="subscript"/>
        </w:rPr>
        <w:t>vol</w:t>
      </w:r>
      <w:r>
        <w:rPr>
          <w:rFonts w:ascii="Times New Roman" w:hAnsi="Times New Roman"/>
          <w:sz w:val="18"/>
        </w:rPr>
        <w:t>) quartiles (N = 4,564)</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Volatility Stratum</w:t>
            </w:r>
          </w:p>
        </w:tc>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Holdings (N)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Yield Volatility (Y</w:t>
            </w:r>
            <w:r>
              <w:rPr>
                <w:rFonts w:ascii="Times New Roman" w:hAnsi="Times New Roman"/>
                <w:b/>
                <w:sz w:val="17"/>
                <w:vertAlign w:val="subscript"/>
              </w:rPr>
              <w:t>vol</w:t>
            </w:r>
            <w:r>
              <w:rPr>
                <w:rFonts w:ascii="Times New Roman" w:hAnsi="Times New Roman"/>
                <w:b/>
                <w:sz w:val="17"/>
              </w:rPr>
              <w:t>)</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Yield Gap (kg/ha)</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Crop Diversity (Shannon)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Complete Harvest Failure Rate (%)</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Fertiliser Intensity (kg)</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Tropical Livestock Units (TLU)</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Planting Month Difference (Months)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Plot Fragmentation (CV)</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Q1: Low Volatility (Resilient)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174.32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0.243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80.308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400.68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5.196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6.014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0.285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Q2: Moderate-Low Volatility</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0.685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631.48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81.652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2,556.62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4.456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5.920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0.298</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Q3: Moderate-High Volatility</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1.476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1,891.01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0.161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76.168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565.22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7.331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5.575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0.346</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Q4: Hyper-Volatile</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837.26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0.086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34.268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822.49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2.893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1.371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0.291</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vertAlign w:val="superscript"/>
        </w:rPr>
        <w:t>a</w:t>
      </w:r>
      <w:r>
        <w:rPr>
          <w:rFonts w:ascii="Times New Roman" w:hAnsi="Times New Roman"/>
          <w:sz w:val="18"/>
        </w:rPr>
        <w:t>Cohort partitioned into four equal quartiles of N = 1,141 holdings each based on observed Y</w:t>
      </w:r>
      <w:r>
        <w:rPr>
          <w:rFonts w:ascii="Times New Roman" w:hAnsi="Times New Roman"/>
          <w:sz w:val="18"/>
          <w:vertAlign w:val="subscript"/>
        </w:rPr>
        <w:t>vol</w:t>
      </w:r>
      <w:r>
        <w:rPr>
          <w:rFonts w:ascii="Times New Roman" w:hAnsi="Times New Roman"/>
          <w:sz w:val="18"/>
        </w:rPr>
        <w:t>.</w:t>
      </w:r>
    </w:p>
    <w:p>
      <w:pPr>
        <w:jc w:val="both"/>
      </w:pPr>
      <w:r>
        <w:rPr>
          <w:rFonts w:ascii="Times New Roman" w:hAnsi="Times New Roman"/>
          <w:sz w:val="20"/>
        </w:rPr>
        <w:t>To illustrate how the ensemble synthesises these factors at the micro-household level, Table 7 and Fig. 7b, c examine three representative smallholder archetypes alongside a local TreeSHAP waterfall decomposition:</w:t>
      </w:r>
    </w:p>
    <w:p>
      <w:pPr>
        <w:jc w:val="both"/>
      </w:pPr>
      <w:r>
        <w:rPr>
          <w:rFonts w:ascii="Times New Roman" w:hAnsi="Times New Roman"/>
          <w:sz w:val="20"/>
        </w:rPr>
        <w:t>- Case A (Resilient Diversified Agro-Pastoralist, Household Archetype A): Exhibiting high multi-crop diversity, substantial livestock buffers, and zero plot failure, this holding achieves an observed volatility of Y</w:t>
      </w:r>
      <w:r>
        <w:rPr>
          <w:rFonts w:ascii="Times New Roman" w:hAnsi="Times New Roman"/>
          <w:sz w:val="20"/>
          <w:vertAlign w:val="subscript"/>
        </w:rPr>
        <w:t>vol</w:t>
      </w:r>
      <w:r>
        <w:rPr>
          <w:rFonts w:ascii="Times New Roman" w:hAnsi="Times New Roman"/>
          <w:sz w:val="20"/>
        </w:rPr>
        <w:t xml:space="preserve"> = 0.183 (predicted Ŷ</w:t>
      </w:r>
      <w:r>
        <w:rPr>
          <w:rFonts w:ascii="Times New Roman" w:hAnsi="Times New Roman"/>
          <w:sz w:val="20"/>
          <w:vertAlign w:val="subscript"/>
        </w:rPr>
        <w:t>vol</w:t>
      </w:r>
      <w:r>
        <w:rPr>
          <w:rFonts w:ascii="Times New Roman" w:hAnsi="Times New Roman"/>
          <w:sz w:val="20"/>
        </w:rPr>
        <w:t xml:space="preserve"> = 0.285, residual 0.101). Similarly, in the micro-level SHAP waterfall for benchmark resilient holding #0 (Fig. 7c), starting from the population base expectation E[f(X)] = 1.085, synchronised planting timing (Planting Month Difference, ϕ = −0.162), high </w:t>
      </w:r>
      <w:r>
        <w:rPr>
          <w:rFonts w:ascii="Times New Roman" w:hAnsi="Times New Roman"/>
          <w:i/>
          <w:sz w:val="20"/>
        </w:rPr>
        <w:t>Masika</w:t>
      </w:r>
      <w:r>
        <w:rPr>
          <w:rFonts w:ascii="Times New Roman" w:hAnsi="Times New Roman"/>
          <w:sz w:val="20"/>
        </w:rPr>
        <w:t xml:space="preserve"> harvest realisation (ϕ = −0.079), timely </w:t>
      </w:r>
      <w:r>
        <w:rPr>
          <w:rFonts w:ascii="Times New Roman" w:hAnsi="Times New Roman"/>
          <w:i/>
          <w:sz w:val="20"/>
        </w:rPr>
        <w:t>Vuli</w:t>
      </w:r>
      <w:r>
        <w:rPr>
          <w:rFonts w:ascii="Times New Roman" w:hAnsi="Times New Roman"/>
          <w:sz w:val="20"/>
        </w:rPr>
        <w:t xml:space="preserve"> sowing (ϕ = −0.049), balanced seasonal fertiliser allocation (ϕ = −0.039), and active crop rotation (ϕ = −0.029) cumulatively drive the predicted volatility down to f̂(x) = 0.498.</w:t>
      </w:r>
    </w:p>
    <w:p>
      <w:pPr>
        <w:jc w:val="both"/>
      </w:pPr>
      <w:r>
        <w:rPr>
          <w:rFonts w:ascii="Times New Roman" w:hAnsi="Times New Roman"/>
          <w:sz w:val="20"/>
        </w:rPr>
        <w:t>- Case B (Moderate Input-Intensive Specialised Farm, Household Archetype B): Relying on synthetic fertiliser intensification with moderate planting timing disparity and low crop diversity, this farm records Y</w:t>
      </w:r>
      <w:r>
        <w:rPr>
          <w:rFonts w:ascii="Times New Roman" w:hAnsi="Times New Roman"/>
          <w:sz w:val="20"/>
          <w:vertAlign w:val="subscript"/>
        </w:rPr>
        <w:t>vol</w:t>
      </w:r>
      <w:r>
        <w:rPr>
          <w:rFonts w:ascii="Times New Roman" w:hAnsi="Times New Roman"/>
          <w:sz w:val="20"/>
        </w:rPr>
        <w:t xml:space="preserve"> = 1.007 (predicted 0.483).</w:t>
      </w:r>
    </w:p>
    <w:p>
      <w:pPr>
        <w:jc w:val="both"/>
      </w:pPr>
      <w:r>
        <w:rPr>
          <w:rFonts w:ascii="Times New Roman" w:hAnsi="Times New Roman"/>
          <w:sz w:val="20"/>
        </w:rPr>
        <w:t>- Case C (Climate-Shocked Vulnerable Smallholder, Household Archetype C): Suffering severe planting delays, complete plot abandonment shocks, and zero livestock buffers, this household experiences total uni-seasonal collapse (Y</w:t>
      </w:r>
      <w:r>
        <w:rPr>
          <w:rFonts w:ascii="Times New Roman" w:hAnsi="Times New Roman"/>
          <w:sz w:val="20"/>
          <w:vertAlign w:val="subscript"/>
        </w:rPr>
        <w:t>vol</w:t>
      </w:r>
      <w:r>
        <w:rPr>
          <w:rFonts w:ascii="Times New Roman" w:hAnsi="Times New Roman"/>
          <w:sz w:val="20"/>
        </w:rPr>
        <w:t xml:space="preserve"> = 2.000, predicted Ŷ</w:t>
      </w:r>
      <w:r>
        <w:rPr>
          <w:rFonts w:ascii="Times New Roman" w:hAnsi="Times New Roman"/>
          <w:sz w:val="20"/>
          <w:vertAlign w:val="subscript"/>
        </w:rPr>
        <w:t>vol</w:t>
      </w:r>
      <w:r>
        <w:rPr>
          <w:rFonts w:ascii="Times New Roman" w:hAnsi="Times New Roman"/>
          <w:sz w:val="20"/>
        </w:rPr>
        <w:t xml:space="preserve"> = 1.948, residual 0.052).</w:t>
      </w:r>
    </w:p>
    <w:p>
      <w:pPr>
        <w:spacing w:before="80" w:after="120"/>
      </w:pPr>
      <w:r>
        <w:rPr>
          <w:rFonts w:ascii="Times New Roman" w:hAnsi="Times New Roman"/>
          <w:sz w:val="18"/>
        </w:rPr>
        <w:t>Table 7 Representative smallholder archetypes and micro-level counterfactual policy attributions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Case Scenario</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Household Identifier</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Archetype Classification</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Observed Volatility (Y</w:t>
            </w:r>
            <w:r>
              <w:rPr>
                <w:rFonts w:ascii="Times New Roman" w:hAnsi="Times New Roman"/>
                <w:b/>
                <w:sz w:val="17"/>
                <w:vertAlign w:val="subscript"/>
              </w:rPr>
              <w:t>vol</w:t>
            </w:r>
            <w:r>
              <w:rPr>
                <w:rFonts w:ascii="Times New Roman" w:hAnsi="Times New Roman"/>
                <w:b/>
                <w:sz w:val="17"/>
              </w:rPr>
              <w:t>)</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Model Predicted Volatility</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Prediction Error (Residual)</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Key Structural Characteristics</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Targeted Policy Intervention</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A: Resilient Diversified Agro-Pastoralist</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00-68-86-52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Low Volatility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0.183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High crop diversity, substantial livestock TLU buffer, zero plot failure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Maintain mixed crop-livestock integration and agro-forestry buffers</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B: Moderate Input-Intensive Specialised Farm</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00-19-44-35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Moderate Volatility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1.007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Synthetic fertiliser application, moderate planting delta, commercial focus</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Introduce supplemental micro-irrigation and crop rotation to reduce seasonal yield swings</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C: Climate-Shocked Vulnerable Smallholder</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00-72-59-03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Hyper-Volatile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1.971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Severe seasonal planting delay, complete plot abandonment shock, zero livestock buffer</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Targeted social cash transfers, drought-tolerant seed kits, and early planting advisories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vertAlign w:val="superscript"/>
        </w:rPr>
        <w:t>a</w:t>
      </w:r>
      <w:r>
        <w:rPr>
          <w:rFonts w:ascii="Times New Roman" w:hAnsi="Times New Roman"/>
          <w:sz w:val="18"/>
        </w:rPr>
        <w:t>Household identifiers are deterministically hashed (anonymised household identifiers) to preserve respondent confidentiality in accordance with Tanzania National Bureau of Statistics microdata protocols.</w:t>
      </w:r>
    </w:p>
    <w:p>
      <w:pPr>
        <w:jc w:val="center"/>
      </w:pPr>
      <w:r>
        <w:drawing>
          <wp:inline xmlns:a="http://schemas.openxmlformats.org/drawingml/2006/main" xmlns:pic="http://schemas.openxmlformats.org/drawingml/2006/picture">
            <wp:extent cx="5760720" cy="3427446"/>
            <wp:docPr id="7" name="Picture 7"/>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760720" cy="3427446"/>
                    </a:xfrm>
                    <a:prstGeom prst="rect"/>
                  </pic:spPr>
                </pic:pic>
              </a:graphicData>
            </a:graphic>
          </wp:inline>
        </w:drawing>
      </w:r>
    </w:p>
    <w:p>
      <w:pPr>
        <w:spacing w:before="80" w:after="120"/>
      </w:pPr>
      <w:r>
        <w:rPr>
          <w:rFonts w:ascii="Times New Roman" w:hAnsi="Times New Roman"/>
          <w:sz w:val="18"/>
        </w:rPr>
        <w:t>Fig. 7 Five-pillar spatial leakage audit verification, smallholder archetype profiles, and micro-level TreeSHAP attribution: (a) isolation audit compliance scorecard across the five leakage pillars; (b) normalised capacity profiles ([0, 1]) comparing Resilient (Y</w:t>
      </w:r>
      <w:r>
        <w:rPr>
          <w:rFonts w:ascii="Times New Roman" w:hAnsi="Times New Roman"/>
          <w:sz w:val="18"/>
          <w:vertAlign w:val="subscript"/>
        </w:rPr>
        <w:t>vol</w:t>
      </w:r>
      <w:r>
        <w:rPr>
          <w:rFonts w:ascii="Times New Roman" w:hAnsi="Times New Roman"/>
          <w:sz w:val="18"/>
        </w:rPr>
        <w:t xml:space="preserve"> = 0.18), Moderate (Y</w:t>
      </w:r>
      <w:r>
        <w:rPr>
          <w:rFonts w:ascii="Times New Roman" w:hAnsi="Times New Roman"/>
          <w:sz w:val="18"/>
          <w:vertAlign w:val="subscript"/>
        </w:rPr>
        <w:t>vol</w:t>
      </w:r>
      <w:r>
        <w:rPr>
          <w:rFonts w:ascii="Times New Roman" w:hAnsi="Times New Roman"/>
          <w:sz w:val="18"/>
        </w:rPr>
        <w:t xml:space="preserve"> = 1.01), and Hyper-Volatile (Y</w:t>
      </w:r>
      <w:r>
        <w:rPr>
          <w:rFonts w:ascii="Times New Roman" w:hAnsi="Times New Roman"/>
          <w:sz w:val="18"/>
          <w:vertAlign w:val="subscript"/>
        </w:rPr>
        <w:t>vol</w:t>
      </w:r>
      <w:r>
        <w:rPr>
          <w:rFonts w:ascii="Times New Roman" w:hAnsi="Times New Roman"/>
          <w:sz w:val="18"/>
        </w:rPr>
        <w:t xml:space="preserve"> = 2.00) smallholder archetypes; (c) local TreeSHAP waterfall plot for resilient benchmark holding #0 decomposing how protective agronomic practices reduce predicted volatility from the base expectation E[f(X)] = 1.085 to f̂(x) = 0.498 (Graphics programme: Python 3.11 / Matplotlib 3.8)</w:t>
      </w:r>
    </w:p>
    <w:p>
      <w:pPr>
        <w:spacing w:before="180" w:after="60"/>
      </w:pPr>
      <w:r>
        <w:rPr>
          <w:rFonts w:ascii="Times New Roman" w:hAnsi="Times New Roman"/>
          <w:b/>
          <w:sz w:val="22"/>
        </w:rPr>
        <w:t>3.6 Agro-ecological zone hotspots, partial dependence surfaces, and policy counterfactuals</w:t>
      </w:r>
    </w:p>
    <w:p>
      <w:pPr>
        <w:jc w:val="both"/>
      </w:pPr>
      <w:r>
        <w:rPr>
          <w:rFonts w:ascii="Times New Roman" w:hAnsi="Times New Roman"/>
          <w:sz w:val="20"/>
        </w:rPr>
        <w:t>Aggregating holdings across Tanzania's seven macro Agro-Ecological Zones (Fig. 8) uncovers stark geographic gradients in production stability and resilience capacity (1 − Y</w:t>
      </w:r>
      <w:r>
        <w:rPr>
          <w:rFonts w:ascii="Times New Roman" w:hAnsi="Times New Roman"/>
          <w:sz w:val="20"/>
          <w:vertAlign w:val="subscript"/>
        </w:rPr>
        <w:t>vol</w:t>
      </w:r>
      <w:r>
        <w:rPr>
          <w:rFonts w:ascii="Times New Roman" w:hAnsi="Times New Roman"/>
          <w:sz w:val="20"/>
        </w:rPr>
        <w:t xml:space="preserve"> / 2). The Zanzibar Archipelago (Ȳ</w:t>
      </w:r>
      <w:r>
        <w:rPr>
          <w:rFonts w:ascii="Times New Roman" w:hAnsi="Times New Roman"/>
          <w:sz w:val="20"/>
          <w:vertAlign w:val="subscript"/>
        </w:rPr>
        <w:t>vol</w:t>
      </w:r>
      <w:r>
        <w:rPr>
          <w:rFonts w:ascii="Times New Roman" w:hAnsi="Times New Roman"/>
          <w:sz w:val="20"/>
        </w:rPr>
        <w:t xml:space="preserve"> = 1.33, Resilience Index = 0.33), Central Semi-Arid bimodal pockets (Ȳ</w:t>
      </w:r>
      <w:r>
        <w:rPr>
          <w:rFonts w:ascii="Times New Roman" w:hAnsi="Times New Roman"/>
          <w:sz w:val="20"/>
          <w:vertAlign w:val="subscript"/>
        </w:rPr>
        <w:t>vol</w:t>
      </w:r>
      <w:r>
        <w:rPr>
          <w:rFonts w:ascii="Times New Roman" w:hAnsi="Times New Roman"/>
          <w:sz w:val="20"/>
        </w:rPr>
        <w:t xml:space="preserve"> = 1.30, Resilience Index = 0.35), and Southern Highlands (Ȳ</w:t>
      </w:r>
      <w:r>
        <w:rPr>
          <w:rFonts w:ascii="Times New Roman" w:hAnsi="Times New Roman"/>
          <w:sz w:val="20"/>
          <w:vertAlign w:val="subscript"/>
        </w:rPr>
        <w:t>vol</w:t>
      </w:r>
      <w:r>
        <w:rPr>
          <w:rFonts w:ascii="Times New Roman" w:hAnsi="Times New Roman"/>
          <w:sz w:val="20"/>
        </w:rPr>
        <w:t xml:space="preserve"> = 1.23, Resilience Index = 0.39) exhibit the highest inter-seasonal volatility among bimodal cultivators, driven by pronounced moisture asymmetry between the main and secondary rains (Fig. 8a, c). The Northern Highlands (Ȳ</w:t>
      </w:r>
      <w:r>
        <w:rPr>
          <w:rFonts w:ascii="Times New Roman" w:hAnsi="Times New Roman"/>
          <w:sz w:val="20"/>
          <w:vertAlign w:val="subscript"/>
        </w:rPr>
        <w:t>vol</w:t>
      </w:r>
      <w:r>
        <w:rPr>
          <w:rFonts w:ascii="Times New Roman" w:hAnsi="Times New Roman"/>
          <w:sz w:val="20"/>
        </w:rPr>
        <w:t xml:space="preserve"> = 1.10, Resilience Index = 0.45) and Western &amp; Southern Zone (Ȳ</w:t>
      </w:r>
      <w:r>
        <w:rPr>
          <w:rFonts w:ascii="Times New Roman" w:hAnsi="Times New Roman"/>
          <w:sz w:val="20"/>
          <w:vertAlign w:val="subscript"/>
        </w:rPr>
        <w:t>vol</w:t>
      </w:r>
      <w:r>
        <w:rPr>
          <w:rFonts w:ascii="Times New Roman" w:hAnsi="Times New Roman"/>
          <w:sz w:val="20"/>
        </w:rPr>
        <w:t xml:space="preserve"> = 1.04, Resilience Index = 0.48) occupy an intermediate risk tier. By contrast, the Lake Victoria Basin (Ȳ</w:t>
      </w:r>
      <w:r>
        <w:rPr>
          <w:rFonts w:ascii="Times New Roman" w:hAnsi="Times New Roman"/>
          <w:sz w:val="20"/>
          <w:vertAlign w:val="subscript"/>
        </w:rPr>
        <w:t>vol</w:t>
      </w:r>
      <w:r>
        <w:rPr>
          <w:rFonts w:ascii="Times New Roman" w:hAnsi="Times New Roman"/>
          <w:sz w:val="20"/>
        </w:rPr>
        <w:t xml:space="preserve"> = 1.02, Resilience Index = 0.49) and Coastal &amp; Eastern Zone (Ȳ</w:t>
      </w:r>
      <w:r>
        <w:rPr>
          <w:rFonts w:ascii="Times New Roman" w:hAnsi="Times New Roman"/>
          <w:sz w:val="20"/>
          <w:vertAlign w:val="subscript"/>
        </w:rPr>
        <w:t>vol</w:t>
      </w:r>
      <w:r>
        <w:rPr>
          <w:rFonts w:ascii="Times New Roman" w:hAnsi="Times New Roman"/>
          <w:sz w:val="20"/>
        </w:rPr>
        <w:t xml:space="preserve"> = 1.01, Resilience Index = 0.50) achieve the highest inter-seasonal stability, supported by lacustrine and coastal rainfall moderation and widespread cassava–banana–legume intercropping (Fig. 8b, c).</w:t>
      </w:r>
    </w:p>
    <w:p>
      <w:pPr>
        <w:jc w:val="center"/>
      </w:pPr>
      <w:r>
        <w:drawing>
          <wp:inline xmlns:a="http://schemas.openxmlformats.org/drawingml/2006/main" xmlns:pic="http://schemas.openxmlformats.org/drawingml/2006/picture">
            <wp:extent cx="5760720" cy="1957234"/>
            <wp:docPr id="8" name="Picture 8"/>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8"/>
                    <a:stretch>
                      <a:fillRect/>
                    </a:stretch>
                  </pic:blipFill>
                  <pic:spPr>
                    <a:xfrm>
                      <a:off x="0" y="0"/>
                      <a:ext cx="5760720" cy="1957234"/>
                    </a:xfrm>
                    <a:prstGeom prst="rect"/>
                  </pic:spPr>
                </pic:pic>
              </a:graphicData>
            </a:graphic>
          </wp:inline>
        </w:drawing>
      </w:r>
    </w:p>
    <w:p>
      <w:pPr>
        <w:spacing w:before="80" w:after="120"/>
      </w:pPr>
      <w:r>
        <w:rPr>
          <w:rFonts w:ascii="Times New Roman" w:hAnsi="Times New Roman"/>
          <w:sz w:val="18"/>
        </w:rPr>
        <w:t>Fig. 8 Spatial volatility hotspots and resilience capacity across Tanzania's seven Agro-Ecological Zones: (a) mean Yield Volatility Index (Y</w:t>
      </w:r>
      <w:r>
        <w:rPr>
          <w:rFonts w:ascii="Times New Roman" w:hAnsi="Times New Roman"/>
          <w:sz w:val="18"/>
          <w:vertAlign w:val="subscript"/>
        </w:rPr>
        <w:t>vol</w:t>
      </w:r>
      <w:r>
        <w:rPr>
          <w:rFonts w:ascii="Times New Roman" w:hAnsi="Times New Roman"/>
          <w:sz w:val="18"/>
        </w:rPr>
        <w:t xml:space="preserve"> ± 95% confidence interval) by zone; (b) zone-level joint relationship between mean plot harvest failure rate (%) and absolute seasonal yield gap (kg ha</w:t>
      </w:r>
      <w:r>
        <w:rPr>
          <w:rFonts w:ascii="Times New Roman" w:hAnsi="Times New Roman"/>
          <w:sz w:val="18"/>
          <w:vertAlign w:val="superscript"/>
        </w:rPr>
        <w:t>-1</w:t>
      </w:r>
      <w:r>
        <w:rPr>
          <w:rFonts w:ascii="Times New Roman" w:hAnsi="Times New Roman"/>
          <w:sz w:val="18"/>
        </w:rPr>
        <w:t>), sized and coloured by mean Y</w:t>
      </w:r>
      <w:r>
        <w:rPr>
          <w:rFonts w:ascii="Times New Roman" w:hAnsi="Times New Roman"/>
          <w:sz w:val="18"/>
          <w:vertAlign w:val="subscript"/>
        </w:rPr>
        <w:t>vol</w:t>
      </w:r>
      <w:r>
        <w:rPr>
          <w:rFonts w:ascii="Times New Roman" w:hAnsi="Times New Roman"/>
          <w:sz w:val="18"/>
        </w:rPr>
        <w:t>; (c) Agro-Ecological Resilience Index (1 − Y</w:t>
      </w:r>
      <w:r>
        <w:rPr>
          <w:rFonts w:ascii="Times New Roman" w:hAnsi="Times New Roman"/>
          <w:sz w:val="18"/>
          <w:vertAlign w:val="subscript"/>
        </w:rPr>
        <w:t>vol</w:t>
      </w:r>
      <w:r>
        <w:rPr>
          <w:rFonts w:ascii="Times New Roman" w:hAnsi="Times New Roman"/>
          <w:sz w:val="18"/>
        </w:rPr>
        <w:t xml:space="preserve"> / 2) stratified by risk tier (Graphics programme: Python 3.11 / Matplotlib 3.8)</w:t>
      </w:r>
    </w:p>
    <w:p>
      <w:pPr>
        <w:jc w:val="both"/>
      </w:pPr>
      <w:r>
        <w:rPr>
          <w:rFonts w:ascii="Times New Roman" w:hAnsi="Times New Roman"/>
          <w:sz w:val="20"/>
        </w:rPr>
        <w:t>One-dimensional marginal response surfaces (Fig. 9) pinpoint four actionable agronomic tipping points across the national cohort:</w:t>
      </w:r>
    </w:p>
    <w:p>
      <w:pPr>
        <w:jc w:val="both"/>
      </w:pPr>
      <w:r>
        <w:rPr>
          <w:rFonts w:ascii="Times New Roman" w:hAnsi="Times New Roman"/>
          <w:sz w:val="20"/>
        </w:rPr>
        <w:t>1. Planting Month Synchronisation (Fig. 9a): The partial response to inter-seasonal planting delay exhibits a sharp V-shaped trough around ΔM ∈ [−1, +1] months (Y</w:t>
      </w:r>
      <w:r>
        <w:rPr>
          <w:rFonts w:ascii="Times New Roman" w:hAnsi="Times New Roman"/>
          <w:sz w:val="20"/>
          <w:vertAlign w:val="subscript"/>
        </w:rPr>
        <w:t>vol</w:t>
      </w:r>
      <w:r>
        <w:rPr>
          <w:rFonts w:ascii="Times New Roman" w:hAnsi="Times New Roman"/>
          <w:sz w:val="20"/>
        </w:rPr>
        <w:t xml:space="preserve"> ≈ 0.72), rising steeply to &gt; 1.25 when inter-seasonal sowing windows drift beyond ± 4 months.</w:t>
      </w:r>
    </w:p>
    <w:p>
      <w:pPr>
        <w:jc w:val="both"/>
      </w:pPr>
      <w:r>
        <w:rPr>
          <w:rFonts w:ascii="Times New Roman" w:hAnsi="Times New Roman"/>
          <w:sz w:val="20"/>
        </w:rPr>
        <w:t>2. Critical Livestock Buffer Threshold (Fig. 9b): Smallholders owning &lt; 3.0 TLU (shaded high-vulnerability zone) face elevated baseline volatility (Y</w:t>
      </w:r>
      <w:r>
        <w:rPr>
          <w:rFonts w:ascii="Times New Roman" w:hAnsi="Times New Roman"/>
          <w:sz w:val="20"/>
          <w:vertAlign w:val="subscript"/>
        </w:rPr>
        <w:t>vol</w:t>
      </w:r>
      <w:r>
        <w:rPr>
          <w:rFonts w:ascii="Times New Roman" w:hAnsi="Times New Roman"/>
          <w:sz w:val="20"/>
        </w:rPr>
        <w:t xml:space="preserve"> ≈ 1.10–1.18); crossing the 3.0 TLU threshold—equivalent to owning four indigenous cattle or three cattle plus ten small ruminants—triggers a sharp downward shift in Y</w:t>
      </w:r>
      <w:r>
        <w:rPr>
          <w:rFonts w:ascii="Times New Roman" w:hAnsi="Times New Roman"/>
          <w:sz w:val="20"/>
          <w:vertAlign w:val="subscript"/>
        </w:rPr>
        <w:t>vol</w:t>
      </w:r>
      <w:r>
        <w:rPr>
          <w:rFonts w:ascii="Times New Roman" w:hAnsi="Times New Roman"/>
          <w:sz w:val="20"/>
        </w:rPr>
        <w:t xml:space="preserve"> toward 0.82–0.90.</w:t>
      </w:r>
    </w:p>
    <w:p>
      <w:pPr>
        <w:jc w:val="both"/>
      </w:pPr>
      <w:r>
        <w:rPr>
          <w:rFonts w:ascii="Times New Roman" w:hAnsi="Times New Roman"/>
          <w:sz w:val="20"/>
        </w:rPr>
        <w:t>3. Peer-Relative Crop Diversification (Fig. 9c): Holdings with Shannon diversity below their regional community average experience Y</w:t>
      </w:r>
      <w:r>
        <w:rPr>
          <w:rFonts w:ascii="Times New Roman" w:hAnsi="Times New Roman"/>
          <w:sz w:val="20"/>
          <w:vertAlign w:val="subscript"/>
        </w:rPr>
        <w:t>vol</w:t>
      </w:r>
      <w:r>
        <w:rPr>
          <w:rFonts w:ascii="Times New Roman" w:hAnsi="Times New Roman"/>
          <w:sz w:val="20"/>
        </w:rPr>
        <w:t xml:space="preserve"> &gt; 1.15, whereas holdings exceeding regional peer diversity by +0.40 Shannon units reduce marginal volatility below 0.85.</w:t>
      </w:r>
    </w:p>
    <w:p>
      <w:pPr>
        <w:jc w:val="both"/>
      </w:pPr>
      <w:r>
        <w:rPr>
          <w:rFonts w:ascii="Times New Roman" w:hAnsi="Times New Roman"/>
          <w:sz w:val="20"/>
        </w:rPr>
        <w:t>4. Plot Abandonment Escalation (Fig. 9d): Marginal volatility increases monotonically with the share of unharvested plots, climbing from 0.78 at 0% abandonment to &gt; 1.45 once plot failure exceeds 40% of holding area.</w:t>
      </w:r>
    </w:p>
    <w:p>
      <w:pPr>
        <w:jc w:val="center"/>
      </w:pPr>
      <w:r>
        <w:drawing>
          <wp:inline xmlns:a="http://schemas.openxmlformats.org/drawingml/2006/main" xmlns:pic="http://schemas.openxmlformats.org/drawingml/2006/picture">
            <wp:extent cx="5760720" cy="3697897"/>
            <wp:docPr id="9" name="Picture 9"/>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9"/>
                    <a:stretch>
                      <a:fillRect/>
                    </a:stretch>
                  </pic:blipFill>
                  <pic:spPr>
                    <a:xfrm>
                      <a:off x="0" y="0"/>
                      <a:ext cx="5760720" cy="3697897"/>
                    </a:xfrm>
                    <a:prstGeom prst="rect"/>
                  </pic:spPr>
                </pic:pic>
              </a:graphicData>
            </a:graphic>
          </wp:inline>
        </w:drawing>
      </w:r>
    </w:p>
    <w:p>
      <w:pPr>
        <w:spacing w:before="80" w:after="120"/>
      </w:pPr>
      <w:r>
        <w:rPr>
          <w:rFonts w:ascii="Times New Roman" w:hAnsi="Times New Roman"/>
          <w:sz w:val="18"/>
        </w:rPr>
        <w:t>Fig. 9 One-dimensional agro-economic partial dependence and marginal response surfaces for the four primary continuous drivers of yield volatility: (a) seasonal planting month difference (ΔM, highlighting synchronised planting at ΔM = 0); (b) Tropical Livestock Units (TLU, highlighting the &lt; 3.0 TLU high-vulnerability zone); (c) Shannon crop diversity difference from the regional peer mean; (d) complete plot harvest abandonment share (%) (Graphics programme: Python 3.11 / Matplotlib 3.8)</w:t>
      </w:r>
    </w:p>
    <w:p>
      <w:pPr>
        <w:jc w:val="both"/>
      </w:pPr>
      <w:r>
        <w:rPr>
          <w:rFonts w:ascii="Times New Roman" w:hAnsi="Times New Roman"/>
          <w:sz w:val="20"/>
        </w:rPr>
        <w:t>Finally, we conduct out-of-fold Policy Counterfactual Stress-Testing (Fig. 10) by simulating three targeted agricultural policy interventions across the N = 4,564 holdings:</w:t>
      </w:r>
    </w:p>
    <w:p>
      <w:pPr>
        <w:jc w:val="both"/>
      </w:pPr>
      <w:r>
        <w:rPr>
          <w:rFonts w:ascii="Times New Roman" w:hAnsi="Times New Roman"/>
          <w:sz w:val="20"/>
        </w:rPr>
        <w:t>- Scenario 1 (Safety-Net Livestock Asset Transfer): Providing +2.0 TLU (e.g., a small-ruminant pass-on programme) to asset-poor holdings (TLU &lt; 1.0) shifts the predicted volatility density leftward (Fig. 10a), reducing the national share of hyper-volatile holdings (Y</w:t>
      </w:r>
      <w:r>
        <w:rPr>
          <w:rFonts w:ascii="Times New Roman" w:hAnsi="Times New Roman"/>
          <w:sz w:val="20"/>
          <w:vertAlign w:val="subscript"/>
        </w:rPr>
        <w:t>vol</w:t>
      </w:r>
      <w:r>
        <w:rPr>
          <w:rFonts w:ascii="Times New Roman" w:hAnsi="Times New Roman"/>
          <w:sz w:val="20"/>
        </w:rPr>
        <w:t xml:space="preserve"> ≥ 1.50) from 25.8% (Baseline) to 25.1% (Fig. 10b) and lowering mean national volatility by 11.6% (Fig. 10c).</w:t>
      </w:r>
    </w:p>
    <w:p>
      <w:pPr>
        <w:jc w:val="both"/>
      </w:pPr>
      <w:r>
        <w:rPr>
          <w:rFonts w:ascii="Times New Roman" w:hAnsi="Times New Roman"/>
          <w:sz w:val="20"/>
        </w:rPr>
        <w:t>- Scenario 2 (Crop Diversification Extension): Expanding crop portfolio diversity by +0.40 Shannon units (intercropping drought-tolerant legumes and roots/tubers) among monoculture holdings (H′</w:t>
      </w:r>
      <w:r>
        <w:rPr>
          <w:rFonts w:ascii="Times New Roman" w:hAnsi="Times New Roman"/>
          <w:sz w:val="20"/>
          <w:vertAlign w:val="subscript"/>
        </w:rPr>
        <w:t>m</w:t>
      </w:r>
      <w:r>
        <w:rPr>
          <w:rFonts w:ascii="Times New Roman" w:hAnsi="Times New Roman"/>
          <w:sz w:val="20"/>
        </w:rPr>
        <w:t xml:space="preserve"> &lt; 0.20) reduces hyper-volatile holdings from 25.8% to 24.6% and lowers mean national volatility by 16.0%.</w:t>
      </w:r>
    </w:p>
    <w:p>
      <w:pPr>
        <w:jc w:val="both"/>
      </w:pPr>
      <w:r>
        <w:rPr>
          <w:rFonts w:ascii="Times New Roman" w:hAnsi="Times New Roman"/>
          <w:sz w:val="20"/>
        </w:rPr>
        <w:t>- Scenario 3 (Integrated Climate-Smart Agriculture [CSA] Package): Combining the +2.0 TLU safety-net asset buffer, +0.40 Shannon legume–cereal diversification, and early-warning meteorological planting advisories shifts the entire density distribution toward the resilient regime (Fig. 10a), cutting the prevalence of hyper-volatile holdings from 25.8% to 19.9% (Fig. 10b) and achieving a 40.0% net reduction in mean national yield volatility (Fig. 10c).</w:t>
      </w:r>
    </w:p>
    <w:p>
      <w:pPr>
        <w:jc w:val="center"/>
      </w:pPr>
      <w:r>
        <w:drawing>
          <wp:inline xmlns:a="http://schemas.openxmlformats.org/drawingml/2006/main" xmlns:pic="http://schemas.openxmlformats.org/drawingml/2006/picture">
            <wp:extent cx="5760720" cy="2171615"/>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20"/>
                    <a:stretch>
                      <a:fillRect/>
                    </a:stretch>
                  </pic:blipFill>
                  <pic:spPr>
                    <a:xfrm>
                      <a:off x="0" y="0"/>
                      <a:ext cx="5760720" cy="2171615"/>
                    </a:xfrm>
                    <a:prstGeom prst="rect"/>
                  </pic:spPr>
                </pic:pic>
              </a:graphicData>
            </a:graphic>
          </wp:inline>
        </w:drawing>
      </w:r>
    </w:p>
    <w:p>
      <w:pPr>
        <w:spacing w:before="80" w:after="120"/>
      </w:pPr>
      <w:r>
        <w:rPr>
          <w:rFonts w:ascii="Times New Roman" w:hAnsi="Times New Roman"/>
          <w:sz w:val="18"/>
        </w:rPr>
        <w:t>Fig. 10 Policy counterfactual stress-testing and volatility mitigation scenarios across N = 4,564 smallholder holdings: (a) kernel density distribution shift of predicted yield volatility (Ŷ</w:t>
      </w:r>
      <w:r>
        <w:rPr>
          <w:rFonts w:ascii="Times New Roman" w:hAnsi="Times New Roman"/>
          <w:sz w:val="18"/>
          <w:vertAlign w:val="subscript"/>
        </w:rPr>
        <w:t>vol</w:t>
      </w:r>
      <w:r>
        <w:rPr>
          <w:rFonts w:ascii="Times New Roman" w:hAnsi="Times New Roman"/>
          <w:sz w:val="18"/>
        </w:rPr>
        <w:t>) under Baseline Status Quo, +2.0 TLU Asset Transfer, +0.40 Shannon Crop Diversification, and the Integrated Climate-Smart Agriculture (CSA) Package; (b) percentage of smallholder holdings classified as hyper-volatile (Y</w:t>
      </w:r>
      <w:r>
        <w:rPr>
          <w:rFonts w:ascii="Times New Roman" w:hAnsi="Times New Roman"/>
          <w:sz w:val="18"/>
          <w:vertAlign w:val="subscript"/>
        </w:rPr>
        <w:t>vol</w:t>
      </w:r>
      <w:r>
        <w:rPr>
          <w:rFonts w:ascii="Times New Roman" w:hAnsi="Times New Roman"/>
          <w:sz w:val="18"/>
        </w:rPr>
        <w:t xml:space="preserve"> ≥ 1.50) across scenarios; (c) net mean yield volatility reduction efficiency (%) relative to baseline (Graphics programme: Python 3.11 / Matplotlib 3.8)</w:t>
      </w:r>
    </w:p>
    <w:p>
      <w:pPr>
        <w:spacing w:before="240" w:after="80"/>
      </w:pPr>
      <w:r>
        <w:rPr>
          <w:rFonts w:ascii="Times New Roman" w:hAnsi="Times New Roman"/>
          <w:b/>
          <w:sz w:val="24"/>
        </w:rPr>
        <w:t>4 Discussion</w:t>
      </w:r>
    </w:p>
    <w:p>
      <w:pPr>
        <w:spacing w:before="180" w:after="60"/>
      </w:pPr>
      <w:r>
        <w:rPr>
          <w:rFonts w:ascii="Times New Roman" w:hAnsi="Times New Roman"/>
          <w:b/>
          <w:sz w:val="22"/>
        </w:rPr>
        <w:t>4.1 Methodological imperatives: preventing spatial leakage in agricultural machine learning</w:t>
      </w:r>
    </w:p>
    <w:p>
      <w:pPr>
        <w:jc w:val="both"/>
      </w:pPr>
      <w:r>
        <w:rPr>
          <w:rFonts w:ascii="Times New Roman" w:hAnsi="Times New Roman"/>
          <w:sz w:val="20"/>
        </w:rPr>
        <w:t>A central contribution of this study is demonstrating that predictive machine learning models of smallholder food security can achieve high out-of-sample explanatory power (R</w:t>
      </w:r>
      <w:r>
        <w:rPr>
          <w:rFonts w:ascii="Times New Roman" w:hAnsi="Times New Roman"/>
          <w:sz w:val="20"/>
          <w:vertAlign w:val="superscript"/>
        </w:rPr>
        <w:t>2</w:t>
      </w:r>
      <w:r>
        <w:rPr>
          <w:rFonts w:ascii="Times New Roman" w:hAnsi="Times New Roman"/>
          <w:sz w:val="20"/>
        </w:rPr>
        <w:t xml:space="preserve"> = 0.592, RMSE = 0.464) under rigorous spatial group cross-validation, provided that domain-grounded feature engineering is paired with strict geographic and preprocessing isolation. In recent years, a series of landmark methodological critiques in ecology, remote sensing, and agricultural economics has exposed how pervasive spatial autocorrelation leakage is in environmental machine learning (Roberts et al., 2017; Meyer et al., 2018, 2019; Ploton et al., 2020; Wadoux et al., 2021). When nearby agricultural plots or households within the same census Enumeration Area are split randomly across training and validation sets, flexible tree ensembles exploit spatial proximity as a shortcut—effectively performing spatial interpolation of local residuals rather than learning biophysical and socioeconomic response functions (Ploton et al., 2020; Meyer &amp; Pebesma, 2021). When such models are subsequently deployed to predict food shocks in unsampled districts or newly surveyed villages, their predictive accuracy collapses.</w:t>
      </w:r>
    </w:p>
    <w:p>
      <w:pPr>
        <w:jc w:val="both"/>
      </w:pPr>
      <w:r>
        <w:rPr>
          <w:rFonts w:ascii="Times New Roman" w:hAnsi="Times New Roman"/>
          <w:sz w:val="20"/>
        </w:rPr>
        <w:t xml:space="preserve">Our Five-Pillar Spatial Leakage Isolation Protocol (Table 5, Fig. 7a) directly addresses these concerns and establishes a reproducible template for survey-based machine learning in </w:t>
      </w:r>
      <w:r>
        <w:rPr>
          <w:rFonts w:ascii="Times New Roman" w:hAnsi="Times New Roman"/>
          <w:i/>
          <w:sz w:val="20"/>
        </w:rPr>
        <w:t>Food Security</w:t>
      </w:r>
      <w:r>
        <w:rPr>
          <w:rFonts w:ascii="Times New Roman" w:hAnsi="Times New Roman"/>
          <w:sz w:val="20"/>
        </w:rPr>
        <w:t>. By enforcing geographic group cross-validation partitioning across all 921 Enumeration Areas (Equation 10), every validation prediction in our benchmark is generated for a village cluster completely unseen during training. Furthermore, isolating robust interquartile scaling transformations, K-Means archetype clustering, PCA orthogonal factor extraction, and tree-gain feature selection inside training fold boundaries prevents subtle distributional lookahead bias (Kaufman et al., 2012; Kapoor &amp; Narayanan, 2023). Our finding that pruning 146 low-gain candidate variables preserves 99.0% of tree information gain (Fig. 3a) whilst stabilising out-of-fold R</w:t>
      </w:r>
      <w:r>
        <w:rPr>
          <w:rFonts w:ascii="Times New Roman" w:hAnsi="Times New Roman"/>
          <w:sz w:val="20"/>
          <w:vertAlign w:val="superscript"/>
        </w:rPr>
        <w:t>2</w:t>
      </w:r>
      <w:r>
        <w:rPr>
          <w:rFonts w:ascii="Times New Roman" w:hAnsi="Times New Roman"/>
          <w:sz w:val="20"/>
        </w:rPr>
        <w:t xml:space="preserve"> within a narrow 0.587 ± 0.030 band across all five geographic folds (Fig. 2c) confirms that regularised gradient boosting ensembles (LightGBM and XGBoost) blended with bootstrap-aggregated Random Forest trees effectively mitigate variance across noisy multi-unit survey microdata.</w:t>
      </w:r>
    </w:p>
    <w:p>
      <w:pPr>
        <w:jc w:val="both"/>
      </w:pPr>
      <w:r>
        <w:rPr>
          <w:rFonts w:ascii="Times New Roman" w:hAnsi="Times New Roman"/>
          <w:sz w:val="20"/>
        </w:rPr>
        <w:t>Equally important for national monitoring systems is our empirical demonstration of the Spatial Transferability Advantage of pooled national modelling (Table 4, Fig. 5). In decentralising agricultural administration, analysts often assume that local models calibrated separately for individual administrative regions will better capture local context than a single national model. Our empirical results decisively refute this assumption for smallholder survey data: the Unified National Weighted Ensemble outperforms standalone regional models in 26 of 27 regions (ΔR</w:t>
      </w:r>
      <w:r>
        <w:rPr>
          <w:rFonts w:ascii="Times New Roman" w:hAnsi="Times New Roman"/>
          <w:sz w:val="20"/>
          <w:vertAlign w:val="superscript"/>
        </w:rPr>
        <w:t>2</w:t>
      </w:r>
      <w:r>
        <w:rPr>
          <w:rFonts w:ascii="Times New Roman" w:hAnsi="Times New Roman"/>
          <w:sz w:val="20"/>
        </w:rPr>
        <w:t xml:space="preserve"> &gt; 0), boosting pooled explained variance from R</w:t>
      </w:r>
      <w:r>
        <w:rPr>
          <w:rFonts w:ascii="Times New Roman" w:hAnsi="Times New Roman"/>
          <w:sz w:val="20"/>
          <w:vertAlign w:val="superscript"/>
        </w:rPr>
        <w:t>2</w:t>
      </w:r>
      <w:r>
        <w:rPr>
          <w:rFonts w:ascii="Times New Roman" w:hAnsi="Times New Roman"/>
          <w:sz w:val="20"/>
        </w:rPr>
        <w:t xml:space="preserve"> = 0.348 to R</w:t>
      </w:r>
      <w:r>
        <w:rPr>
          <w:rFonts w:ascii="Times New Roman" w:hAnsi="Times New Roman"/>
          <w:sz w:val="20"/>
          <w:vertAlign w:val="superscript"/>
        </w:rPr>
        <w:t>2</w:t>
      </w:r>
      <w:r>
        <w:rPr>
          <w:rFonts w:ascii="Times New Roman" w:hAnsi="Times New Roman"/>
          <w:sz w:val="20"/>
        </w:rPr>
        <w:t xml:space="preserve"> = 0.592. Because our feature space explicitly incorporates regional community peer deviations (ΔX</w:t>
      </w:r>
      <w:r>
        <w:rPr>
          <w:rFonts w:ascii="Times New Roman" w:hAnsi="Times New Roman"/>
          <w:sz w:val="20"/>
          <w:vertAlign w:val="subscript"/>
        </w:rPr>
        <w:t>k,i</w:t>
      </w:r>
      <w:r>
        <w:rPr>
          <w:rFonts w:ascii="Times New Roman" w:hAnsi="Times New Roman"/>
          <w:sz w:val="20"/>
          <w:vertAlign w:val="superscript"/>
        </w:rPr>
        <w:t>reg</w:t>
      </w:r>
      <w:r>
        <w:rPr>
          <w:rFonts w:ascii="Times New Roman" w:hAnsi="Times New Roman"/>
          <w:sz w:val="20"/>
        </w:rPr>
        <w:t>, Equation 9) and latent agro-ecological PCA factors, the national ensemble successfully pools statistical strength across analogous agro-ecological niches—allowing data-sparse regions such as Kusini Pemba (N = 93, ΔR</w:t>
      </w:r>
      <w:r>
        <w:rPr>
          <w:rFonts w:ascii="Times New Roman" w:hAnsi="Times New Roman"/>
          <w:sz w:val="20"/>
          <w:vertAlign w:val="superscript"/>
        </w:rPr>
        <w:t>2</w:t>
      </w:r>
      <w:r>
        <w:rPr>
          <w:rFonts w:ascii="Times New Roman" w:hAnsi="Times New Roman"/>
          <w:sz w:val="20"/>
        </w:rPr>
        <w:t xml:space="preserve"> = +0.411), Dodoma (N = 27, ΔR</w:t>
      </w:r>
      <w:r>
        <w:rPr>
          <w:rFonts w:ascii="Times New Roman" w:hAnsi="Times New Roman"/>
          <w:sz w:val="20"/>
          <w:vertAlign w:val="superscript"/>
        </w:rPr>
        <w:t>2</w:t>
      </w:r>
      <w:r>
        <w:rPr>
          <w:rFonts w:ascii="Times New Roman" w:hAnsi="Times New Roman"/>
          <w:sz w:val="20"/>
        </w:rPr>
        <w:t xml:space="preserve"> = +0.541), and Iringa (N = 14, ΔR</w:t>
      </w:r>
      <w:r>
        <w:rPr>
          <w:rFonts w:ascii="Times New Roman" w:hAnsi="Times New Roman"/>
          <w:sz w:val="20"/>
          <w:vertAlign w:val="superscript"/>
        </w:rPr>
        <w:t>2</w:t>
      </w:r>
      <w:r>
        <w:rPr>
          <w:rFonts w:ascii="Times New Roman" w:hAnsi="Times New Roman"/>
          <w:sz w:val="20"/>
        </w:rPr>
        <w:t xml:space="preserve"> = +0.627) to borrow non-linear response structure from data-rich bimodal zones.</w:t>
      </w:r>
    </w:p>
    <w:p>
      <w:pPr>
        <w:spacing w:before="180" w:after="60"/>
      </w:pPr>
      <w:r>
        <w:rPr>
          <w:rFonts w:ascii="Times New Roman" w:hAnsi="Times New Roman"/>
          <w:b/>
          <w:sz w:val="22"/>
        </w:rPr>
        <w:t>4.2 Phenological timing, portfolio diversity, and agro-ecological buffering</w:t>
      </w:r>
    </w:p>
    <w:p>
      <w:pPr>
        <w:jc w:val="both"/>
      </w:pPr>
      <w:r>
        <w:rPr>
          <w:rFonts w:ascii="Times New Roman" w:hAnsi="Times New Roman"/>
          <w:sz w:val="20"/>
        </w:rPr>
        <w:t>Our TreeSHAP attributions (Table 3, Fig. 4) and partial dependence surfaces (Fig. 9) provide novel micro-econometric evidence on the hierarchy of mechanisms governing smallholder yield stability in bimodal tropics. The emergence of Planting Month Difference  and Mean Vuli Planting Month  as two of the top three predictors of Y</w:t>
      </w:r>
      <w:r>
        <w:rPr>
          <w:rFonts w:ascii="Times New Roman" w:hAnsi="Times New Roman"/>
          <w:sz w:val="20"/>
          <w:vertAlign w:val="subscript"/>
        </w:rPr>
        <w:t>vol</w:t>
      </w:r>
      <w:r>
        <w:rPr>
          <w:rFonts w:ascii="Times New Roman" w:hAnsi="Times New Roman"/>
          <w:sz w:val="20"/>
        </w:rPr>
        <w:t xml:space="preserve"> underscores the critical role of phenological synchronisation under increasing rainfall variability (Rowhani et al., 2011; Thornton et al., 2014). In bimodal Tanzania, the </w:t>
      </w:r>
      <w:r>
        <w:rPr>
          <w:rFonts w:ascii="Times New Roman" w:hAnsi="Times New Roman"/>
          <w:i/>
          <w:sz w:val="20"/>
        </w:rPr>
        <w:t>Vuli</w:t>
      </w:r>
      <w:r>
        <w:rPr>
          <w:rFonts w:ascii="Times New Roman" w:hAnsi="Times New Roman"/>
          <w:sz w:val="20"/>
        </w:rPr>
        <w:t xml:space="preserve"> short rains are characterised by a narrow sowing window; when delayed onset of the October rains or household labour/liquidity bottlenecks force farmers to sow late, crops encounter terminal moisture stress during flowering and grain filling in January, resulting in severe </w:t>
      </w:r>
      <w:r>
        <w:rPr>
          <w:rFonts w:ascii="Times New Roman" w:hAnsi="Times New Roman"/>
          <w:i/>
          <w:sz w:val="20"/>
        </w:rPr>
        <w:t>Vuli</w:t>
      </w:r>
      <w:r>
        <w:rPr>
          <w:rFonts w:ascii="Times New Roman" w:hAnsi="Times New Roman"/>
          <w:sz w:val="20"/>
        </w:rPr>
        <w:t xml:space="preserve"> yield depression and extreme inter-seasonal divergence (Y</w:t>
      </w:r>
      <w:r>
        <w:rPr>
          <w:rFonts w:ascii="Times New Roman" w:hAnsi="Times New Roman"/>
          <w:sz w:val="20"/>
          <w:vertAlign w:val="subscript"/>
        </w:rPr>
        <w:t>vol</w:t>
      </w:r>
      <w:r>
        <w:rPr>
          <w:rFonts w:ascii="Times New Roman" w:hAnsi="Times New Roman"/>
          <w:sz w:val="20"/>
        </w:rPr>
        <w:t xml:space="preserve"> &gt; 1.30, Fig. 9a).</w:t>
      </w:r>
    </w:p>
    <w:p>
      <w:pPr>
        <w:jc w:val="both"/>
      </w:pPr>
      <w:r>
        <w:rPr>
          <w:rFonts w:ascii="Times New Roman" w:hAnsi="Times New Roman"/>
          <w:sz w:val="20"/>
        </w:rPr>
        <w:t xml:space="preserve">Second, our results strongly corroborate the agro-ecological biodiversity–stability hypothesis at the farm-household scale (Tilman et al., 2006; Lin, 2011; Renard &amp; Tilman, 2019; Beillouin et al., 2021). However, a key nuance revealed by our feature ranking (Table 3) is that community-benchmarked diversity (crop diversity relative to the regional mean, Rank 4) and inter-seasonal species evenness stability (inter-seasonal species evenness shift, Rank 5) are substantially stronger predictors of yield stability than raw species counts alone (number of crops cultivated, Rank 44; Online Resource 1). Cultivating multiple crops only buffers yield volatility when cultivar areas are distributed equitably (high Pielou evenness J′) and when portfolio diversity exceeds the baseline required by the local agro-ecological zone (Fig. 6b, Fig. 9c). In the Lake Victoria Basin and Coastal &amp; Eastern zones (Fig. 8), intercropping cereals (maize, sorghum) with nitrogen-fixing legumes (common beans, cowpeas, pigeon peas) and drought-tolerant root/tuber crops (cassava, sweet potatoes) creates physiological portfolio insurance: because cassava and pigeon peas possess deep taproots and flexible harvest windows, they maintain baseline caloric output when shallow-rooted maize fails during erratic </w:t>
      </w:r>
      <w:r>
        <w:rPr>
          <w:rFonts w:ascii="Times New Roman" w:hAnsi="Times New Roman"/>
          <w:i/>
          <w:sz w:val="20"/>
        </w:rPr>
        <w:t>Vuli</w:t>
      </w:r>
      <w:r>
        <w:rPr>
          <w:rFonts w:ascii="Times New Roman" w:hAnsi="Times New Roman"/>
          <w:sz w:val="20"/>
        </w:rPr>
        <w:t xml:space="preserve"> rains (Kassie et al., 2015; Tilman et al., 2006).</w:t>
      </w:r>
    </w:p>
    <w:p>
      <w:pPr>
        <w:spacing w:before="180" w:after="60"/>
      </w:pPr>
      <w:r>
        <w:rPr>
          <w:rFonts w:ascii="Times New Roman" w:hAnsi="Times New Roman"/>
          <w:b/>
          <w:sz w:val="22"/>
        </w:rPr>
        <w:t>4.3 Capital–labour dynamics, livestock buffers, and input intensification risks</w:t>
      </w:r>
    </w:p>
    <w:p>
      <w:pPr>
        <w:jc w:val="both"/>
      </w:pPr>
      <w:r>
        <w:rPr>
          <w:rFonts w:ascii="Times New Roman" w:hAnsi="Times New Roman"/>
          <w:sz w:val="20"/>
        </w:rPr>
        <w:t>Beyond plot ecology, our findings illuminate how household asset endowments and input intensification shape vulnerability to production shocks. Consistent with consumption-smoothing and buffer-stock theory in development economics (Dercon, 2004; Zimmerman &amp; Carter, 2003; Dillon et al., 2015), Tropical Livestock Units  emerge as the primary household wealth buffer against crop yield volatility (Rank 6 in split frequency; Table 3). Crucially, our partial dependence analysis (Fig. 9b) and interaction plots (Fig. 6a) identify a sharp non-linear tipping point at 3.0 TLU. Below 3.0 TLU, smallholders lack sufficient liquid wealth or animal traction to buffer planting delays, resulting in persistently high volatility (Y</w:t>
      </w:r>
      <w:r>
        <w:rPr>
          <w:rFonts w:ascii="Times New Roman" w:hAnsi="Times New Roman"/>
          <w:sz w:val="20"/>
          <w:vertAlign w:val="subscript"/>
        </w:rPr>
        <w:t>vol</w:t>
      </w:r>
      <w:r>
        <w:rPr>
          <w:rFonts w:ascii="Times New Roman" w:hAnsi="Times New Roman"/>
          <w:sz w:val="20"/>
        </w:rPr>
        <w:t xml:space="preserve"> &gt; 1.10). Above 3.0 TLU, mixed crop–livestock integration stabilises seasonal yields through three synergistic pathways: (i) ox-plough traction enables rapid land preparation immediately following the first effective rains, compressing inter-seasonal planting delay; (ii) farmyard manure application improves soil organic matter and water-holding capacity on degraded sandy-loam plots (Tittonell &amp; Giller, 2013); and (iii) sale of small ruminants provides timely liquidity to hire weeding labour (cultivated land area per adult labourer, Rank 9) and purchase improved drought-tolerant seed without liquidating core productive assets.</w:t>
      </w:r>
    </w:p>
    <w:p>
      <w:pPr>
        <w:jc w:val="both"/>
      </w:pPr>
      <w:r>
        <w:rPr>
          <w:rFonts w:ascii="Times New Roman" w:hAnsi="Times New Roman"/>
          <w:sz w:val="20"/>
        </w:rPr>
        <w:t>Conversely, our quartile stratification (Table 6) highlights an important cautionary lesson regarding unbuffered chemical intensification. Holdings in the hyper-volatile quartile (Q4, mean Y</w:t>
      </w:r>
      <w:r>
        <w:rPr>
          <w:rFonts w:ascii="Times New Roman" w:hAnsi="Times New Roman"/>
          <w:sz w:val="20"/>
          <w:vertAlign w:val="subscript"/>
        </w:rPr>
        <w:t>vol</w:t>
      </w:r>
      <w:r>
        <w:rPr>
          <w:rFonts w:ascii="Times New Roman" w:hAnsi="Times New Roman"/>
          <w:sz w:val="20"/>
        </w:rPr>
        <w:t xml:space="preserve"> = 2.000) apply higher mean inorganic fertiliser (822.49 kg) than resilient holdings in Q1 (400.64 kg), yet suffer complete uni-seasonal harvest collapse when accompanied by low crop diversity (H′</w:t>
      </w:r>
      <w:r>
        <w:rPr>
          <w:rFonts w:ascii="Times New Roman" w:hAnsi="Times New Roman"/>
          <w:sz w:val="20"/>
          <w:vertAlign w:val="subscript"/>
        </w:rPr>
        <w:t>m</w:t>
      </w:r>
      <w:r>
        <w:rPr>
          <w:rFonts w:ascii="Times New Roman" w:hAnsi="Times New Roman"/>
          <w:sz w:val="20"/>
        </w:rPr>
        <w:t xml:space="preserve"> = 0.086) and low livestock buffers (2.89 TLU). Furthermore, our interaction surface between plot fragmentation and irrigation (Fig. 6c) demonstrates that parcel fragmentation (CV</w:t>
      </w:r>
      <w:r>
        <w:rPr>
          <w:rFonts w:ascii="Times New Roman" w:hAnsi="Times New Roman"/>
          <w:sz w:val="20"/>
          <w:vertAlign w:val="subscript"/>
        </w:rPr>
        <w:t>plot</w:t>
      </w:r>
      <w:r>
        <w:rPr>
          <w:rFonts w:ascii="Times New Roman" w:hAnsi="Times New Roman"/>
          <w:sz w:val="20"/>
        </w:rPr>
        <w:t>) exacerbates yield volatility under rainfed conditions by increasing travel time and dispersing scarce family labour across distant plots, whereas supplemental micro-irrigation neutralises this penalty and stabilises yields across both seasons (Teklewold et al., 2013; Benami et al., 2021).</w:t>
      </w:r>
    </w:p>
    <w:p>
      <w:pPr>
        <w:spacing w:before="180" w:after="60"/>
      </w:pPr>
      <w:r>
        <w:rPr>
          <w:rFonts w:ascii="Times New Roman" w:hAnsi="Times New Roman"/>
          <w:b/>
          <w:sz w:val="22"/>
        </w:rPr>
        <w:t>4.4 Limitations and future research directions</w:t>
      </w:r>
    </w:p>
    <w:p>
      <w:pPr>
        <w:jc w:val="both"/>
      </w:pPr>
      <w:r>
        <w:rPr>
          <w:rFonts w:ascii="Times New Roman" w:hAnsi="Times New Roman"/>
          <w:sz w:val="20"/>
        </w:rPr>
        <w:t>Whilst this study establishes a rigorous spatial machine learning benchmark for Tanzanian smallholder agriculture, several limitations warrant consideration and define priorities for future research:</w:t>
      </w:r>
    </w:p>
    <w:p>
      <w:pPr>
        <w:jc w:val="both"/>
      </w:pPr>
      <w:r>
        <w:rPr>
          <w:rFonts w:ascii="Times New Roman" w:hAnsi="Times New Roman"/>
          <w:sz w:val="20"/>
        </w:rPr>
        <w:t xml:space="preserve">1. Cross-Sectional Inter-Seasonal Scope vs. Multi-Year Panels: Although the 2024/2025 AASS captures consecutive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seasons within a single survey wave, it does not track the same household cohort across multiple years. Integrating our spatial ensemble framework with multi-wave longitudinal panels—such as the Tanzania National Panel Survey (NPS / LSMS-ISA)—would allow separation of intra-annual seasonal volatility from decadal climate trends.</w:t>
      </w:r>
    </w:p>
    <w:p>
      <w:pPr>
        <w:jc w:val="both"/>
      </w:pPr>
      <w:r>
        <w:rPr>
          <w:rFonts w:ascii="Times New Roman" w:hAnsi="Times New Roman"/>
          <w:sz w:val="20"/>
        </w:rPr>
        <w:t>2. Assimilation of High-Resolution Earth Observation Covariates: To preserve respondent privacy in the public AASS microdata, Enumeration Area identifiers are anonymised without exact GPS latitude/longitude coordinates. Future operational deployment within government ministries where confidential EA centroids are accessible should fuse survey rosters with 5 km CHIRPS daily precipitation anomalies, MODIS/Sentinel-2 Normalized Difference Vegetation Index (NDVI) phenology curves, and ERA5-Land root-zone soil moisture products (Burke &amp; Lobell, 2017; Benami et al., 2021).</w:t>
      </w:r>
    </w:p>
    <w:p>
      <w:pPr>
        <w:jc w:val="both"/>
      </w:pPr>
      <w:r>
        <w:rPr>
          <w:rFonts w:ascii="Times New Roman" w:hAnsi="Times New Roman"/>
          <w:sz w:val="20"/>
        </w:rPr>
        <w:t>3. Observational Counterfactual Assumptions: Our policy simulations (Fig. 10) represent partial-equilibrium structural stress tests derived from out-of-fold ensemble response surfaces rather than randomised controlled trials (RCTs). General-equilibrium market price feedbacks and local grazing carrying-capacity constraints should be incorporated via bio-economic simulation before scaling nationwide livestock transfer programmes.</w:t>
      </w:r>
    </w:p>
    <w:p>
      <w:pPr>
        <w:spacing w:before="180" w:after="60"/>
      </w:pPr>
      <w:r>
        <w:rPr>
          <w:rFonts w:ascii="Times New Roman" w:hAnsi="Times New Roman"/>
          <w:b/>
          <w:sz w:val="22"/>
        </w:rPr>
        <w:t>4.5 Concluding remarks and policy implications</w:t>
      </w:r>
    </w:p>
    <w:p>
      <w:pPr>
        <w:jc w:val="both"/>
      </w:pPr>
      <w:r>
        <w:rPr>
          <w:rFonts w:ascii="Times New Roman" w:hAnsi="Times New Roman"/>
          <w:sz w:val="20"/>
        </w:rPr>
        <w:t>This study developed, audited, and validated a leakage-free spatial machine learning framework to predict household-level inter-seasonal crop yield volatility (Y</w:t>
      </w:r>
      <w:r>
        <w:rPr>
          <w:rFonts w:ascii="Times New Roman" w:hAnsi="Times New Roman"/>
          <w:sz w:val="20"/>
          <w:vertAlign w:val="subscript"/>
        </w:rPr>
        <w:t>vol</w:t>
      </w:r>
      <w:r>
        <w:rPr>
          <w:rFonts w:ascii="Times New Roman" w:hAnsi="Times New Roman"/>
          <w:sz w:val="20"/>
        </w:rPr>
        <w:t xml:space="preserve"> ∈ [0, 2]) across 4,564 bimodal smallholder holdings in 921 Enumeration Areas of Tanzania. By enforcing a Five-Pillar Spatial Leakage Isolation Protocol and pruning 246 multi-domain candidate predictors to a 100-feature champion subset, our soft-voting Weighted Ensemble (0.50 LightGBM + 0.40 XGBoost + 0.10 Random Forest) achieved an out-of-sample Spatial R</w:t>
      </w:r>
      <w:r>
        <w:rPr>
          <w:rFonts w:ascii="Times New Roman" w:hAnsi="Times New Roman"/>
          <w:sz w:val="20"/>
          <w:vertAlign w:val="superscript"/>
        </w:rPr>
        <w:t>2</w:t>
      </w:r>
      <w:r>
        <w:rPr>
          <w:rFonts w:ascii="Times New Roman" w:hAnsi="Times New Roman"/>
          <w:sz w:val="20"/>
        </w:rPr>
        <w:t xml:space="preserve"> of 0.592 (RMSE = 0.464) and outperformed isolated regional models across 26 of 27 administrative regions.</w:t>
      </w:r>
    </w:p>
    <w:p>
      <w:pPr>
        <w:jc w:val="both"/>
      </w:pPr>
      <w:r>
        <w:rPr>
          <w:rFonts w:ascii="Times New Roman" w:hAnsi="Times New Roman"/>
          <w:sz w:val="20"/>
        </w:rPr>
        <w:t>Our empirical findings and counterfactual stress tests (Fig. 10) translate directly into three actionable policy recommendations for Tanzania's Ministry of Agriculture, the National Food Reserve Agency (NFRA), and the Tanzania Social Action Fund (TASAF):</w:t>
      </w:r>
    </w:p>
    <w:p>
      <w:pPr>
        <w:jc w:val="both"/>
      </w:pPr>
      <w:r>
        <w:rPr>
          <w:rFonts w:ascii="Times New Roman" w:hAnsi="Times New Roman"/>
          <w:sz w:val="20"/>
        </w:rPr>
        <w:t>1. Transition from Fertiliser-Only Subsidies to Diversified Climate-Smart Input Bundles: Input subsidy programmes should condition synthetic fertiliser vouchers on intercropping or rotating cereals with drought-tolerant legumes and roots/tubers (+0.40 Shannon diversity target), which our simulations show reduces hyper-volatile holdings from 25.8% to 24.6% and lowers mean national volatility by 16.0%.</w:t>
      </w:r>
    </w:p>
    <w:p>
      <w:pPr>
        <w:jc w:val="both"/>
      </w:pPr>
      <w:r>
        <w:rPr>
          <w:rFonts w:ascii="Times New Roman" w:hAnsi="Times New Roman"/>
          <w:sz w:val="20"/>
        </w:rPr>
        <w:t>2. Target Productive Livestock Safety Nets to the &lt; 3.0 TLU Vulnerability Stratum: Social protection and rural credit programmes (such as TASAF productive inclusion grants) should prioritise small-ruminant and poultry asset transfers (+2.0 TLU) for holdings below the 3.0 TLU tipping point (Fig. 9b), providing liquid buffer capital that cuts hyper-volatile exposure to 25.1% and lowers mean national volatility by 11.6%.</w:t>
      </w:r>
    </w:p>
    <w:p>
      <w:pPr>
        <w:jc w:val="both"/>
      </w:pPr>
      <w:r>
        <w:rPr>
          <w:rFonts w:ascii="Times New Roman" w:hAnsi="Times New Roman"/>
          <w:sz w:val="20"/>
        </w:rPr>
        <w:t xml:space="preserve">3. Deploy Spatially Calibrated Early-Warning Planting Advisories and Integrated CSA Packages: Combining localised agrometeorological onset advisories from the Tanzania Meteorological Authority (TMA) to synchronise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sowing windows with crop diversification and livestock buffers (Integrated CSA Package, Fig. 10) reduces the prevalence of hyper-volatile smallholders from 25.8% to 19.9% and achieves a 40.0% net reduction in mean national yield volatility—offering a scalable, empirically validated pathway toward resilient food security in East Africa.</w:t>
      </w:r>
    </w:p>
    <w:p>
      <w:pPr>
        <w:spacing w:before="240" w:after="80"/>
      </w:pPr>
      <w:r>
        <w:rPr>
          <w:rFonts w:ascii="Times New Roman" w:hAnsi="Times New Roman"/>
          <w:b/>
          <w:sz w:val="24"/>
        </w:rPr>
        <w:t>Statements and Declarations</w:t>
      </w:r>
    </w:p>
    <w:p>
      <w:pPr>
        <w:spacing w:before="180" w:after="60"/>
      </w:pPr>
      <w:r>
        <w:rPr>
          <w:rFonts w:ascii="Times New Roman" w:hAnsi="Times New Roman"/>
          <w:b/>
          <w:sz w:val="22"/>
        </w:rPr>
        <w:t>Funding</w:t>
      </w:r>
    </w:p>
    <w:p>
      <w:pPr>
        <w:jc w:val="both"/>
      </w:pPr>
      <w:r>
        <w:rPr>
          <w:rFonts w:ascii="Times New Roman" w:hAnsi="Times New Roman"/>
          <w:sz w:val="20"/>
        </w:rPr>
        <w:t>The author declares that no specific external grant, contract, or financial support from funding agencies in the public, commercial, or not-for-profit sectors was received during the preparation of this manuscript. Computational infrastructure and institutional support were provided by the Electronics and Precision Agriculture Lab (EPALab), Department of Agricultural Engineering, School of Engineering and Technology, Sokoine University of Agriculture (SUA), Morogoro, Tanzania.</w:t>
      </w:r>
    </w:p>
    <w:p>
      <w:pPr>
        <w:spacing w:before="180" w:after="60"/>
      </w:pPr>
      <w:r>
        <w:rPr>
          <w:rFonts w:ascii="Times New Roman" w:hAnsi="Times New Roman"/>
          <w:b/>
          <w:sz w:val="22"/>
        </w:rPr>
        <w:t>Competing Interests</w:t>
      </w:r>
    </w:p>
    <w:p>
      <w:pPr>
        <w:jc w:val="both"/>
      </w:pPr>
      <w:r>
        <w:rPr>
          <w:rFonts w:ascii="Times New Roman" w:hAnsi="Times New Roman"/>
          <w:sz w:val="20"/>
        </w:rPr>
        <w:t>The author has no relevant financial or non-financial competing interests to disclose.</w:t>
      </w:r>
    </w:p>
    <w:p>
      <w:pPr>
        <w:spacing w:before="180" w:after="60"/>
      </w:pPr>
      <w:r>
        <w:rPr>
          <w:rFonts w:ascii="Times New Roman" w:hAnsi="Times New Roman"/>
          <w:b/>
          <w:sz w:val="22"/>
        </w:rPr>
        <w:t>Ethics Approval</w:t>
      </w:r>
    </w:p>
    <w:p>
      <w:pPr>
        <w:jc w:val="both"/>
      </w:pPr>
      <w:r>
        <w:rPr>
          <w:rFonts w:ascii="Times New Roman" w:hAnsi="Times New Roman"/>
          <w:sz w:val="20"/>
        </w:rPr>
        <w:t>This study relies exclusively on secondary, fully anonymised household survey microdata collected and disseminated by the National Bureau of Statistics (NBS) of the United Republic of Tanzania under the Statistics Act, Cap 351. All household identifiers were cryptographically anonymised prior to public release. In accordance with institutional guidelines at Sokoine University of Agriculture (SUA) and international standards for secondary analysis of de-identified public microdata, no additional human-subjects ethics committee intervention was required.</w:t>
      </w:r>
    </w:p>
    <w:p>
      <w:pPr>
        <w:spacing w:before="180" w:after="60"/>
      </w:pPr>
      <w:r>
        <w:rPr>
          <w:rFonts w:ascii="Times New Roman" w:hAnsi="Times New Roman"/>
          <w:b/>
          <w:sz w:val="22"/>
        </w:rPr>
        <w:t>Consent to Participate</w:t>
      </w:r>
    </w:p>
    <w:p>
      <w:pPr>
        <w:jc w:val="both"/>
      </w:pPr>
      <w:r>
        <w:rPr>
          <w:rFonts w:ascii="Times New Roman" w:hAnsi="Times New Roman"/>
          <w:sz w:val="20"/>
        </w:rPr>
        <w:t>Informed consent was obtained from all participating agricultural household heads by trained enumerators of the National Bureau of Statistics (NBS) and the Office of the Chief Government Statistician (OCGS) Zanzibar during field execution of the 2024/2025 Annual Agricultural Sample Survey (AASS).</w:t>
      </w:r>
    </w:p>
    <w:p>
      <w:pPr>
        <w:spacing w:before="180" w:after="60"/>
      </w:pPr>
      <w:r>
        <w:rPr>
          <w:rFonts w:ascii="Times New Roman" w:hAnsi="Times New Roman"/>
          <w:b/>
          <w:sz w:val="22"/>
        </w:rPr>
        <w:t>Consent to Publish</w:t>
      </w:r>
    </w:p>
    <w:p>
      <w:pPr>
        <w:jc w:val="both"/>
      </w:pPr>
      <w:r>
        <w:rPr>
          <w:rFonts w:ascii="Times New Roman" w:hAnsi="Times New Roman"/>
          <w:sz w:val="20"/>
        </w:rPr>
        <w:t>All empirical findings, tables, and household archetype profiles reported in this manuscript are fully anonymised and contain no personally identifiable information or individual images requiring separate consent to publish.</w:t>
      </w:r>
    </w:p>
    <w:p>
      <w:pPr>
        <w:spacing w:before="180" w:after="60"/>
      </w:pPr>
      <w:r>
        <w:rPr>
          <w:rFonts w:ascii="Times New Roman" w:hAnsi="Times New Roman"/>
          <w:b/>
          <w:sz w:val="22"/>
        </w:rPr>
        <w:t>Data Availability</w:t>
      </w:r>
    </w:p>
    <w:p>
      <w:pPr>
        <w:jc w:val="both"/>
      </w:pPr>
      <w:r>
        <w:rPr>
          <w:rFonts w:ascii="Times New Roman" w:hAnsi="Times New Roman"/>
          <w:sz w:val="20"/>
        </w:rPr>
        <w:t>The primary 2024/2025 Annual Agricultural Sample Survey (AASS) microdata files are publicly catalogued and available upon registration through the Tanzania National Bureau of Statistics (TNBS) National Data Archive (NADA) portal (https://microdata.nbs.go.tz/index.php/catalog/69) and the FAO Microdata Catalogue (https://microdata.fao.org/). All processed summary tables (Table 1–Table 7) and Online Resource 1 (ESM</w:t>
      </w:r>
      <w:r>
        <w:rPr>
          <w:rFonts w:ascii="Times New Roman" w:hAnsi="Times New Roman"/>
          <w:sz w:val="20"/>
          <w:vertAlign w:val="subscript"/>
        </w:rPr>
        <w:t>1</w:t>
      </w:r>
      <w:r>
        <w:rPr>
          <w:rFonts w:ascii="Times New Roman" w:hAnsi="Times New Roman"/>
          <w:sz w:val="20"/>
        </w:rPr>
        <w:t>.csv) are included with this submission.</w:t>
      </w:r>
    </w:p>
    <w:p>
      <w:pPr>
        <w:spacing w:before="180" w:after="60"/>
      </w:pPr>
      <w:r>
        <w:rPr>
          <w:rFonts w:ascii="Times New Roman" w:hAnsi="Times New Roman"/>
          <w:b/>
          <w:sz w:val="22"/>
        </w:rPr>
        <w:t>Code Availability</w:t>
      </w:r>
    </w:p>
    <w:p>
      <w:pPr>
        <w:jc w:val="both"/>
      </w:pPr>
      <w:r>
        <w:rPr>
          <w:rFonts w:ascii="Times New Roman" w:hAnsi="Times New Roman"/>
          <w:sz w:val="20"/>
        </w:rPr>
        <w:t>The complete, reproducible Python source code implementing data preprocessing, feature engineering, spatial leakage auditing, supervised machine learning ensemble architectures, spatial cross-validation benchmarks, and visualization scripts is archived in a private GitHub repository and will be made openly available upon publication of this research.</w:t>
      </w:r>
    </w:p>
    <w:p>
      <w:pPr>
        <w:spacing w:before="180" w:after="60"/>
      </w:pPr>
      <w:r>
        <w:rPr>
          <w:rFonts w:ascii="Times New Roman" w:hAnsi="Times New Roman"/>
          <w:b/>
          <w:sz w:val="22"/>
        </w:rPr>
        <w:t>Author Contributions</w:t>
      </w:r>
    </w:p>
    <w:p>
      <w:pPr>
        <w:jc w:val="both"/>
      </w:pPr>
      <w:r>
        <w:rPr>
          <w:rFonts w:ascii="Times New Roman" w:hAnsi="Times New Roman"/>
          <w:sz w:val="20"/>
        </w:rPr>
        <w:t>Kadeghe Goodluck Fue: Conceptualisation, Methodology, Data Curation, Software Architecture, Formal Statistical and Machine Learning Analysis, Spatial Leakage Auditing, Visualisation, Writing – Original Draft, Writing – Review &amp; Editing. The author read and approved the final manuscript.</w:t>
      </w:r>
    </w:p>
    <w:p>
      <w:pPr>
        <w:spacing w:before="180" w:after="60"/>
      </w:pPr>
      <w:r>
        <w:rPr>
          <w:rFonts w:ascii="Times New Roman" w:hAnsi="Times New Roman"/>
          <w:b/>
          <w:sz w:val="22"/>
        </w:rPr>
        <w:t>Acknowledgements</w:t>
      </w:r>
    </w:p>
    <w:p>
      <w:pPr>
        <w:jc w:val="both"/>
      </w:pPr>
      <w:r>
        <w:rPr>
          <w:rFonts w:ascii="Times New Roman" w:hAnsi="Times New Roman"/>
          <w:sz w:val="20"/>
        </w:rPr>
        <w:t>The author gratefully acknowledges the National Bureau of Statistics (NBS) of the United Republic of Tanzania, the Ministry of Agriculture, the Office of the Chief Government Statistician (OCGS) Zanzibar, and the Food and Agriculture Organization of the United Nations (FAO) 50x2030 Initiative for collecting, curating, and providing access to the 2024/2025 Annual Agricultural Sample Survey (AASS) microdata. The author also thanks colleagues at the Electronics and Precision Agriculture Lab (EPALab), Department of Agricultural Engineering, Sokoine University of Agriculture (SUA), for insightful discussions on East African smallholder farming systems.</w:t>
      </w:r>
    </w:p>
    <w:p>
      <w:pPr>
        <w:spacing w:before="240" w:after="80"/>
      </w:pPr>
      <w:r>
        <w:rPr>
          <w:rFonts w:ascii="Times New Roman" w:hAnsi="Times New Roman"/>
          <w:b/>
          <w:sz w:val="24"/>
        </w:rPr>
        <w:t>Electronic Supplementary Material</w:t>
      </w:r>
    </w:p>
    <w:p>
      <w:pPr>
        <w:jc w:val="both"/>
      </w:pPr>
      <w:r>
        <w:rPr>
          <w:rFonts w:ascii="Times New Roman" w:hAnsi="Times New Roman"/>
          <w:sz w:val="20"/>
        </w:rPr>
        <w:t>Below is the link to the electronic supplementary material.</w:t>
      </w:r>
    </w:p>
    <w:p>
      <w:pPr>
        <w:jc w:val="both"/>
      </w:pPr>
      <w:r>
        <w:rPr>
          <w:rFonts w:ascii="Times New Roman" w:hAnsi="Times New Roman"/>
          <w:sz w:val="20"/>
        </w:rPr>
        <w:t>- Online Resource 1 (Online Resource 1): Complete Grandmaster Feature Importance Ranking and Selection Status across all 246 Engineered Multi-Domain Candidate Predictors (N = 4,564 holdings, 921 Enumeration Areas).</w:t>
      </w:r>
    </w:p>
    <w:p>
      <w:pPr>
        <w:spacing w:before="240" w:after="80"/>
      </w:pPr>
      <w:r>
        <w:rPr>
          <w:rFonts w:ascii="Times New Roman" w:hAnsi="Times New Roman"/>
          <w:b/>
          <w:sz w:val="24"/>
        </w:rPr>
        <w:t>References</w:t>
      </w:r>
    </w:p>
    <w:p>
      <w:pPr>
        <w:jc w:val="both"/>
      </w:pPr>
      <w:r>
        <w:rPr>
          <w:rFonts w:ascii="Times New Roman" w:hAnsi="Times New Roman"/>
          <w:sz w:val="20"/>
        </w:rPr>
        <w:t xml:space="preserve">Arndt, C., Farmer, W., Strzepek, K., &amp; Thurlow, J. (2012). Climate change, agriculture and food security in Tanzania. </w:t>
      </w:r>
      <w:r>
        <w:rPr>
          <w:rFonts w:ascii="Times New Roman" w:hAnsi="Times New Roman"/>
          <w:i/>
          <w:sz w:val="20"/>
        </w:rPr>
        <w:t>Review of Development Economics</w:t>
      </w:r>
      <w:r>
        <w:rPr>
          <w:rFonts w:ascii="Times New Roman" w:hAnsi="Times New Roman"/>
          <w:sz w:val="20"/>
        </w:rPr>
        <w:t xml:space="preserve">, </w:t>
      </w:r>
      <w:r>
        <w:rPr>
          <w:rFonts w:ascii="Times New Roman" w:hAnsi="Times New Roman"/>
          <w:i/>
          <w:sz w:val="20"/>
        </w:rPr>
        <w:t>16</w:t>
      </w:r>
      <w:r>
        <w:rPr>
          <w:rFonts w:ascii="Times New Roman" w:hAnsi="Times New Roman"/>
          <w:sz w:val="20"/>
        </w:rPr>
        <w:t>(3), 378–393. https://doi.org/10.1111/j.1467-9361.2012.00669.x</w:t>
      </w:r>
    </w:p>
    <w:p>
      <w:pPr>
        <w:jc w:val="both"/>
      </w:pPr>
      <w:r>
        <w:rPr>
          <w:rFonts w:ascii="Times New Roman" w:hAnsi="Times New Roman"/>
          <w:sz w:val="20"/>
        </w:rPr>
        <w:t xml:space="preserve">Barrett, C. B. (2010). Measuring food insecurity.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327</w:t>
      </w:r>
      <w:r>
        <w:rPr>
          <w:rFonts w:ascii="Times New Roman" w:hAnsi="Times New Roman"/>
          <w:sz w:val="20"/>
        </w:rPr>
        <w:t>(5967), 825–828. https://doi.org/10.1126/science.1182768</w:t>
      </w:r>
    </w:p>
    <w:p>
      <w:pPr>
        <w:jc w:val="both"/>
      </w:pPr>
      <w:r>
        <w:rPr>
          <w:rFonts w:ascii="Times New Roman" w:hAnsi="Times New Roman"/>
          <w:sz w:val="20"/>
        </w:rPr>
        <w:t xml:space="preserve">Barrett, C. B., &amp; Constas, M. A. (2014). Toward a theory of resilience for international development applications. </w:t>
      </w:r>
      <w:r>
        <w:rPr>
          <w:rFonts w:ascii="Times New Roman" w:hAnsi="Times New Roman"/>
          <w:i/>
          <w:sz w:val="20"/>
        </w:rPr>
        <w:t>Proceedings of the National Academy of Sciences</w:t>
      </w:r>
      <w:r>
        <w:rPr>
          <w:rFonts w:ascii="Times New Roman" w:hAnsi="Times New Roman"/>
          <w:sz w:val="20"/>
        </w:rPr>
        <w:t xml:space="preserve">, </w:t>
      </w:r>
      <w:r>
        <w:rPr>
          <w:rFonts w:ascii="Times New Roman" w:hAnsi="Times New Roman"/>
          <w:i/>
          <w:sz w:val="20"/>
        </w:rPr>
        <w:t>111</w:t>
      </w:r>
      <w:r>
        <w:rPr>
          <w:rFonts w:ascii="Times New Roman" w:hAnsi="Times New Roman"/>
          <w:sz w:val="20"/>
        </w:rPr>
        <w:t>(40), 14625–14630. https://doi.org/10.1073/pnas.1320880111</w:t>
      </w:r>
    </w:p>
    <w:p>
      <w:pPr>
        <w:jc w:val="both"/>
      </w:pPr>
      <w:r>
        <w:rPr>
          <w:rFonts w:ascii="Times New Roman" w:hAnsi="Times New Roman"/>
          <w:sz w:val="20"/>
        </w:rPr>
        <w:t xml:space="preserve">Beillouin, D., Ben-Ari, T., Malézieux, E., Seufert, V., &amp; Makowski, D. (2021). Positive but variable effects of crop diversification on biodiversity and ecosystem services. </w:t>
      </w:r>
      <w:r>
        <w:rPr>
          <w:rFonts w:ascii="Times New Roman" w:hAnsi="Times New Roman"/>
          <w:i/>
          <w:sz w:val="20"/>
        </w:rPr>
        <w:t>Global Change Biology</w:t>
      </w:r>
      <w:r>
        <w:rPr>
          <w:rFonts w:ascii="Times New Roman" w:hAnsi="Times New Roman"/>
          <w:sz w:val="20"/>
        </w:rPr>
        <w:t xml:space="preserve">, </w:t>
      </w:r>
      <w:r>
        <w:rPr>
          <w:rFonts w:ascii="Times New Roman" w:hAnsi="Times New Roman"/>
          <w:i/>
          <w:sz w:val="20"/>
        </w:rPr>
        <w:t>27</w:t>
      </w:r>
      <w:r>
        <w:rPr>
          <w:rFonts w:ascii="Times New Roman" w:hAnsi="Times New Roman"/>
          <w:sz w:val="20"/>
        </w:rPr>
        <w:t>(19), 4697–4710. https://doi.org/10.1111/gcb.15747</w:t>
      </w:r>
    </w:p>
    <w:p>
      <w:pPr>
        <w:jc w:val="both"/>
      </w:pPr>
      <w:r>
        <w:rPr>
          <w:rFonts w:ascii="Times New Roman" w:hAnsi="Times New Roman"/>
          <w:sz w:val="20"/>
        </w:rPr>
        <w:t xml:space="preserve">Benami, E., Jin, Z., Carter, M. R., Ghosh, A., Hijmans, R. J., Hobbs, A., Kenduiywo, B., &amp; Lobell, D. B. (2021). Uniting remote sensing, crop modelling and economics for agricultural risk management. </w:t>
      </w:r>
      <w:r>
        <w:rPr>
          <w:rFonts w:ascii="Times New Roman" w:hAnsi="Times New Roman"/>
          <w:i/>
          <w:sz w:val="20"/>
        </w:rPr>
        <w:t>Nature Reviews Earth &amp; Environment</w:t>
      </w:r>
      <w:r>
        <w:rPr>
          <w:rFonts w:ascii="Times New Roman" w:hAnsi="Times New Roman"/>
          <w:sz w:val="20"/>
        </w:rPr>
        <w:t xml:space="preserve">, </w:t>
      </w:r>
      <w:r>
        <w:rPr>
          <w:rFonts w:ascii="Times New Roman" w:hAnsi="Times New Roman"/>
          <w:i/>
          <w:sz w:val="20"/>
        </w:rPr>
        <w:t>2</w:t>
      </w:r>
      <w:r>
        <w:rPr>
          <w:rFonts w:ascii="Times New Roman" w:hAnsi="Times New Roman"/>
          <w:sz w:val="20"/>
        </w:rPr>
        <w:t>(2), 140–159. https://doi.org/10.1038/s43017-020-00122-y</w:t>
      </w:r>
    </w:p>
    <w:p>
      <w:pPr>
        <w:jc w:val="both"/>
      </w:pPr>
      <w:r>
        <w:rPr>
          <w:rFonts w:ascii="Times New Roman" w:hAnsi="Times New Roman"/>
          <w:sz w:val="20"/>
        </w:rPr>
        <w:t xml:space="preserve">Breiman, L. (1996). Stacked regressions. </w:t>
      </w:r>
      <w:r>
        <w:rPr>
          <w:rFonts w:ascii="Times New Roman" w:hAnsi="Times New Roman"/>
          <w:i/>
          <w:sz w:val="20"/>
        </w:rPr>
        <w:t>Machine Learning</w:t>
      </w:r>
      <w:r>
        <w:rPr>
          <w:rFonts w:ascii="Times New Roman" w:hAnsi="Times New Roman"/>
          <w:sz w:val="20"/>
        </w:rPr>
        <w:t xml:space="preserve">, </w:t>
      </w:r>
      <w:r>
        <w:rPr>
          <w:rFonts w:ascii="Times New Roman" w:hAnsi="Times New Roman"/>
          <w:i/>
          <w:sz w:val="20"/>
        </w:rPr>
        <w:t>24</w:t>
      </w:r>
      <w:r>
        <w:rPr>
          <w:rFonts w:ascii="Times New Roman" w:hAnsi="Times New Roman"/>
          <w:sz w:val="20"/>
        </w:rPr>
        <w:t>(1), 49–64. https://doi.org/10.1023/A:1018046112532</w:t>
      </w:r>
    </w:p>
    <w:p>
      <w:pPr>
        <w:jc w:val="both"/>
      </w:pPr>
      <w:r>
        <w:rPr>
          <w:rFonts w:ascii="Times New Roman" w:hAnsi="Times New Roman"/>
          <w:sz w:val="20"/>
        </w:rPr>
        <w:t xml:space="preserve">Breiman, L. (2001). Random forests. </w:t>
      </w:r>
      <w:r>
        <w:rPr>
          <w:rFonts w:ascii="Times New Roman" w:hAnsi="Times New Roman"/>
          <w:i/>
          <w:sz w:val="20"/>
        </w:rPr>
        <w:t>Machine Learning</w:t>
      </w:r>
      <w:r>
        <w:rPr>
          <w:rFonts w:ascii="Times New Roman" w:hAnsi="Times New Roman"/>
          <w:sz w:val="20"/>
        </w:rPr>
        <w:t xml:space="preserve">, </w:t>
      </w:r>
      <w:r>
        <w:rPr>
          <w:rFonts w:ascii="Times New Roman" w:hAnsi="Times New Roman"/>
          <w:i/>
          <w:sz w:val="20"/>
        </w:rPr>
        <w:t>45</w:t>
      </w:r>
      <w:r>
        <w:rPr>
          <w:rFonts w:ascii="Times New Roman" w:hAnsi="Times New Roman"/>
          <w:sz w:val="20"/>
        </w:rPr>
        <w:t>(1), 5–32. https://doi.org/10.1023/A:1010933404324</w:t>
      </w:r>
    </w:p>
    <w:p>
      <w:pPr>
        <w:jc w:val="both"/>
      </w:pPr>
      <w:r>
        <w:rPr>
          <w:rFonts w:ascii="Times New Roman" w:hAnsi="Times New Roman"/>
          <w:sz w:val="20"/>
        </w:rPr>
        <w:t xml:space="preserve">Burke, M., &amp; Lobell, D. B. (2017). Satellite-based assessment of yield variation and its determinants in smallholder African systems. </w:t>
      </w:r>
      <w:r>
        <w:rPr>
          <w:rFonts w:ascii="Times New Roman" w:hAnsi="Times New Roman"/>
          <w:i/>
          <w:sz w:val="20"/>
        </w:rPr>
        <w:t>Proceedings of the National Academy of Sciences</w:t>
      </w:r>
      <w:r>
        <w:rPr>
          <w:rFonts w:ascii="Times New Roman" w:hAnsi="Times New Roman"/>
          <w:sz w:val="20"/>
        </w:rPr>
        <w:t xml:space="preserve">, </w:t>
      </w:r>
      <w:r>
        <w:rPr>
          <w:rFonts w:ascii="Times New Roman" w:hAnsi="Times New Roman"/>
          <w:i/>
          <w:sz w:val="20"/>
        </w:rPr>
        <w:t>114</w:t>
      </w:r>
      <w:r>
        <w:rPr>
          <w:rFonts w:ascii="Times New Roman" w:hAnsi="Times New Roman"/>
          <w:sz w:val="20"/>
        </w:rPr>
        <w:t>(9), 2189–2194. https://doi.org/10.1073/pnas.1616919114</w:t>
      </w:r>
    </w:p>
    <w:p>
      <w:pPr>
        <w:jc w:val="both"/>
      </w:pPr>
      <w:r>
        <w:rPr>
          <w:rFonts w:ascii="Times New Roman" w:hAnsi="Times New Roman"/>
          <w:sz w:val="20"/>
        </w:rPr>
        <w:t xml:space="preserve">Carletto, C., Gourlay, S., &amp; Winters, P. (2015). From guesstimates to GPStimates: Land area measurement and implications for agricultural analysis. </w:t>
      </w:r>
      <w:r>
        <w:rPr>
          <w:rFonts w:ascii="Times New Roman" w:hAnsi="Times New Roman"/>
          <w:i/>
          <w:sz w:val="20"/>
        </w:rPr>
        <w:t>Journal of African Economies</w:t>
      </w:r>
      <w:r>
        <w:rPr>
          <w:rFonts w:ascii="Times New Roman" w:hAnsi="Times New Roman"/>
          <w:sz w:val="20"/>
        </w:rPr>
        <w:t xml:space="preserve">, </w:t>
      </w:r>
      <w:r>
        <w:rPr>
          <w:rFonts w:ascii="Times New Roman" w:hAnsi="Times New Roman"/>
          <w:i/>
          <w:sz w:val="20"/>
        </w:rPr>
        <w:t>24</w:t>
      </w:r>
      <w:r>
        <w:rPr>
          <w:rFonts w:ascii="Times New Roman" w:hAnsi="Times New Roman"/>
          <w:sz w:val="20"/>
        </w:rPr>
        <w:t>(5), 593–628. https://doi.org/10.1093/jae/ejv011</w:t>
      </w:r>
    </w:p>
    <w:p>
      <w:pPr>
        <w:jc w:val="both"/>
      </w:pPr>
      <w:r>
        <w:rPr>
          <w:rFonts w:ascii="Times New Roman" w:hAnsi="Times New Roman"/>
          <w:sz w:val="20"/>
        </w:rPr>
        <w:t xml:space="preserve">Carletto, C., Savastano, S., &amp; Zezza, A. (2013). Fact or artifact: The impact of measurement errors on the farm size–productivity relationship.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103</w:t>
      </w:r>
      <w:r>
        <w:rPr>
          <w:rFonts w:ascii="Times New Roman" w:hAnsi="Times New Roman"/>
          <w:sz w:val="20"/>
        </w:rPr>
        <w:t>, 254–261. https://doi.org/10.1016/j.jdeveco.2013.03.004</w:t>
      </w:r>
    </w:p>
    <w:p>
      <w:pPr>
        <w:jc w:val="both"/>
      </w:pPr>
      <w:r>
        <w:rPr>
          <w:rFonts w:ascii="Times New Roman" w:hAnsi="Times New Roman"/>
          <w:sz w:val="20"/>
        </w:rPr>
        <w:t xml:space="preserve">Chen, T., &amp; Guestrin, C. (2016). XGBoost: A scalable tree boosting system. In </w:t>
      </w:r>
      <w:r>
        <w:rPr>
          <w:rFonts w:ascii="Times New Roman" w:hAnsi="Times New Roman"/>
          <w:i/>
          <w:sz w:val="20"/>
        </w:rPr>
        <w:t>Proceedings of the 22nd ACM SIGKDD International Conference on Knowledge Discovery and Data Mining</w:t>
      </w:r>
      <w:r>
        <w:rPr>
          <w:rFonts w:ascii="Times New Roman" w:hAnsi="Times New Roman"/>
          <w:sz w:val="20"/>
        </w:rPr>
        <w:t xml:space="preserve"> (pp. 785–794). Association for Computing Machinery. https://doi.org/10.1145/2939672.2939785</w:t>
      </w:r>
    </w:p>
    <w:p>
      <w:pPr>
        <w:jc w:val="both"/>
      </w:pPr>
      <w:r>
        <w:rPr>
          <w:rFonts w:ascii="Times New Roman" w:hAnsi="Times New Roman"/>
          <w:sz w:val="20"/>
        </w:rPr>
        <w:t xml:space="preserve">Crane-Droesch, A. (2018). Machine learning methods for crop yield prediction and climate change impact assessment in agriculture. </w:t>
      </w:r>
      <w:r>
        <w:rPr>
          <w:rFonts w:ascii="Times New Roman" w:hAnsi="Times New Roman"/>
          <w:i/>
          <w:sz w:val="20"/>
        </w:rPr>
        <w:t>Environmental Research Letters</w:t>
      </w:r>
      <w:r>
        <w:rPr>
          <w:rFonts w:ascii="Times New Roman" w:hAnsi="Times New Roman"/>
          <w:sz w:val="20"/>
        </w:rPr>
        <w:t xml:space="preserve">, </w:t>
      </w:r>
      <w:r>
        <w:rPr>
          <w:rFonts w:ascii="Times New Roman" w:hAnsi="Times New Roman"/>
          <w:i/>
          <w:sz w:val="20"/>
        </w:rPr>
        <w:t>13</w:t>
      </w:r>
      <w:r>
        <w:rPr>
          <w:rFonts w:ascii="Times New Roman" w:hAnsi="Times New Roman"/>
          <w:sz w:val="20"/>
        </w:rPr>
        <w:t>(11), 114003. https://doi.org/10.1088/1748-9326/aae159</w:t>
      </w:r>
    </w:p>
    <w:p>
      <w:pPr>
        <w:jc w:val="both"/>
      </w:pPr>
      <w:r>
        <w:rPr>
          <w:rFonts w:ascii="Times New Roman" w:hAnsi="Times New Roman"/>
          <w:sz w:val="20"/>
        </w:rPr>
        <w:t xml:space="preserve">Dercon, S. (2004). Growth and shocks: Evidence from rural Ethiopia.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74</w:t>
      </w:r>
      <w:r>
        <w:rPr>
          <w:rFonts w:ascii="Times New Roman" w:hAnsi="Times New Roman"/>
          <w:sz w:val="20"/>
        </w:rPr>
        <w:t>(2), 309–329. https://doi.org/10.1016/j.jdeveco.2004.01.001</w:t>
      </w:r>
    </w:p>
    <w:p>
      <w:pPr>
        <w:jc w:val="both"/>
      </w:pPr>
      <w:r>
        <w:rPr>
          <w:rFonts w:ascii="Times New Roman" w:hAnsi="Times New Roman"/>
          <w:sz w:val="20"/>
        </w:rPr>
        <w:t xml:space="preserve">Di Falco, S., &amp; Chavas, J.-P. (2009). On crop biodiversity, risk exposure, and food security in the highlands of Ethiopia. </w:t>
      </w:r>
      <w:r>
        <w:rPr>
          <w:rFonts w:ascii="Times New Roman" w:hAnsi="Times New Roman"/>
          <w:i/>
          <w:sz w:val="20"/>
        </w:rPr>
        <w:t>American Journal of Agricultural Economics</w:t>
      </w:r>
      <w:r>
        <w:rPr>
          <w:rFonts w:ascii="Times New Roman" w:hAnsi="Times New Roman"/>
          <w:sz w:val="20"/>
        </w:rPr>
        <w:t xml:space="preserve">, </w:t>
      </w:r>
      <w:r>
        <w:rPr>
          <w:rFonts w:ascii="Times New Roman" w:hAnsi="Times New Roman"/>
          <w:i/>
          <w:sz w:val="20"/>
        </w:rPr>
        <w:t>91</w:t>
      </w:r>
      <w:r>
        <w:rPr>
          <w:rFonts w:ascii="Times New Roman" w:hAnsi="Times New Roman"/>
          <w:sz w:val="20"/>
        </w:rPr>
        <w:t>(3), 599–611. https://doi.org/10.1111/j.1467-8276.2009.01265.x</w:t>
      </w:r>
    </w:p>
    <w:p>
      <w:pPr>
        <w:jc w:val="both"/>
      </w:pPr>
      <w:r>
        <w:rPr>
          <w:rFonts w:ascii="Times New Roman" w:hAnsi="Times New Roman"/>
          <w:sz w:val="20"/>
        </w:rPr>
        <w:t xml:space="preserve">Dietterich, T. G. (2000). Ensemble methods in machine learning. In </w:t>
      </w:r>
      <w:r>
        <w:rPr>
          <w:rFonts w:ascii="Times New Roman" w:hAnsi="Times New Roman"/>
          <w:i/>
          <w:sz w:val="20"/>
        </w:rPr>
        <w:t>Multiple Classifier Systems</w:t>
      </w:r>
      <w:r>
        <w:rPr>
          <w:rFonts w:ascii="Times New Roman" w:hAnsi="Times New Roman"/>
          <w:sz w:val="20"/>
        </w:rPr>
        <w:t xml:space="preserve"> (pp. 1–15). Springer. https://doi.org/10.1007/3-540-45014-9</w:t>
      </w:r>
      <w:r>
        <w:rPr>
          <w:rFonts w:ascii="Times New Roman" w:hAnsi="Times New Roman"/>
          <w:sz w:val="20"/>
          <w:vertAlign w:val="subscript"/>
        </w:rPr>
        <w:t>1</w:t>
      </w:r>
    </w:p>
    <w:p>
      <w:pPr>
        <w:jc w:val="both"/>
      </w:pPr>
      <w:r>
        <w:rPr>
          <w:rFonts w:ascii="Times New Roman" w:hAnsi="Times New Roman"/>
          <w:sz w:val="20"/>
        </w:rPr>
        <w:t xml:space="preserve">Dillon, B., McGee, K., &amp; Oseni, G. (2015). Agricultural production, dietary diversity and climate variability. </w:t>
      </w:r>
      <w:r>
        <w:rPr>
          <w:rFonts w:ascii="Times New Roman" w:hAnsi="Times New Roman"/>
          <w:i/>
          <w:sz w:val="20"/>
        </w:rPr>
        <w:t>The Journal of Development Studies</w:t>
      </w:r>
      <w:r>
        <w:rPr>
          <w:rFonts w:ascii="Times New Roman" w:hAnsi="Times New Roman"/>
          <w:sz w:val="20"/>
        </w:rPr>
        <w:t xml:space="preserve">, </w:t>
      </w:r>
      <w:r>
        <w:rPr>
          <w:rFonts w:ascii="Times New Roman" w:hAnsi="Times New Roman"/>
          <w:i/>
          <w:sz w:val="20"/>
        </w:rPr>
        <w:t>51</w:t>
      </w:r>
      <w:r>
        <w:rPr>
          <w:rFonts w:ascii="Times New Roman" w:hAnsi="Times New Roman"/>
          <w:sz w:val="20"/>
        </w:rPr>
        <w:t>(8), 976–995. https://doi.org/10.1080/00220388.2015.1018902</w:t>
      </w:r>
    </w:p>
    <w:p>
      <w:pPr>
        <w:jc w:val="both"/>
      </w:pPr>
      <w:r>
        <w:rPr>
          <w:rFonts w:ascii="Times New Roman" w:hAnsi="Times New Roman"/>
          <w:sz w:val="20"/>
        </w:rPr>
        <w:t xml:space="preserve">Evenson, R. E., &amp; Gollin, D. (2003). Assessing the impact of the Green Revolution, 1960 to 2000.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300</w:t>
      </w:r>
      <w:r>
        <w:rPr>
          <w:rFonts w:ascii="Times New Roman" w:hAnsi="Times New Roman"/>
          <w:sz w:val="20"/>
        </w:rPr>
        <w:t>(5620), 758–762. https://doi.org/10.1126/science.1078710</w:t>
      </w:r>
    </w:p>
    <w:p>
      <w:pPr>
        <w:jc w:val="both"/>
      </w:pPr>
      <w:r>
        <w:rPr>
          <w:rFonts w:ascii="Times New Roman" w:hAnsi="Times New Roman"/>
          <w:sz w:val="20"/>
        </w:rPr>
        <w:t>Food and Agriculture Organization of the United Nations. (n.d.). FAOSTAT: Statistical database. https://www.fao.org/faostat/</w:t>
      </w:r>
    </w:p>
    <w:p>
      <w:pPr>
        <w:jc w:val="both"/>
      </w:pPr>
      <w:r>
        <w:rPr>
          <w:rFonts w:ascii="Times New Roman" w:hAnsi="Times New Roman"/>
          <w:sz w:val="20"/>
        </w:rPr>
        <w:t xml:space="preserve">Godfray, H. C. J., Beddington, J. R., Crute, I. R., Haddad, L., Lawrence, D., Muir, J. F., Pretty, J., Robinson, S., Thomas, S. M., &amp; Toulmin, C. (2010). Food security: The challenge of feeding 9 billion people.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327</w:t>
      </w:r>
      <w:r>
        <w:rPr>
          <w:rFonts w:ascii="Times New Roman" w:hAnsi="Times New Roman"/>
          <w:sz w:val="20"/>
        </w:rPr>
        <w:t>(5967), 812–818. https://doi.org/10.1126/science.1185383</w:t>
      </w:r>
    </w:p>
    <w:p>
      <w:pPr>
        <w:jc w:val="both"/>
      </w:pPr>
      <w:r>
        <w:rPr>
          <w:rFonts w:ascii="Times New Roman" w:hAnsi="Times New Roman"/>
          <w:sz w:val="2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585</w:t>
      </w:r>
      <w:r>
        <w:rPr>
          <w:rFonts w:ascii="Times New Roman" w:hAnsi="Times New Roman"/>
          <w:sz w:val="20"/>
        </w:rPr>
        <w:t>(7825), 357–362. https://doi.org/10.1038/s41586-020-2649-2</w:t>
      </w:r>
    </w:p>
    <w:p>
      <w:pPr>
        <w:jc w:val="both"/>
      </w:pPr>
      <w:r>
        <w:rPr>
          <w:rFonts w:ascii="Times New Roman" w:hAnsi="Times New Roman"/>
          <w:sz w:val="20"/>
        </w:rPr>
        <w:t xml:space="preserve">Hertel, T. W., &amp; Rosch, S. D. (2010). Climate change, agriculture, and poverty. </w:t>
      </w:r>
      <w:r>
        <w:rPr>
          <w:rFonts w:ascii="Times New Roman" w:hAnsi="Times New Roman"/>
          <w:i/>
          <w:sz w:val="20"/>
        </w:rPr>
        <w:t>Applied Economic Perspectives and Policy</w:t>
      </w:r>
      <w:r>
        <w:rPr>
          <w:rFonts w:ascii="Times New Roman" w:hAnsi="Times New Roman"/>
          <w:sz w:val="20"/>
        </w:rPr>
        <w:t xml:space="preserve">, </w:t>
      </w:r>
      <w:r>
        <w:rPr>
          <w:rFonts w:ascii="Times New Roman" w:hAnsi="Times New Roman"/>
          <w:i/>
          <w:sz w:val="20"/>
        </w:rPr>
        <w:t>32</w:t>
      </w:r>
      <w:r>
        <w:rPr>
          <w:rFonts w:ascii="Times New Roman" w:hAnsi="Times New Roman"/>
          <w:sz w:val="20"/>
        </w:rPr>
        <w:t>(3), 355–385. https://doi.org/10.1093/aepp/ppq016</w:t>
      </w:r>
    </w:p>
    <w:p>
      <w:pPr>
        <w:jc w:val="both"/>
      </w:pPr>
      <w:r>
        <w:rPr>
          <w:rFonts w:ascii="Times New Roman" w:hAnsi="Times New Roman"/>
          <w:sz w:val="20"/>
        </w:rPr>
        <w:t xml:space="preserve">Hunter, J. D. (2007). Matplotlib: A 2D graphics environment. </w:t>
      </w:r>
      <w:r>
        <w:rPr>
          <w:rFonts w:ascii="Times New Roman" w:hAnsi="Times New Roman"/>
          <w:i/>
          <w:sz w:val="20"/>
        </w:rPr>
        <w:t>Computing in Science &amp; Engineering</w:t>
      </w:r>
      <w:r>
        <w:rPr>
          <w:rFonts w:ascii="Times New Roman" w:hAnsi="Times New Roman"/>
          <w:sz w:val="20"/>
        </w:rPr>
        <w:t xml:space="preserve">, </w:t>
      </w:r>
      <w:r>
        <w:rPr>
          <w:rFonts w:ascii="Times New Roman" w:hAnsi="Times New Roman"/>
          <w:i/>
          <w:sz w:val="20"/>
        </w:rPr>
        <w:t>9</w:t>
      </w:r>
      <w:r>
        <w:rPr>
          <w:rFonts w:ascii="Times New Roman" w:hAnsi="Times New Roman"/>
          <w:sz w:val="20"/>
        </w:rPr>
        <w:t>(3), 90–95. https://doi.org/10.1109/MCSE.2007.55</w:t>
      </w:r>
    </w:p>
    <w:p>
      <w:pPr>
        <w:jc w:val="both"/>
      </w:pPr>
      <w:r>
        <w:rPr>
          <w:rFonts w:ascii="Times New Roman" w:hAnsi="Times New Roman"/>
          <w:sz w:val="20"/>
        </w:rPr>
        <w:t xml:space="preserve">Isbell, F., Adler, P. R., Eisenhauer, N., Fornara, D., Kimmel, K., Kremen, C., Letourneau, D. K., Liebman, M., Polley, H. W., Quijas, S., &amp; Scherer-Lorenzen, M. (2017). Benefits of increasing plant diversity in sustainable agroecosystems. </w:t>
      </w:r>
      <w:r>
        <w:rPr>
          <w:rFonts w:ascii="Times New Roman" w:hAnsi="Times New Roman"/>
          <w:i/>
          <w:sz w:val="20"/>
        </w:rPr>
        <w:t>Journal of Ecology</w:t>
      </w:r>
      <w:r>
        <w:rPr>
          <w:rFonts w:ascii="Times New Roman" w:hAnsi="Times New Roman"/>
          <w:sz w:val="20"/>
        </w:rPr>
        <w:t xml:space="preserve">, </w:t>
      </w:r>
      <w:r>
        <w:rPr>
          <w:rFonts w:ascii="Times New Roman" w:hAnsi="Times New Roman"/>
          <w:i/>
          <w:sz w:val="20"/>
        </w:rPr>
        <w:t>105</w:t>
      </w:r>
      <w:r>
        <w:rPr>
          <w:rFonts w:ascii="Times New Roman" w:hAnsi="Times New Roman"/>
          <w:sz w:val="20"/>
        </w:rPr>
        <w:t>(4), 871–879. https://doi.org/10.1111/1365-2745.12789</w:t>
      </w:r>
    </w:p>
    <w:p>
      <w:pPr>
        <w:jc w:val="both"/>
      </w:pPr>
      <w:r>
        <w:rPr>
          <w:rFonts w:ascii="Times New Roman" w:hAnsi="Times New Roman"/>
          <w:sz w:val="20"/>
        </w:rPr>
        <w:t xml:space="preserve">Jahnke, H. E. (1982). </w:t>
      </w:r>
      <w:r>
        <w:rPr>
          <w:rFonts w:ascii="Times New Roman" w:hAnsi="Times New Roman"/>
          <w:i/>
          <w:sz w:val="20"/>
        </w:rPr>
        <w:t>Livestock production systems and livestock development in tropical Africa</w:t>
      </w:r>
      <w:r>
        <w:rPr>
          <w:rFonts w:ascii="Times New Roman" w:hAnsi="Times New Roman"/>
          <w:sz w:val="20"/>
        </w:rPr>
        <w:t>. Kieler Wissenschaftsverlag Vauk.</w:t>
      </w:r>
    </w:p>
    <w:p>
      <w:pPr>
        <w:jc w:val="both"/>
      </w:pPr>
      <w:r>
        <w:rPr>
          <w:rFonts w:ascii="Times New Roman" w:hAnsi="Times New Roman"/>
          <w:sz w:val="20"/>
        </w:rPr>
        <w:t xml:space="preserve">Jayne, T. S., Mather, D., &amp; Mghenyi, E. (2010). Principal challenges confronting smallholder agriculture in sub-Saharan Africa. </w:t>
      </w:r>
      <w:r>
        <w:rPr>
          <w:rFonts w:ascii="Times New Roman" w:hAnsi="Times New Roman"/>
          <w:i/>
          <w:sz w:val="20"/>
        </w:rPr>
        <w:t>World Development</w:t>
      </w:r>
      <w:r>
        <w:rPr>
          <w:rFonts w:ascii="Times New Roman" w:hAnsi="Times New Roman"/>
          <w:sz w:val="20"/>
        </w:rPr>
        <w:t xml:space="preserve">, </w:t>
      </w:r>
      <w:r>
        <w:rPr>
          <w:rFonts w:ascii="Times New Roman" w:hAnsi="Times New Roman"/>
          <w:i/>
          <w:sz w:val="20"/>
        </w:rPr>
        <w:t>38</w:t>
      </w:r>
      <w:r>
        <w:rPr>
          <w:rFonts w:ascii="Times New Roman" w:hAnsi="Times New Roman"/>
          <w:sz w:val="20"/>
        </w:rPr>
        <w:t>(10), 1384–1398. https://doi.org/10.1016/j.worlddev.2010.06.002</w:t>
      </w:r>
    </w:p>
    <w:p>
      <w:pPr>
        <w:jc w:val="both"/>
      </w:pPr>
      <w:r>
        <w:rPr>
          <w:rFonts w:ascii="Times New Roman" w:hAnsi="Times New Roman"/>
          <w:sz w:val="20"/>
        </w:rPr>
        <w:t xml:space="preserve">Jeong, J. H., Resop, J. P., Mueller, N. D., Fleisher, D. H., Yun, K., Butler, E. E., Timlin, D. J., Shim, K.-M., Gerber, J. S., Reddy, V. R., &amp; Kim, S.-H. (2016). Random forests for global and regional crop yield predictions. </w:t>
      </w:r>
      <w:r>
        <w:rPr>
          <w:rFonts w:ascii="Times New Roman" w:hAnsi="Times New Roman"/>
          <w:i/>
          <w:sz w:val="20"/>
        </w:rPr>
        <w:t>PLOS ONE</w:t>
      </w:r>
      <w:r>
        <w:rPr>
          <w:rFonts w:ascii="Times New Roman" w:hAnsi="Times New Roman"/>
          <w:sz w:val="20"/>
        </w:rPr>
        <w:t xml:space="preserve">, </w:t>
      </w:r>
      <w:r>
        <w:rPr>
          <w:rFonts w:ascii="Times New Roman" w:hAnsi="Times New Roman"/>
          <w:i/>
          <w:sz w:val="20"/>
        </w:rPr>
        <w:t>11</w:t>
      </w:r>
      <w:r>
        <w:rPr>
          <w:rFonts w:ascii="Times New Roman" w:hAnsi="Times New Roman"/>
          <w:sz w:val="20"/>
        </w:rPr>
        <w:t>(6), e0156571. https://doi.org/10.1371/journal.pone.0156571</w:t>
      </w:r>
    </w:p>
    <w:p>
      <w:pPr>
        <w:jc w:val="both"/>
      </w:pPr>
      <w:r>
        <w:rPr>
          <w:rFonts w:ascii="Times New Roman" w:hAnsi="Times New Roman"/>
          <w:sz w:val="20"/>
        </w:rPr>
        <w:t xml:space="preserve">Just, R. E., &amp; Pope, R. D. (1979). Production function estimation and related risk considerations. </w:t>
      </w:r>
      <w:r>
        <w:rPr>
          <w:rFonts w:ascii="Times New Roman" w:hAnsi="Times New Roman"/>
          <w:i/>
          <w:sz w:val="20"/>
        </w:rPr>
        <w:t>American Journal of Agricultural Economics</w:t>
      </w:r>
      <w:r>
        <w:rPr>
          <w:rFonts w:ascii="Times New Roman" w:hAnsi="Times New Roman"/>
          <w:sz w:val="20"/>
        </w:rPr>
        <w:t xml:space="preserve">, </w:t>
      </w:r>
      <w:r>
        <w:rPr>
          <w:rFonts w:ascii="Times New Roman" w:hAnsi="Times New Roman"/>
          <w:i/>
          <w:sz w:val="20"/>
        </w:rPr>
        <w:t>61</w:t>
      </w:r>
      <w:r>
        <w:rPr>
          <w:rFonts w:ascii="Times New Roman" w:hAnsi="Times New Roman"/>
          <w:sz w:val="20"/>
        </w:rPr>
        <w:t>(2), 276–284. https://doi.org/10.2307/1239732</w:t>
      </w:r>
    </w:p>
    <w:p>
      <w:pPr>
        <w:jc w:val="both"/>
      </w:pPr>
      <w:r>
        <w:rPr>
          <w:rFonts w:ascii="Times New Roman" w:hAnsi="Times New Roman"/>
          <w:sz w:val="20"/>
        </w:rPr>
        <w:t xml:space="preserve">Kapoor, S., &amp; Narayanan, A. (2023). Leakage and the reproducibility crisis in machine-learning-based science. </w:t>
      </w:r>
      <w:r>
        <w:rPr>
          <w:rFonts w:ascii="Times New Roman" w:hAnsi="Times New Roman"/>
          <w:i/>
          <w:sz w:val="20"/>
        </w:rPr>
        <w:t>Patterns</w:t>
      </w:r>
      <w:r>
        <w:rPr>
          <w:rFonts w:ascii="Times New Roman" w:hAnsi="Times New Roman"/>
          <w:sz w:val="20"/>
        </w:rPr>
        <w:t xml:space="preserve">, </w:t>
      </w:r>
      <w:r>
        <w:rPr>
          <w:rFonts w:ascii="Times New Roman" w:hAnsi="Times New Roman"/>
          <w:i/>
          <w:sz w:val="20"/>
        </w:rPr>
        <w:t>4</w:t>
      </w:r>
      <w:r>
        <w:rPr>
          <w:rFonts w:ascii="Times New Roman" w:hAnsi="Times New Roman"/>
          <w:sz w:val="20"/>
        </w:rPr>
        <w:t>(9), 100804. https://doi.org/10.1016/j.patter.2023.100804</w:t>
      </w:r>
    </w:p>
    <w:p>
      <w:pPr>
        <w:jc w:val="both"/>
      </w:pPr>
      <w:r>
        <w:rPr>
          <w:rFonts w:ascii="Times New Roman" w:hAnsi="Times New Roman"/>
          <w:sz w:val="20"/>
        </w:rPr>
        <w:t xml:space="preserve">Kassie, M., Teklewold, H., Jaleta, M., Marenya, P., &amp; Erenstein, O. (2015). Understanding the adoption of a portfolio of sustainable intensification practices in eastern and southern Africa. </w:t>
      </w:r>
      <w:r>
        <w:rPr>
          <w:rFonts w:ascii="Times New Roman" w:hAnsi="Times New Roman"/>
          <w:i/>
          <w:sz w:val="20"/>
        </w:rPr>
        <w:t>Land Use Policy</w:t>
      </w:r>
      <w:r>
        <w:rPr>
          <w:rFonts w:ascii="Times New Roman" w:hAnsi="Times New Roman"/>
          <w:sz w:val="20"/>
        </w:rPr>
        <w:t xml:space="preserve">, </w:t>
      </w:r>
      <w:r>
        <w:rPr>
          <w:rFonts w:ascii="Times New Roman" w:hAnsi="Times New Roman"/>
          <w:i/>
          <w:sz w:val="20"/>
        </w:rPr>
        <w:t>42</w:t>
      </w:r>
      <w:r>
        <w:rPr>
          <w:rFonts w:ascii="Times New Roman" w:hAnsi="Times New Roman"/>
          <w:sz w:val="20"/>
        </w:rPr>
        <w:t>, 400–411. https://doi.org/10.1016/j.landusepol.2014.08.016</w:t>
      </w:r>
    </w:p>
    <w:p>
      <w:pPr>
        <w:jc w:val="both"/>
      </w:pPr>
      <w:r>
        <w:rPr>
          <w:rFonts w:ascii="Times New Roman" w:hAnsi="Times New Roman"/>
          <w:sz w:val="20"/>
        </w:rPr>
        <w:t xml:space="preserve">Kaufman, S., Rosset, S., Perlich, C., &amp; Stitelman, O. (2012). Leakage in data mining: Formulation, detection, and avoidance. </w:t>
      </w:r>
      <w:r>
        <w:rPr>
          <w:rFonts w:ascii="Times New Roman" w:hAnsi="Times New Roman"/>
          <w:i/>
          <w:sz w:val="20"/>
        </w:rPr>
        <w:t>ACM Transactions on Knowledge Discovery from Data</w:t>
      </w:r>
      <w:r>
        <w:rPr>
          <w:rFonts w:ascii="Times New Roman" w:hAnsi="Times New Roman"/>
          <w:sz w:val="20"/>
        </w:rPr>
        <w:t xml:space="preserve">, </w:t>
      </w:r>
      <w:r>
        <w:rPr>
          <w:rFonts w:ascii="Times New Roman" w:hAnsi="Times New Roman"/>
          <w:i/>
          <w:sz w:val="20"/>
        </w:rPr>
        <w:t>6</w:t>
      </w:r>
      <w:r>
        <w:rPr>
          <w:rFonts w:ascii="Times New Roman" w:hAnsi="Times New Roman"/>
          <w:sz w:val="20"/>
        </w:rPr>
        <w:t>(4), 15. https://doi.org/10.1145/2382577.2382579</w:t>
      </w:r>
    </w:p>
    <w:p>
      <w:pPr>
        <w:jc w:val="both"/>
      </w:pPr>
      <w:r>
        <w:rPr>
          <w:rFonts w:ascii="Times New Roman" w:hAnsi="Times New Roman"/>
          <w:sz w:val="20"/>
        </w:rPr>
        <w:t xml:space="preserve">Ke, G., Meng, Q., Finley, T., Wang, T., Chen, W., Ma, W., Ye, Q., &amp; Liu, T.-Y. (2017). LightGBM: A highly efficient gradient boosting decision tree. In </w:t>
      </w:r>
      <w:r>
        <w:rPr>
          <w:rFonts w:ascii="Times New Roman" w:hAnsi="Times New Roman"/>
          <w:i/>
          <w:sz w:val="20"/>
        </w:rPr>
        <w:t>Advances in Neural Information Processing Systems</w:t>
      </w:r>
      <w:r>
        <w:rPr>
          <w:rFonts w:ascii="Times New Roman" w:hAnsi="Times New Roman"/>
          <w:sz w:val="20"/>
        </w:rPr>
        <w:t xml:space="preserve"> (Vol. 30, pp. 3146–3154). Curran Associates.</w:t>
      </w:r>
    </w:p>
    <w:p>
      <w:pPr>
        <w:jc w:val="both"/>
      </w:pPr>
      <w:r>
        <w:rPr>
          <w:rFonts w:ascii="Times New Roman" w:hAnsi="Times New Roman"/>
          <w:sz w:val="20"/>
        </w:rPr>
        <w:t xml:space="preserve">Lin, B. B. (2011). Resilience in agriculture through crop diversification: Adaptive management for environmental change. </w:t>
      </w:r>
      <w:r>
        <w:rPr>
          <w:rFonts w:ascii="Times New Roman" w:hAnsi="Times New Roman"/>
          <w:i/>
          <w:sz w:val="20"/>
        </w:rPr>
        <w:t>BioScience</w:t>
      </w:r>
      <w:r>
        <w:rPr>
          <w:rFonts w:ascii="Times New Roman" w:hAnsi="Times New Roman"/>
          <w:sz w:val="20"/>
        </w:rPr>
        <w:t xml:space="preserve">, </w:t>
      </w:r>
      <w:r>
        <w:rPr>
          <w:rFonts w:ascii="Times New Roman" w:hAnsi="Times New Roman"/>
          <w:i/>
          <w:sz w:val="20"/>
        </w:rPr>
        <w:t>61</w:t>
      </w:r>
      <w:r>
        <w:rPr>
          <w:rFonts w:ascii="Times New Roman" w:hAnsi="Times New Roman"/>
          <w:sz w:val="20"/>
        </w:rPr>
        <w:t>(3), 183–193. https://doi.org/10.1525/bio.2011.61.3.4</w:t>
      </w:r>
    </w:p>
    <w:p>
      <w:pPr>
        <w:jc w:val="both"/>
      </w:pPr>
      <w:r>
        <w:rPr>
          <w:rFonts w:ascii="Times New Roman" w:hAnsi="Times New Roman"/>
          <w:sz w:val="20"/>
        </w:rPr>
        <w:t xml:space="preserve">Lobell, D. B., &amp; Burke, M. B. (2010). On the use of statistical models to predict crop yield responses to climate change. </w:t>
      </w:r>
      <w:r>
        <w:rPr>
          <w:rFonts w:ascii="Times New Roman" w:hAnsi="Times New Roman"/>
          <w:i/>
          <w:sz w:val="20"/>
        </w:rPr>
        <w:t>Agricultural and Forest Meteorology</w:t>
      </w:r>
      <w:r>
        <w:rPr>
          <w:rFonts w:ascii="Times New Roman" w:hAnsi="Times New Roman"/>
          <w:sz w:val="20"/>
        </w:rPr>
        <w:t xml:space="preserve">, </w:t>
      </w:r>
      <w:r>
        <w:rPr>
          <w:rFonts w:ascii="Times New Roman" w:hAnsi="Times New Roman"/>
          <w:i/>
          <w:sz w:val="20"/>
        </w:rPr>
        <w:t>150</w:t>
      </w:r>
      <w:r>
        <w:rPr>
          <w:rFonts w:ascii="Times New Roman" w:hAnsi="Times New Roman"/>
          <w:sz w:val="20"/>
        </w:rPr>
        <w:t>(11), 1443–1452. https://doi.org/10.1016/j.agrformet.2010.07.008</w:t>
      </w:r>
    </w:p>
    <w:p>
      <w:pPr>
        <w:jc w:val="both"/>
      </w:pPr>
      <w:r>
        <w:rPr>
          <w:rFonts w:ascii="Times New Roman" w:hAnsi="Times New Roman"/>
          <w:sz w:val="20"/>
        </w:rPr>
        <w:t xml:space="preserve">Lobell, D. B., Schlenker, W., &amp; Costa-Roberts, J. (2011). Climate trends and global crop production since 1980.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333</w:t>
      </w:r>
      <w:r>
        <w:rPr>
          <w:rFonts w:ascii="Times New Roman" w:hAnsi="Times New Roman"/>
          <w:sz w:val="20"/>
        </w:rPr>
        <w:t>(6042), 616–620. https://doi.org/10.1126/science.1204531</w:t>
      </w:r>
    </w:p>
    <w:p>
      <w:pPr>
        <w:jc w:val="both"/>
      </w:pPr>
      <w:r>
        <w:rPr>
          <w:rFonts w:ascii="Times New Roman" w:hAnsi="Times New Roman"/>
          <w:sz w:val="20"/>
        </w:rPr>
        <w:t xml:space="preserve">Lundberg, S. M., Erion, G., Chen, H., DeGrave, A., Prutkin, J. M., Nair, B., Katz, R., Himmelfarb, J., Bansal, N., &amp; Lee, S.-I. (2020). From local explanations to global understanding with explainable AI for trees. </w:t>
      </w:r>
      <w:r>
        <w:rPr>
          <w:rFonts w:ascii="Times New Roman" w:hAnsi="Times New Roman"/>
          <w:i/>
          <w:sz w:val="20"/>
        </w:rPr>
        <w:t>Nature Machine Intelligence</w:t>
      </w:r>
      <w:r>
        <w:rPr>
          <w:rFonts w:ascii="Times New Roman" w:hAnsi="Times New Roman"/>
          <w:sz w:val="20"/>
        </w:rPr>
        <w:t xml:space="preserve">, </w:t>
      </w:r>
      <w:r>
        <w:rPr>
          <w:rFonts w:ascii="Times New Roman" w:hAnsi="Times New Roman"/>
          <w:i/>
          <w:sz w:val="20"/>
        </w:rPr>
        <w:t>2</w:t>
      </w:r>
      <w:r>
        <w:rPr>
          <w:rFonts w:ascii="Times New Roman" w:hAnsi="Times New Roman"/>
          <w:sz w:val="20"/>
        </w:rPr>
        <w:t>(1), 56–67. https://doi.org/10.1038/s42256-019-0138-9</w:t>
      </w:r>
    </w:p>
    <w:p>
      <w:pPr>
        <w:jc w:val="both"/>
      </w:pPr>
      <w:r>
        <w:rPr>
          <w:rFonts w:ascii="Times New Roman" w:hAnsi="Times New Roman"/>
          <w:sz w:val="20"/>
        </w:rPr>
        <w:t xml:space="preserve">Lundberg, S. M., &amp; Lee, S.-I. (2017). A unified approach to interpreting model predictions. In </w:t>
      </w:r>
      <w:r>
        <w:rPr>
          <w:rFonts w:ascii="Times New Roman" w:hAnsi="Times New Roman"/>
          <w:i/>
          <w:sz w:val="20"/>
        </w:rPr>
        <w:t>Advances in Neural Information Processing Systems</w:t>
      </w:r>
      <w:r>
        <w:rPr>
          <w:rFonts w:ascii="Times New Roman" w:hAnsi="Times New Roman"/>
          <w:sz w:val="20"/>
        </w:rPr>
        <w:t xml:space="preserve"> (Vol. 30, pp. 4765–4774). Curran Associates.</w:t>
      </w:r>
    </w:p>
    <w:p>
      <w:pPr>
        <w:jc w:val="both"/>
      </w:pPr>
      <w:r>
        <w:rPr>
          <w:rFonts w:ascii="Times New Roman" w:hAnsi="Times New Roman"/>
          <w:sz w:val="20"/>
        </w:rPr>
        <w:t xml:space="preserve">Magurran, A. E. (2004). </w:t>
      </w:r>
      <w:r>
        <w:rPr>
          <w:rFonts w:ascii="Times New Roman" w:hAnsi="Times New Roman"/>
          <w:i/>
          <w:sz w:val="20"/>
        </w:rPr>
        <w:t>Measuring biological diversity</w:t>
      </w:r>
      <w:r>
        <w:rPr>
          <w:rFonts w:ascii="Times New Roman" w:hAnsi="Times New Roman"/>
          <w:sz w:val="20"/>
        </w:rPr>
        <w:t>. Blackwell Publishing.</w:t>
      </w:r>
    </w:p>
    <w:p>
      <w:pPr>
        <w:jc w:val="both"/>
      </w:pPr>
      <w:r>
        <w:rPr>
          <w:rFonts w:ascii="Times New Roman" w:hAnsi="Times New Roman"/>
          <w:sz w:val="20"/>
        </w:rPr>
        <w:t xml:space="preserve">McKinney, W. (2010). Data structures for statistical computing in Python. In </w:t>
      </w:r>
      <w:r>
        <w:rPr>
          <w:rFonts w:ascii="Times New Roman" w:hAnsi="Times New Roman"/>
          <w:i/>
          <w:sz w:val="20"/>
        </w:rPr>
        <w:t>Proceedings of the 9th Python in Science Conference</w:t>
      </w:r>
      <w:r>
        <w:rPr>
          <w:rFonts w:ascii="Times New Roman" w:hAnsi="Times New Roman"/>
          <w:sz w:val="20"/>
        </w:rPr>
        <w:t xml:space="preserve"> (pp. 56–61). https://doi.org/10.25080/Majora-92bf1922-00a</w:t>
      </w:r>
    </w:p>
    <w:p>
      <w:pPr>
        <w:jc w:val="both"/>
      </w:pPr>
      <w:r>
        <w:rPr>
          <w:rFonts w:ascii="Times New Roman" w:hAnsi="Times New Roman"/>
          <w:sz w:val="20"/>
        </w:rPr>
        <w:t xml:space="preserve">Meyer, H., &amp; Pebesma, E. (2021). Predicting into unknown space? Estimating the area of applicability of spatial prediction models. </w:t>
      </w:r>
      <w:r>
        <w:rPr>
          <w:rFonts w:ascii="Times New Roman" w:hAnsi="Times New Roman"/>
          <w:i/>
          <w:sz w:val="20"/>
        </w:rPr>
        <w:t>Methods in Ecology and Evolution</w:t>
      </w:r>
      <w:r>
        <w:rPr>
          <w:rFonts w:ascii="Times New Roman" w:hAnsi="Times New Roman"/>
          <w:sz w:val="20"/>
        </w:rPr>
        <w:t xml:space="preserve">, </w:t>
      </w:r>
      <w:r>
        <w:rPr>
          <w:rFonts w:ascii="Times New Roman" w:hAnsi="Times New Roman"/>
          <w:i/>
          <w:sz w:val="20"/>
        </w:rPr>
        <w:t>12</w:t>
      </w:r>
      <w:r>
        <w:rPr>
          <w:rFonts w:ascii="Times New Roman" w:hAnsi="Times New Roman"/>
          <w:sz w:val="20"/>
        </w:rPr>
        <w:t>(9), 1620–1633. https://doi.org/10.1111/2041-210X.13650</w:t>
      </w:r>
    </w:p>
    <w:p>
      <w:pPr>
        <w:jc w:val="both"/>
      </w:pPr>
      <w:r>
        <w:rPr>
          <w:rFonts w:ascii="Times New Roman" w:hAnsi="Times New Roman"/>
          <w:sz w:val="20"/>
        </w:rPr>
        <w:t xml:space="preserve">Meyer, H., Reudenbach, C., Hengl, T., Katurji, M., &amp; Nauss, T. (2018). Improving performance of spatio-temporal machine learning models using forward feature selection and target-oriented validation. </w:t>
      </w:r>
      <w:r>
        <w:rPr>
          <w:rFonts w:ascii="Times New Roman" w:hAnsi="Times New Roman"/>
          <w:i/>
          <w:sz w:val="20"/>
        </w:rPr>
        <w:t>Environmental Modelling &amp; Software</w:t>
      </w:r>
      <w:r>
        <w:rPr>
          <w:rFonts w:ascii="Times New Roman" w:hAnsi="Times New Roman"/>
          <w:sz w:val="20"/>
        </w:rPr>
        <w:t xml:space="preserve">, </w:t>
      </w:r>
      <w:r>
        <w:rPr>
          <w:rFonts w:ascii="Times New Roman" w:hAnsi="Times New Roman"/>
          <w:i/>
          <w:sz w:val="20"/>
        </w:rPr>
        <w:t>101</w:t>
      </w:r>
      <w:r>
        <w:rPr>
          <w:rFonts w:ascii="Times New Roman" w:hAnsi="Times New Roman"/>
          <w:sz w:val="20"/>
        </w:rPr>
        <w:t>, 1–9. https://doi.org/10.1016/j.envsoft.2017.12.001</w:t>
      </w:r>
    </w:p>
    <w:p>
      <w:pPr>
        <w:jc w:val="both"/>
      </w:pPr>
      <w:r>
        <w:rPr>
          <w:rFonts w:ascii="Times New Roman" w:hAnsi="Times New Roman"/>
          <w:sz w:val="20"/>
        </w:rPr>
        <w:t xml:space="preserve">Meyer, H., Reudenbach, C., Wöllauer, S., &amp; Nauss, T. (2019). Importance of spatial predictor variable selection in machine learning applications—Moving from data reproduction to spatial prediction. </w:t>
      </w:r>
      <w:r>
        <w:rPr>
          <w:rFonts w:ascii="Times New Roman" w:hAnsi="Times New Roman"/>
          <w:i/>
          <w:sz w:val="20"/>
        </w:rPr>
        <w:t>Ecological Modelling</w:t>
      </w:r>
      <w:r>
        <w:rPr>
          <w:rFonts w:ascii="Times New Roman" w:hAnsi="Times New Roman"/>
          <w:sz w:val="20"/>
        </w:rPr>
        <w:t xml:space="preserve">, </w:t>
      </w:r>
      <w:r>
        <w:rPr>
          <w:rFonts w:ascii="Times New Roman" w:hAnsi="Times New Roman"/>
          <w:i/>
          <w:sz w:val="20"/>
        </w:rPr>
        <w:t>411</w:t>
      </w:r>
      <w:r>
        <w:rPr>
          <w:rFonts w:ascii="Times New Roman" w:hAnsi="Times New Roman"/>
          <w:sz w:val="20"/>
        </w:rPr>
        <w:t>, 108815. https://doi.org/10.1016/j.ecolmodel.2019.108815</w:t>
      </w:r>
    </w:p>
    <w:p>
      <w:pPr>
        <w:jc w:val="both"/>
      </w:pPr>
      <w:r>
        <w:rPr>
          <w:rFonts w:ascii="Times New Roman" w:hAnsi="Times New Roman"/>
          <w:sz w:val="20"/>
        </w:rPr>
        <w:t xml:space="preserve">Njuki, J., Poole, J., Johnson, N., Baltenweck, I., Pali, P., Lokman, Z., &amp; Mburu, S. (2011). </w:t>
      </w:r>
      <w:r>
        <w:rPr>
          <w:rFonts w:ascii="Times New Roman" w:hAnsi="Times New Roman"/>
          <w:i/>
          <w:sz w:val="20"/>
        </w:rPr>
        <w:t>Gender, livestock and livelihood indicators</w:t>
      </w:r>
      <w:r>
        <w:rPr>
          <w:rFonts w:ascii="Times New Roman" w:hAnsi="Times New Roman"/>
          <w:sz w:val="20"/>
        </w:rPr>
        <w:t>. International Livestock Research Institute (ILRI).</w:t>
      </w:r>
    </w:p>
    <w:p>
      <w:pPr>
        <w:jc w:val="both"/>
      </w:pPr>
      <w:r>
        <w:rPr>
          <w:rFonts w:ascii="Times New Roman" w:hAnsi="Times New Roman"/>
          <w:sz w:val="20"/>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i/>
          <w:sz w:val="20"/>
        </w:rPr>
        <w:t>Journal of Machine Learning Research</w:t>
      </w:r>
      <w:r>
        <w:rPr>
          <w:rFonts w:ascii="Times New Roman" w:hAnsi="Times New Roman"/>
          <w:sz w:val="20"/>
        </w:rPr>
        <w:t xml:space="preserve">, </w:t>
      </w:r>
      <w:r>
        <w:rPr>
          <w:rFonts w:ascii="Times New Roman" w:hAnsi="Times New Roman"/>
          <w:i/>
          <w:sz w:val="20"/>
        </w:rPr>
        <w:t>12</w:t>
      </w:r>
      <w:r>
        <w:rPr>
          <w:rFonts w:ascii="Times New Roman" w:hAnsi="Times New Roman"/>
          <w:sz w:val="20"/>
        </w:rPr>
        <w:t>, 2825–2830.</w:t>
      </w:r>
    </w:p>
    <w:p>
      <w:pPr>
        <w:jc w:val="both"/>
      </w:pPr>
      <w:r>
        <w:rPr>
          <w:rFonts w:ascii="Times New Roman" w:hAnsi="Times New Roman"/>
          <w:sz w:val="20"/>
        </w:rPr>
        <w:t xml:space="preserve">Ploton, P., Mortier, F., Réjou-Méchain, M., Barbier, N., Picard, N., Rossi, V., Dormann, C., Cornu, G., Viennois, G., Bayol, N., Lyapustin, A., Gourlet-Fleury, S., &amp; Pélissier, R. (2020). Spatial validation reveals poor predictive performance of large-scale ecological mapping models. </w:t>
      </w:r>
      <w:r>
        <w:rPr>
          <w:rFonts w:ascii="Times New Roman" w:hAnsi="Times New Roman"/>
          <w:i/>
          <w:sz w:val="20"/>
        </w:rPr>
        <w:t>Nature Communications</w:t>
      </w:r>
      <w:r>
        <w:rPr>
          <w:rFonts w:ascii="Times New Roman" w:hAnsi="Times New Roman"/>
          <w:sz w:val="20"/>
        </w:rPr>
        <w:t xml:space="preserve">, </w:t>
      </w:r>
      <w:r>
        <w:rPr>
          <w:rFonts w:ascii="Times New Roman" w:hAnsi="Times New Roman"/>
          <w:i/>
          <w:sz w:val="20"/>
        </w:rPr>
        <w:t>11</w:t>
      </w:r>
      <w:r>
        <w:rPr>
          <w:rFonts w:ascii="Times New Roman" w:hAnsi="Times New Roman"/>
          <w:sz w:val="20"/>
        </w:rPr>
        <w:t>(1), 4540. https://doi.org/10.1038/s41467-020-18321-y</w:t>
      </w:r>
    </w:p>
    <w:p>
      <w:pPr>
        <w:jc w:val="both"/>
      </w:pPr>
      <w:r>
        <w:rPr>
          <w:rFonts w:ascii="Times New Roman" w:hAnsi="Times New Roman"/>
          <w:sz w:val="20"/>
        </w:rPr>
        <w:t xml:space="preserve">Ray, D. K., Gerber, J. S., MacDonald, G. K., &amp; West, P. C. (2015). Climate variation explains a third of global crop yield variability. </w:t>
      </w:r>
      <w:r>
        <w:rPr>
          <w:rFonts w:ascii="Times New Roman" w:hAnsi="Times New Roman"/>
          <w:i/>
          <w:sz w:val="20"/>
        </w:rPr>
        <w:t>Nature Communications</w:t>
      </w:r>
      <w:r>
        <w:rPr>
          <w:rFonts w:ascii="Times New Roman" w:hAnsi="Times New Roman"/>
          <w:sz w:val="20"/>
        </w:rPr>
        <w:t xml:space="preserve">, </w:t>
      </w:r>
      <w:r>
        <w:rPr>
          <w:rFonts w:ascii="Times New Roman" w:hAnsi="Times New Roman"/>
          <w:i/>
          <w:sz w:val="20"/>
        </w:rPr>
        <w:t>6</w:t>
      </w:r>
      <w:r>
        <w:rPr>
          <w:rFonts w:ascii="Times New Roman" w:hAnsi="Times New Roman"/>
          <w:sz w:val="20"/>
        </w:rPr>
        <w:t>(1), 5989. https://doi.org/10.1038/ncomms6989</w:t>
      </w:r>
    </w:p>
    <w:p>
      <w:pPr>
        <w:jc w:val="both"/>
      </w:pPr>
      <w:r>
        <w:rPr>
          <w:rFonts w:ascii="Times New Roman" w:hAnsi="Times New Roman"/>
          <w:sz w:val="20"/>
        </w:rPr>
        <w:t xml:space="preserve">Renard, D., &amp; Tilman, D. (2019). National food production stabilized by crop diversity.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571</w:t>
      </w:r>
      <w:r>
        <w:rPr>
          <w:rFonts w:ascii="Times New Roman" w:hAnsi="Times New Roman"/>
          <w:sz w:val="20"/>
        </w:rPr>
        <w:t>(7764), 257–260. https://doi.org/10.1038/s41586-019-1316-y</w:t>
      </w:r>
    </w:p>
    <w:p>
      <w:pPr>
        <w:jc w:val="both"/>
      </w:pPr>
      <w:r>
        <w:rPr>
          <w:rFonts w:ascii="Times New Roman" w:hAnsi="Times New Roman"/>
          <w:sz w:val="2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rFonts w:ascii="Times New Roman" w:hAnsi="Times New Roman"/>
          <w:i/>
          <w:sz w:val="20"/>
        </w:rPr>
        <w:t>Ecography</w:t>
      </w:r>
      <w:r>
        <w:rPr>
          <w:rFonts w:ascii="Times New Roman" w:hAnsi="Times New Roman"/>
          <w:sz w:val="20"/>
        </w:rPr>
        <w:t xml:space="preserve">, </w:t>
      </w:r>
      <w:r>
        <w:rPr>
          <w:rFonts w:ascii="Times New Roman" w:hAnsi="Times New Roman"/>
          <w:i/>
          <w:sz w:val="20"/>
        </w:rPr>
        <w:t>40</w:t>
      </w:r>
      <w:r>
        <w:rPr>
          <w:rFonts w:ascii="Times New Roman" w:hAnsi="Times New Roman"/>
          <w:sz w:val="20"/>
        </w:rPr>
        <w:t>(8), 913–929. https://doi.org/10.1111/ecog.02881</w:t>
      </w:r>
    </w:p>
    <w:p>
      <w:pPr>
        <w:jc w:val="both"/>
      </w:pPr>
      <w:r>
        <w:rPr>
          <w:rFonts w:ascii="Times New Roman" w:hAnsi="Times New Roman"/>
          <w:sz w:val="20"/>
        </w:rPr>
        <w:t xml:space="preserve">Rowhani, P., Lobell, D. B., Linderman, M., &amp; Ramankutty, N. (2011). Climate variability and crop production in Tanzania. </w:t>
      </w:r>
      <w:r>
        <w:rPr>
          <w:rFonts w:ascii="Times New Roman" w:hAnsi="Times New Roman"/>
          <w:i/>
          <w:sz w:val="20"/>
        </w:rPr>
        <w:t>Agricultural and Forest Meteorology</w:t>
      </w:r>
      <w:r>
        <w:rPr>
          <w:rFonts w:ascii="Times New Roman" w:hAnsi="Times New Roman"/>
          <w:sz w:val="20"/>
        </w:rPr>
        <w:t xml:space="preserve">, </w:t>
      </w:r>
      <w:r>
        <w:rPr>
          <w:rFonts w:ascii="Times New Roman" w:hAnsi="Times New Roman"/>
          <w:i/>
          <w:sz w:val="20"/>
        </w:rPr>
        <w:t>151</w:t>
      </w:r>
      <w:r>
        <w:rPr>
          <w:rFonts w:ascii="Times New Roman" w:hAnsi="Times New Roman"/>
          <w:sz w:val="20"/>
        </w:rPr>
        <w:t>(4), 449–460. https://doi.org/10.1016/j.agrformet.2010.12.002</w:t>
      </w:r>
    </w:p>
    <w:p>
      <w:pPr>
        <w:jc w:val="both"/>
      </w:pPr>
      <w:r>
        <w:rPr>
          <w:rFonts w:ascii="Times New Roman" w:hAnsi="Times New Roman"/>
          <w:sz w:val="20"/>
        </w:rPr>
        <w:t xml:space="preserve">Shannon, C. E. (1948). A mathematical theory of communication. </w:t>
      </w:r>
      <w:r>
        <w:rPr>
          <w:rFonts w:ascii="Times New Roman" w:hAnsi="Times New Roman"/>
          <w:i/>
          <w:sz w:val="20"/>
        </w:rPr>
        <w:t>Bell System Technical Journal</w:t>
      </w:r>
      <w:r>
        <w:rPr>
          <w:rFonts w:ascii="Times New Roman" w:hAnsi="Times New Roman"/>
          <w:sz w:val="20"/>
        </w:rPr>
        <w:t xml:space="preserve">, </w:t>
      </w:r>
      <w:r>
        <w:rPr>
          <w:rFonts w:ascii="Times New Roman" w:hAnsi="Times New Roman"/>
          <w:i/>
          <w:sz w:val="20"/>
        </w:rPr>
        <w:t>27</w:t>
      </w:r>
      <w:r>
        <w:rPr>
          <w:rFonts w:ascii="Times New Roman" w:hAnsi="Times New Roman"/>
          <w:sz w:val="20"/>
        </w:rPr>
        <w:t>(3), 379–423. https://doi.org/10.1002/j.1538-7305.1948.tb01338.x</w:t>
      </w:r>
    </w:p>
    <w:p>
      <w:pPr>
        <w:jc w:val="both"/>
      </w:pPr>
      <w:r>
        <w:rPr>
          <w:rFonts w:ascii="Times New Roman" w:hAnsi="Times New Roman"/>
          <w:sz w:val="20"/>
        </w:rPr>
        <w:t xml:space="preserve">Storm, H., Baylis, K., &amp; Heckelei, T. (2020). Machine learning in agricultural and applied economics. </w:t>
      </w:r>
      <w:r>
        <w:rPr>
          <w:rFonts w:ascii="Times New Roman" w:hAnsi="Times New Roman"/>
          <w:i/>
          <w:sz w:val="20"/>
        </w:rPr>
        <w:t>European Review of Agricultural Economics</w:t>
      </w:r>
      <w:r>
        <w:rPr>
          <w:rFonts w:ascii="Times New Roman" w:hAnsi="Times New Roman"/>
          <w:sz w:val="20"/>
        </w:rPr>
        <w:t xml:space="preserve">, </w:t>
      </w:r>
      <w:r>
        <w:rPr>
          <w:rFonts w:ascii="Times New Roman" w:hAnsi="Times New Roman"/>
          <w:i/>
          <w:sz w:val="20"/>
        </w:rPr>
        <w:t>47</w:t>
      </w:r>
      <w:r>
        <w:rPr>
          <w:rFonts w:ascii="Times New Roman" w:hAnsi="Times New Roman"/>
          <w:sz w:val="20"/>
        </w:rPr>
        <w:t>(3), 849–892. https://doi.org/10.1093/erae/jbz033</w:t>
      </w:r>
    </w:p>
    <w:p>
      <w:pPr>
        <w:jc w:val="both"/>
      </w:pPr>
      <w:r>
        <w:rPr>
          <w:rFonts w:ascii="Times New Roman" w:hAnsi="Times New Roman"/>
          <w:sz w:val="20"/>
        </w:rPr>
        <w:t>Tanzania National Bureau of Statistics. (2026). Annual Agriculture Sample Survey 2024/25 (AASS 2024/25), Version 1.0 of the public use dataset. National Data Archive. https://microdata.nbs.go.tz/index.php/catalog/69</w:t>
      </w:r>
    </w:p>
    <w:p>
      <w:pPr>
        <w:jc w:val="both"/>
      </w:pPr>
      <w:r>
        <w:rPr>
          <w:rFonts w:ascii="Times New Roman" w:hAnsi="Times New Roman"/>
          <w:sz w:val="20"/>
        </w:rPr>
        <w:t xml:space="preserve">Teklewold, H., Kassie, M., &amp; Shiferaw, B. (2013). Adoption of multiple sustainable agricultural practices in rural Ethiopia. </w:t>
      </w:r>
      <w:r>
        <w:rPr>
          <w:rFonts w:ascii="Times New Roman" w:hAnsi="Times New Roman"/>
          <w:i/>
          <w:sz w:val="20"/>
        </w:rPr>
        <w:t>Journal of Agricultural Economics</w:t>
      </w:r>
      <w:r>
        <w:rPr>
          <w:rFonts w:ascii="Times New Roman" w:hAnsi="Times New Roman"/>
          <w:sz w:val="20"/>
        </w:rPr>
        <w:t xml:space="preserve">, </w:t>
      </w:r>
      <w:r>
        <w:rPr>
          <w:rFonts w:ascii="Times New Roman" w:hAnsi="Times New Roman"/>
          <w:i/>
          <w:sz w:val="20"/>
        </w:rPr>
        <w:t>64</w:t>
      </w:r>
      <w:r>
        <w:rPr>
          <w:rFonts w:ascii="Times New Roman" w:hAnsi="Times New Roman"/>
          <w:sz w:val="20"/>
        </w:rPr>
        <w:t>(3), 597–623. https://doi.org/10.1111/1477-9552.12011</w:t>
      </w:r>
    </w:p>
    <w:p>
      <w:pPr>
        <w:jc w:val="both"/>
      </w:pPr>
      <w:r>
        <w:rPr>
          <w:rFonts w:ascii="Times New Roman" w:hAnsi="Times New Roman"/>
          <w:sz w:val="20"/>
        </w:rPr>
        <w:t xml:space="preserve">Thornton, P. K., Ericksen, P. J., Herrero, M., &amp; Challinor, A. J. (2014). Climate variability and vulnerability to climate change: A review. </w:t>
      </w:r>
      <w:r>
        <w:rPr>
          <w:rFonts w:ascii="Times New Roman" w:hAnsi="Times New Roman"/>
          <w:i/>
          <w:sz w:val="20"/>
        </w:rPr>
        <w:t>Global Change Biology</w:t>
      </w:r>
      <w:r>
        <w:rPr>
          <w:rFonts w:ascii="Times New Roman" w:hAnsi="Times New Roman"/>
          <w:sz w:val="20"/>
        </w:rPr>
        <w:t xml:space="preserve">, </w:t>
      </w:r>
      <w:r>
        <w:rPr>
          <w:rFonts w:ascii="Times New Roman" w:hAnsi="Times New Roman"/>
          <w:i/>
          <w:sz w:val="20"/>
        </w:rPr>
        <w:t>20</w:t>
      </w:r>
      <w:r>
        <w:rPr>
          <w:rFonts w:ascii="Times New Roman" w:hAnsi="Times New Roman"/>
          <w:sz w:val="20"/>
        </w:rPr>
        <w:t>(11), 3313–3328. https://doi.org/10.1111/gcb.12581</w:t>
      </w:r>
    </w:p>
    <w:p>
      <w:pPr>
        <w:jc w:val="both"/>
      </w:pPr>
      <w:r>
        <w:rPr>
          <w:rFonts w:ascii="Times New Roman" w:hAnsi="Times New Roman"/>
          <w:sz w:val="20"/>
        </w:rPr>
        <w:t xml:space="preserve">Tilman, D., Reich, P. B., &amp; Knops, J. M. H. (2006). Biodiversity and ecosystem stability in a decade-long grassland experiment.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441</w:t>
      </w:r>
      <w:r>
        <w:rPr>
          <w:rFonts w:ascii="Times New Roman" w:hAnsi="Times New Roman"/>
          <w:sz w:val="20"/>
        </w:rPr>
        <w:t>(7093), 629–632. https://doi.org/10.1038/nature04742</w:t>
      </w:r>
    </w:p>
    <w:p>
      <w:pPr>
        <w:jc w:val="both"/>
      </w:pPr>
      <w:r>
        <w:rPr>
          <w:rFonts w:ascii="Times New Roman" w:hAnsi="Times New Roman"/>
          <w:sz w:val="20"/>
        </w:rPr>
        <w:t xml:space="preserve">Tittonell, P., &amp; Giller, K. E. (2013). When yield gaps are poverty traps: The paradigm of ecological intensification in African smallholder agriculture. </w:t>
      </w:r>
      <w:r>
        <w:rPr>
          <w:rFonts w:ascii="Times New Roman" w:hAnsi="Times New Roman"/>
          <w:i/>
          <w:sz w:val="20"/>
        </w:rPr>
        <w:t>Field Crops Research</w:t>
      </w:r>
      <w:r>
        <w:rPr>
          <w:rFonts w:ascii="Times New Roman" w:hAnsi="Times New Roman"/>
          <w:sz w:val="20"/>
        </w:rPr>
        <w:t xml:space="preserve">, </w:t>
      </w:r>
      <w:r>
        <w:rPr>
          <w:rFonts w:ascii="Times New Roman" w:hAnsi="Times New Roman"/>
          <w:i/>
          <w:sz w:val="20"/>
        </w:rPr>
        <w:t>143</w:t>
      </w:r>
      <w:r>
        <w:rPr>
          <w:rFonts w:ascii="Times New Roman" w:hAnsi="Times New Roman"/>
          <w:sz w:val="20"/>
        </w:rPr>
        <w:t>, 76–90. https://doi.org/10.1016/j.fcr.2012.10.007</w:t>
      </w:r>
    </w:p>
    <w:p>
      <w:pPr>
        <w:jc w:val="both"/>
      </w:pPr>
      <w:r>
        <w:rPr>
          <w:rFonts w:ascii="Times New Roman" w:hAnsi="Times New Roman"/>
          <w:sz w:val="20"/>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hAnsi="Times New Roman"/>
          <w:i/>
          <w:sz w:val="20"/>
        </w:rPr>
        <w:t>Nature Methods</w:t>
      </w:r>
      <w:r>
        <w:rPr>
          <w:rFonts w:ascii="Times New Roman" w:hAnsi="Times New Roman"/>
          <w:sz w:val="20"/>
        </w:rPr>
        <w:t xml:space="preserve">, </w:t>
      </w:r>
      <w:r>
        <w:rPr>
          <w:rFonts w:ascii="Times New Roman" w:hAnsi="Times New Roman"/>
          <w:i/>
          <w:sz w:val="20"/>
        </w:rPr>
        <w:t>17</w:t>
      </w:r>
      <w:r>
        <w:rPr>
          <w:rFonts w:ascii="Times New Roman" w:hAnsi="Times New Roman"/>
          <w:sz w:val="20"/>
        </w:rPr>
        <w:t>(3), 261–272. https://doi.org/10.1038/s41592-019-0686-2</w:t>
      </w:r>
    </w:p>
    <w:p>
      <w:pPr>
        <w:jc w:val="both"/>
      </w:pPr>
      <w:r>
        <w:rPr>
          <w:rFonts w:ascii="Times New Roman" w:hAnsi="Times New Roman"/>
          <w:sz w:val="20"/>
        </w:rPr>
        <w:t xml:space="preserve">Wadoux, A. M. J.-C., Heuvelink, G. B. M., de Bruin, S., &amp; Brus, D. J. (2021). Spatial cross-validation is not the right way to evaluate map accuracy. </w:t>
      </w:r>
      <w:r>
        <w:rPr>
          <w:rFonts w:ascii="Times New Roman" w:hAnsi="Times New Roman"/>
          <w:i/>
          <w:sz w:val="20"/>
        </w:rPr>
        <w:t>Ecological Modelling</w:t>
      </w:r>
      <w:r>
        <w:rPr>
          <w:rFonts w:ascii="Times New Roman" w:hAnsi="Times New Roman"/>
          <w:sz w:val="20"/>
        </w:rPr>
        <w:t xml:space="preserve">, </w:t>
      </w:r>
      <w:r>
        <w:rPr>
          <w:rFonts w:ascii="Times New Roman" w:hAnsi="Times New Roman"/>
          <w:i/>
          <w:sz w:val="20"/>
        </w:rPr>
        <w:t>457</w:t>
      </w:r>
      <w:r>
        <w:rPr>
          <w:rFonts w:ascii="Times New Roman" w:hAnsi="Times New Roman"/>
          <w:sz w:val="20"/>
        </w:rPr>
        <w:t>, 109692. https://doi.org/10.1016/j.ecolmodel.2021.109692</w:t>
      </w:r>
    </w:p>
    <w:p>
      <w:pPr>
        <w:jc w:val="both"/>
      </w:pPr>
      <w:r>
        <w:rPr>
          <w:rFonts w:ascii="Times New Roman" w:hAnsi="Times New Roman"/>
          <w:sz w:val="20"/>
        </w:rPr>
        <w:t xml:space="preserve">Wheeler, T., &amp; von Braun, J. (2013). Climate change impacts on global food security.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341</w:t>
      </w:r>
      <w:r>
        <w:rPr>
          <w:rFonts w:ascii="Times New Roman" w:hAnsi="Times New Roman"/>
          <w:sz w:val="20"/>
        </w:rPr>
        <w:t>(6145), 508–513. https://doi.org/10.1126/science.1239402</w:t>
      </w:r>
    </w:p>
    <w:p>
      <w:pPr>
        <w:jc w:val="both"/>
      </w:pPr>
      <w:r>
        <w:rPr>
          <w:rFonts w:ascii="Times New Roman" w:hAnsi="Times New Roman"/>
          <w:sz w:val="20"/>
        </w:rPr>
        <w:t xml:space="preserve">Zimmerman, F. J., &amp; Carter, M. R. (2003). Asset smoothing, consumption smoothing and the reproduction of inequality under risk and subsistence constraints.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71</w:t>
      </w:r>
      <w:r>
        <w:rPr>
          <w:rFonts w:ascii="Times New Roman" w:hAnsi="Times New Roman"/>
          <w:sz w:val="20"/>
        </w:rPr>
        <w:t>(2), 233–260. https://doi.org/10.1016/S0304-3878(03)00028-2</w:t>
      </w:r>
    </w:p>
    <w:p>
      <w:pPr>
        <w:spacing w:before="240" w:after="80"/>
      </w:pPr>
      <w:r>
        <w:rPr>
          <w:rFonts w:ascii="Times New Roman" w:hAnsi="Times New Roman"/>
          <w:b/>
          <w:sz w:val="24"/>
        </w:rPr>
        <w:t>Author Biography</w:t>
      </w:r>
    </w:p>
    <w:p>
      <w:pPr>
        <w:jc w:val="both"/>
      </w:pPr>
      <w:r>
        <w:rPr>
          <w:rFonts w:ascii="Times New Roman" w:hAnsi="Times New Roman"/>
          <w:sz w:val="20"/>
        </w:rPr>
        <w:t>Kadeghe Goodluck Fue is a Senior Lecturer in the Department of Agricultural Engineering, School of Engineering and Technology, at Sokoine University of Agriculture (SUA) in Morogoro, Tanzania, where he leads the Electronics and Precision Agriculture Lab (EPALab). He holds a Ph.D. in Engineering from the University of Georgia, an M.Sc. in Agricultural and Biological Engineering from the University of Florida, and a B.Sc. in Computer Engineering and Information Technology from the University of Dar es Salaam. His research focuses on precision agriculture, artificial intelligence, spatial machine learning, Agricultural Data Science, and climate-resilient smallholder farming systems, driven by a deep commitment to advancing food security across sub-Saharan Africa.</w:t>
      </w:r>
    </w:p>
    <w:p>
      <w:pPr>
        <w:spacing w:before="160"/>
      </w:pPr>
      <w:r>
        <w:rPr>
          <w:rFonts w:ascii="Times New Roman" w:hAnsi="Times New Roman"/>
          <w:i/>
          <w:sz w:val="18"/>
        </w:rPr>
        <w:t>[Author Portrait Photo Placeholder: High-resolution head-and-shoulders portrait of Dr. Eng. Kadeghe Goodluck Fue (3.2 cm × 4.0 cm, 300 dpi, JPEG/TIFF) to be uploaded via Editorial Manager]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8"/>
      </w:rPr>
      <w:t>Running Head: Predicting Smallholder Crop Yield Volatility in Tanzania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