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color w:val="111111"/>
          <w:sz w:val="34"/>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School of Engineering and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line="276" w:lineRule="auto" w:after="240"/>
        <w:ind w:left="360" w:right="360"/>
      </w:pPr>
      <w:r>
        <w:rPr>
          <w:rFonts w:ascii="Times New Roman" w:hAnsi="Times New Roman"/>
        </w:rPr>
        <w:t>Smallholder farming households in Sub-Saharan Africa operate on the frontlines of climatic volatility, where bimodal precipitation regimes govern two distinct cropping seasons: Masika (long rains) and Vuli (short rains). When crop yields fluctuate unpredictably between these successive seasons, household food reserves are rapidly depleted, locking rural communities into persistent seasonal poverty traps. While machine learning offers transformative capabilities to anticipate agricultural shocks, standard algorithms frequently learn spurious spatial correlations, resulting in inflated accuracy metrics that degrade precipitously when models are deployed across unseen rural districts. In this study, we developed a strictly leakage-free spatial artificial intelligence framework evaluated across 27 administrative regions of Tanzania using national microdata from 10,750 smallholder households. We demonstrated that seasonal fertilizer application disparities, soil management constraints, and inadequate livestock safety buffers accounted for more than half of observed inter-seasonal yield swings. Furthermore, policy counterfactual simulations revealed that targeted fertilizer stabilization and crop portfolio diversification suppressed extreme seasonal yield crashes by more than 30%. These findings equip agricultural extension services and policymakers with an empirical, deployment-ready decision support tool to strengthen food security across Africa's smallholder landscapes.</w:t>
      </w:r>
    </w:p>
    <w:p>
      <w:r>
        <w:rPr>
          <w:b/>
          <w:color w:val="1B365D"/>
          <w:sz w:val="22"/>
        </w:rPr>
        <w:t>ABSTRACT</w:t>
      </w:r>
    </w:p>
    <w:p>
      <w:pPr>
        <w:spacing w:line="276" w:lineRule="auto" w:after="160"/>
        <w:ind w:left="360" w:right="360"/>
      </w:pPr>
      <w:r>
        <w:rPr>
          <w:rFonts w:ascii="Times New Roman" w:hAnsi="Times New Roman"/>
        </w:rPr>
        <w:t>Intra-annual crop yield volatility between bimodal production seasons constitutes a profound vulnerability for smallholder farming systems in Sub-Saharan Africa. While machine learning offers transformative capabilities for agricultural risk forecasting, conventional cross-validation schemes suffer from spatial autocorrelation leakage, generating over-optimistic performance estimates that fail upon deployment to unmonitored agro-ecological zones. Here, we developed a leakage-free spatial machine learning pipeline utilizing the Tanzania National Bureau of Statistics (NBS) Annual Agricultural Sample Survey (AASS) microdata, encompassing 10,750 smallholder households across 27 administrative regions. We formulated a standardized inter-seasonal Yield Volatility Index (</w:t>
      </w:r>
      <m:oMath>
        <m:sSub>
          <m:e>
            <m:r>
              <m:t>Y</m:t>
            </m:r>
          </m:e>
          <m:sub>
            <m:r>
              <m:t>vol,i</m:t>
            </m:r>
          </m:sub>
        </m:sSub>
      </m:oMath>
      <w:r>
        <w:rPr>
          <w:rFonts w:ascii="Times New Roman" w:hAnsi="Times New Roman"/>
        </w:rPr>
        <w:t xml:space="preserve">) and engineered domain-specific agronomic features spanning seasonal input deltas, crop portfolio Shannon diversity, labor allocation dynamics, and livestock liquidity buffers. Using a 5-pillar spatial isolation protocol with regional GroupKFold partitioning, we benchmarked LightGBM, XGBoost, Random Forest, CatBoost, and an out-of-fold regularized Weighted Ensemble against pooled non-spatial baselines. The Weighted Ensemble achieved superior spatial generalization (Spatial Out-of-Fold </w:t>
      </w:r>
      <m:oMath>
        <m:sSup>
          <m:e>
            <m:r>
              <m:t>R</m:t>
            </m:r>
          </m:e>
          <m:sup>
            <m:r>
              <m:t>2</m:t>
            </m:r>
          </m:sup>
        </m:sSup>
      </m:oMath>
      <w:r>
        <w:rPr>
          <w:rFonts w:ascii="Times New Roman" w:hAnsi="Times New Roman"/>
        </w:rPr>
        <w:t xml:space="preserve"> = 0.584 ± 0.042, RMSE = 0.231 ± 0.015), significantly outperforming pooled models that exhibited an optimistic spatial leakage bias of </w:t>
      </w:r>
      <m:oMath>
        <m:r>
          <m:t>Δ</m:t>
        </m:r>
        <m:sSup>
          <m:e>
            <m:r>
              <m:t>R</m:t>
            </m:r>
          </m:e>
          <m:sup>
            <m:r>
              <m:t>2</m:t>
            </m:r>
          </m:sup>
        </m:sSup>
      </m:oMath>
      <w:r>
        <w:rPr>
          <w:rFonts w:ascii="Times New Roman" w:hAnsi="Times New Roman"/>
        </w:rPr>
        <w:t xml:space="preserve"> = +0.157. Shapley Additive Explanations (SHAP) identified seasonal planting date divergence, crop diversity differentials, and livestock herd size as dominant non-linear drivers of yield stability. Counterfactual policy simulations demonstrated that an integrated climate-smart agriculture package reduced hyper-volatile smallholder holdings by 63.3% (dropping from 38.4% to 14.1%). This framework establishes an empirically verified blueprint for robust, deployment-ready agricultural machine learning in developing economies.</w:t>
      </w:r>
    </w:p>
    <w:p>
      <w:pPr>
        <w:spacing w:after="280"/>
      </w:pPr>
      <w:r>
        <w:rPr>
          <w:b/>
        </w:rPr>
        <w:t xml:space="preserve">Keywords: </w:t>
      </w:r>
      <w:r>
        <w:t>smallholder agriculture, yield volatility, spatial cross-validation, machine learning, Tanzania, climate resilience, agro-ecological zones, explainable AI</w:t>
      </w:r>
    </w:p>
    <w:p>
      <w:pPr>
        <w:jc w:val="center"/>
      </w:pPr>
      <w:r>
        <w:t>―――――――――――――――――――――――――――――――――――――――――――――――――――――――</w:t>
      </w:r>
    </w:p>
    <w:p>
      <w:pPr>
        <w:spacing w:before="280" w:after="80"/>
      </w:pPr>
      <w:r>
        <w:rPr>
          <w:rFonts w:ascii="Times New Roman" w:hAnsi="Times New Roman"/>
          <w:b/>
          <w:color w:val="1B365D"/>
          <w:sz w:val="30"/>
        </w:rPr>
        <w:t>1. Introduction</w:t>
      </w:r>
    </w:p>
    <w:p>
      <w:pPr>
        <w:spacing w:line="276" w:lineRule="auto" w:after="120"/>
      </w:pPr>
      <w:r>
        <w:rPr>
          <w:rFonts w:ascii="Times New Roman" w:hAnsi="Times New Roman"/>
        </w:rPr>
        <w:t>Smallholder agricultural systems form the economic foundation and primary food source for more than 70% of the population in Sub-Saharan Africa (SSA) (Food and Agriculture Organization [FAO], 2021). In Tanzania, where agriculture contributes nearly 27% of Gross Domestic Product and employs over 65% of the national workforce, smallholder productivity remains acutely tied to rainfall seasonality (National Bureau of Statistics [NBS], 2021; United Republic of Tanzania [URT], 2020). Across large expanses of the country—particularly the northern, eastern, and Lake Victoria basins—crop production is governed by a bimodal precipitation regime consisting of the long rains (</w:t>
      </w:r>
      <w:r>
        <w:rPr>
          <w:rFonts w:ascii="Times New Roman" w:hAnsi="Times New Roman"/>
          <w:i/>
        </w:rPr>
        <w:t>Masika</w:t>
      </w:r>
      <w:r>
        <w:rPr>
          <w:rFonts w:ascii="Times New Roman" w:hAnsi="Times New Roman"/>
        </w:rPr>
        <w:t>, typically March to May) and the short rains (</w:t>
      </w:r>
      <w:r>
        <w:rPr>
          <w:rFonts w:ascii="Times New Roman" w:hAnsi="Times New Roman"/>
          <w:i/>
        </w:rPr>
        <w:t>Vuli</w:t>
      </w:r>
      <w:r>
        <w:rPr>
          <w:rFonts w:ascii="Times New Roman" w:hAnsi="Times New Roman"/>
        </w:rPr>
        <w:t>, October to December) (Lema &amp; Majule, 2009; Rowhani et al., 2011; Zorita &amp; Tilya, 2002).</w:t>
      </w:r>
    </w:p>
    <w:p>
      <w:pPr>
        <w:spacing w:line="276" w:lineRule="auto" w:after="120"/>
      </w:pPr>
      <w:r>
        <w:rPr>
          <w:rFonts w:ascii="Times New Roman" w:hAnsi="Times New Roman"/>
        </w:rP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(Birthal et al., 2015; Ray et al., 2015). When smallholder yields collapse from one season to the next, farm households experience severe caloric shortfalls, distress sales of productive assets, and deepened poverty traps (Carter &amp; Barrett, 2006; Dercon &amp; Christiaensen, 2011).</w:t>
      </w:r>
    </w:p>
    <w:p>
      <w:pPr>
        <w:spacing w:line="276" w:lineRule="auto" w:after="120"/>
      </w:pPr>
      <w:r>
        <w:rPr>
          <w:rFonts w:ascii="Times New Roman" w:hAnsi="Times New Roman"/>
        </w:rPr>
        <w:t>The advent of machine learning (ML) and high-dimensional microdata has unlocked new frontiers in precision agriculture and agricultural vulnerability modeling (Benami et al., 2021; Chlingaryan et al., 2018; Khaki &amp; Wang, 2019; van Klompenburg et al., 2020). Modern tree-based ensembles, such as Random Forest (Breiman, 2001), eXtreme Gradient Boosting (XGBoost; Chen &amp; Guestrin, 2016), LightGBM (Ke et al., 2017), and CatBoost (Prokhorenkova et al., 2018), have repeatedly demonstrated superior empirical performance over classical econometric and biophysical crop models by capturing complex non-linear interactions without rigid parametric assumptions.</w:t>
      </w:r>
    </w:p>
    <w:p>
      <w:pPr>
        <w:spacing w:line="276" w:lineRule="auto" w:after="120"/>
      </w:pPr>
      <w:r>
        <w:rPr>
          <w:rFonts w:ascii="Times New Roman" w:hAnsi="Times New Roman"/>
        </w:rPr>
        <w:t xml:space="preserve">However, the application of predictive machine learning to smallholder agriculture faces a critical methodological flaw: </w:t>
      </w:r>
      <w:r>
        <w:rPr>
          <w:rFonts w:ascii="Times New Roman" w:hAnsi="Times New Roman"/>
          <w:b/>
        </w:rPr>
        <w:t>spatial autocorrelation leakage</w:t>
      </w:r>
      <w:r>
        <w:rPr>
          <w:rFonts w:ascii="Times New Roman" w:hAnsi="Times New Roman"/>
        </w:rPr>
        <w:t xml:space="preserve"> (Meyer et al., 2018; Ploton et al., 2020; Roberts et al., 2017). Because farm holdings situated within close geographic proximity share latent agro-ecological, pedological, and climatic characteristics, conventional random k-fold cross-validation allows training folds to inadvertently access spatial proxies from validation folds (Schratz et al., 2019; Valavi et al., 2019; Wadoux et al., 2021). This spatial data leakage inflates cross-validation performance metrics (often by 15% to 30% in </w:t>
      </w:r>
      <m:oMath>
        <m:sSup>
          <m:e>
            <m:r>
              <m:t>R</m:t>
            </m:r>
          </m:e>
          <m:sup>
            <m:r>
              <m:t>2</m:t>
            </m:r>
          </m:sup>
        </m:sSup>
      </m:oMath>
      <w:r>
        <w:rPr>
          <w:rFonts w:ascii="Times New Roman" w:hAnsi="Times New Roman"/>
        </w:rPr>
        <w:t>), yielding dangerously over-optimistic models that degrade precipitously when transferred to unseen geographic domains or operationalized by agricultural extension officers in distant rural wards.</w:t>
      </w:r>
    </w:p>
    <w:p>
      <w:pPr>
        <w:spacing w:line="276" w:lineRule="auto" w:after="120"/>
      </w:pPr>
      <w:r>
        <w:rPr>
          <w:rFonts w:ascii="Times New Roman" w:hAnsi="Times New Roman"/>
        </w:rP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Lundberg &amp; Lee, 2017; Lundberg et al., 2020), and conduct counterfactual policy simulations.</w:t>
      </w:r>
    </w:p>
    <w:p>
      <w:pPr>
        <w:spacing w:line="276" w:lineRule="auto" w:after="120"/>
      </w:pPr>
      <w:r>
        <w:rPr>
          <w:rFonts w:ascii="Times New Roman" w:hAnsi="Times New Roman"/>
        </w:rPr>
        <w:t>The primary contributions of this work are fourfold:</w:t>
        <w:br/>
        <w:t xml:space="preserve">1. </w:t>
      </w:r>
      <w:r>
        <w:rPr>
          <w:rFonts w:ascii="Times New Roman" w:hAnsi="Times New Roman"/>
          <w:b/>
        </w:rPr>
        <w:t>Target Formulation &amp; Standardization</w:t>
      </w:r>
      <w:r>
        <w:rPr>
          <w:rFonts w:ascii="Times New Roman" w:hAnsi="Times New Roman"/>
        </w:rPr>
        <w:t>: We formulate an intra-annual Yield Volatility Index (</w:t>
      </w:r>
      <m:oMath>
        <m:sSub>
          <m:e>
            <m:r>
              <m:t>Y</m:t>
            </m:r>
          </m:e>
          <m:sub>
            <m:r>
              <m:t>vol,i</m:t>
            </m:r>
          </m:sub>
        </m:sSub>
      </m:oMath>
      <w:r>
        <w:rPr>
          <w:rFonts w:ascii="Times New Roman" w:hAnsi="Times New Roman"/>
        </w:rPr>
        <w:t>) that standardizes yield variations across heterogeneous agro-ecological zones while accommodating complete harvest failures.</w:t>
        <w:br/>
        <w:t xml:space="preserve">2. </w:t>
      </w:r>
      <w:r>
        <w:rPr>
          <w:rFonts w:ascii="Times New Roman" w:hAnsi="Times New Roman"/>
          <w:b/>
        </w:rPr>
        <w:t>5-Pillar Spatial Isolation Architecture</w:t>
      </w:r>
      <w:r>
        <w:rPr>
          <w:rFonts w:ascii="Times New Roman" w:hAnsi="Times New Roman"/>
        </w:rPr>
        <w:t>: We introduce an end-to-end spatial validation framework that enforces spatial GroupKFold partitioning by administrative region, strictly nested inside-fold preprocessor fitting, and zero-leakage feature selection (Roberts et al., 2017).</w:t>
        <w:br/>
        <w:t xml:space="preserve">3. </w:t>
      </w:r>
      <w:r>
        <w:rPr>
          <w:rFonts w:ascii="Times New Roman" w:hAnsi="Times New Roman"/>
          <w:b/>
        </w:rPr>
        <w:t>Multi-Model Benchmark &amp; Weighted Ensembling</w:t>
      </w:r>
      <w:r>
        <w:rPr>
          <w:rFonts w:ascii="Times New Roman" w:hAnsi="Times New Roman"/>
        </w:rPr>
        <w:t>: We systematically benchmark LightGBM, XGBoost, Random Forest, CatBoost, and a spatially calibrated Weighted Ensemble, quantifying the precise empirical penalty of spatial cross-validation versus naive pooled splitting.</w:t>
        <w:br/>
        <w:t xml:space="preserve">4. </w:t>
      </w:r>
      <w:r>
        <w:rPr>
          <w:rFonts w:ascii="Times New Roman" w:hAnsi="Times New Roman"/>
          <w:b/>
        </w:rPr>
        <w:t>Actionable Policy Counterfactuals</w:t>
      </w:r>
      <w:r>
        <w:rPr>
          <w:rFonts w:ascii="Times New Roman" w:hAnsi="Times New Roman"/>
        </w:rPr>
        <w:t>: We demonstrate how non-linear ML response surfaces can be converted into targeted policy simulations to evaluate fertilizer subsidies, crop diversification (Beillouin et al., 2019; Renard &amp; Tilman, 2019; Waha et al., 2013),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pPr>
        <w:spacing w:line="276" w:lineRule="auto" w:after="120"/>
      </w:pPr>
      <w:r>
        <w:rPr>
          <w:rFonts w:ascii="Times New Roman" w:hAnsi="Times New Roman"/>
        </w:rPr>
        <w:t>The empirical foundation of this study was the National Bureau of Statistics (NBS) Annual Agricultural Sample Survey (AASS) microdata covering mainland Tanzania and Zanzibar (NBS, 2021). The survey followed a multi-stage stratified cluster sampling design representative of smallholder agricultural households at both national and regional levels (URT, 2020).</w:t>
      </w:r>
    </w:p>
    <w:p>
      <w:pPr>
        <w:spacing w:line="276" w:lineRule="auto" w:after="120"/>
      </w:pPr>
      <w:r>
        <w:rPr>
          <w:rFonts w:ascii="Times New Roman" w:hAnsi="Times New Roman"/>
        </w:rPr>
        <w:t>The microdata integration pipeline ingested and harmonized seven primary survey modules:</w:t>
        <w:br/>
        <w:t>- Household demographic profiles and asset ownership rosters</w:t>
        <w:br/>
        <w:t>- Agricultural parcel registers and land tenure characteristics across long- and short-rain seasons</w:t>
        <w:br/>
        <w:t>- Seasonal crop production, cultivated and harvested areas, and harvest utilization records</w:t>
        <w:br/>
        <w:t>- Agricultural input utilization rosters detailing chemical fertilizers, organic manure, agrochemicals, and improved seed varieties</w:t>
      </w:r>
    </w:p>
    <w:p>
      <w:pPr>
        <w:spacing w:line="276" w:lineRule="auto" w:after="120"/>
      </w:pPr>
      <w:r>
        <w:rPr>
          <w:rFonts w:ascii="Times New Roman" w:hAnsi="Times New Roman"/>
        </w:rPr>
        <w:t xml:space="preserve">To resolve measurement heterogeneity across rural districts, non-standard harvest volume units (e.g., </w:t>
      </w:r>
      <w:r>
        <w:rPr>
          <w:rFonts w:ascii="Times New Roman" w:hAnsi="Times New Roman"/>
          <w:i/>
        </w:rPr>
        <w:t>debe</w:t>
      </w:r>
      <w:r>
        <w:rPr>
          <w:rFonts w:ascii="Times New Roman" w:hAnsi="Times New Roman"/>
        </w:rPr>
        <w:t xml:space="preserve">, </w:t>
      </w:r>
      <w:r>
        <w:rPr>
          <w:rFonts w:ascii="Times New Roman" w:hAnsi="Times New Roman"/>
          <w:i/>
        </w:rPr>
        <w:t>gunia</w:t>
      </w:r>
      <w:r>
        <w:rPr>
          <w:rFonts w:ascii="Times New Roman" w:hAnsi="Times New Roman"/>
        </w:rPr>
        <w:t>, ox-carts, pieces) were harmonized to standard kilograms (kg) using official agro-ecological conversion coefficients published by the Ministry of Agriculture and NBS (NBS, 2021).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pPr>
        <w:spacing w:line="276" w:lineRule="auto" w:after="120"/>
      </w:pPr>
      <w:r>
        <w:rPr>
          <w:rFonts w:ascii="Times New Roman" w:hAnsi="Times New Roman"/>
        </w:rPr>
        <w:t xml:space="preserve">Let </w:t>
      </w:r>
      <m:oMath>
        <m:sSub>
          <m:e>
            <m:r>
              <m:t>Y</m:t>
            </m:r>
          </m:e>
          <m:sub>
            <m:r>
              <m:t>m,i</m:t>
            </m:r>
          </m:sub>
        </m:sSub>
      </m:oMath>
      <w:r>
        <w:rPr>
          <w:rFonts w:ascii="Times New Roman" w:hAnsi="Times New Roman"/>
        </w:rPr>
        <w:t xml:space="preserve"> and </w:t>
      </w:r>
      <m:oMath>
        <m:sSub>
          <m:e>
            <m:r>
              <m:t>Y</m:t>
            </m:r>
          </m:e>
          <m:sub>
            <m:r>
              <m:t>v,i</m:t>
            </m:r>
          </m:sub>
        </m:sSub>
      </m:oMath>
      <w:r>
        <w:rPr>
          <w:rFonts w:ascii="Times New Roman" w:hAnsi="Times New Roman"/>
        </w:rPr>
        <w:t xml:space="preserve"> denote the aggregate crop yield (expressed in metric tons per hectare, t/ha) for household i during the Masika and Vuli production cycles, respectively. To quantify inter-seasonal yield instability independent of baseline holding scale, we formulated the normalized Yield Volatility Index (</w:t>
      </w:r>
      <m:oMath>
        <m:sSub>
          <m:e>
            <m:r>
              <m:t>Y</m:t>
            </m:r>
          </m:e>
          <m:sub>
            <m:r>
              <m:t>vol,i</m:t>
            </m:r>
          </m:sub>
        </m:sSub>
      </m:oMath>
      <w:r>
        <w:rPr>
          <w:rFonts w:ascii="Times New Roman" w:hAnsi="Times New Roman"/>
        </w:rPr>
        <w:t>) in Equation (1):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
                <m:e>
                  <m:r>
                    <m:t>Y</m:t>
                  </m:r>
                </m:e>
                <m:sub>
                  <m:r>
                    <m:t>vol,i</m:t>
                  </m:r>
                </m:sub>
              </m:sSub>
              <m:r>
                <m:t> = </m:t>
              </m:r>
              <m:f>
                <m:num>
                  <m:d>
                    <m:dPr>
                      <m:begChr m:val="|"/>
                      <m:endChr m:val="|"/>
                    </m:dPr>
                    <m:e>
                      <m:sSub>
                        <m:e>
                          <m:r>
                            <m:t>Y</m:t>
                          </m:r>
                        </m:e>
                        <m:sub>
                          <m:r>
                            <m:t>m,i</m:t>
                          </m:r>
                        </m:sub>
                      </m:sSub>
                      <m:r>
                        <m:t> - </m:t>
                      </m:r>
                      <m:sSub>
                        <m:e>
                          <m:r>
                            <m:t>Y</m:t>
                          </m:r>
                        </m:e>
                        <m:sub>
                          <m:r>
                            <m:t>v,i</m:t>
                          </m:r>
                        </m:sub>
                      </m:sSub>
                    </m:e>
                  </m:d>
                </m:num>
                <m:den>
                  <m:f>
                    <m:num>
                      <m:r>
                        <m:t>1</m:t>
                      </m:r>
                    </m:num>
                    <m:den>
                      <m:r>
                        <m:t>2</m:t>
                      </m:r>
                    </m:den>
                  </m:f>
                  <m:d>
                    <m:dPr>
                      <m:begChr m:val="("/>
                      <m:endChr m:val=")"/>
                    </m:dPr>
                    <m:e>
                      <m:sSub>
                        <m:e>
                          <m:r>
                            <m:t>Y</m:t>
                          </m:r>
                        </m:e>
                        <m:sub>
                          <m:r>
                            <m:t>m,i</m:t>
                          </m:r>
                        </m:sub>
                      </m:sSub>
                      <m:r>
                        <m:t> + </m:t>
                      </m:r>
                      <m:sSub>
                        <m:e>
                          <m:r>
                            <m:t>Y</m:t>
                          </m:r>
                        </m:e>
                        <m:sub>
                          <m:r>
                            <m:t>v,i</m:t>
                          </m:r>
                        </m:sub>
                      </m:sSub>
                    </m:e>
                  </m:d>
                  <m:r>
                    <m:t> + </m:t>
                  </m:r>
                  <m:r>
                    <m:t>ϵ</m:t>
                  </m:r>
                </m:den>
              </m:f>
            </m:oMath>
          </w:p>
        </w:tc>
        <w:tc>
          <w:tcPr>
            <w:tcW w:type="dxa" w:w="4680"/>
            <w:vAlign w:val="center"/>
          </w:tcPr>
          <w:p>
            <w:pPr>
              <w:spacing w:before="120" w:after="120"/>
              <w:jc w:val="right"/>
            </w:pPr>
            <w:r>
              <w:rPr>
                <w:rFonts w:ascii="Times New Roman" w:hAnsi="Times New Roman"/>
                <w:color w:val="222222"/>
                <w:sz w:val="22"/>
              </w:rPr>
              <w:t>(1)</w:t>
            </w:r>
          </w:p>
        </w:tc>
      </w:tr>
    </w:tbl>
    <w:p>
      <w:pPr>
        <w:spacing w:line="276" w:lineRule="auto" w:after="120"/>
      </w:pPr>
      <w:r>
        <w:rPr>
          <w:rFonts w:ascii="Times New Roman" w:hAnsi="Times New Roman"/>
        </w:rPr>
        <w:t xml:space="preserve">where ϵ = </w:t>
      </w:r>
      <m:oMath>
        <m:r>
          <m:t/>
        </m:r>
        <m:sSup>
          <m:e>
            <m:r>
              <m:t>10</m:t>
            </m:r>
          </m:e>
          <m:sup>
            <m:r>
              <m:t>-4</m:t>
            </m:r>
          </m:sup>
        </m:sSup>
      </m:oMath>
      <w:r>
        <w:rPr>
          <w:rFonts w:ascii="Times New Roman" w:hAnsi="Times New Roman"/>
        </w:rPr>
        <w:t xml:space="preserve"> prevents numerical instability in rare cases where both seasonal harvests approach zero. The index is continuous, bounded within [0, 2], where </w:t>
      </w:r>
      <m:oMath>
        <m:sSub>
          <m:e>
            <m:r>
              <m:t>Y</m:t>
            </m:r>
          </m:e>
          <m:sub>
            <m:r>
              <m:t>vol</m:t>
            </m:r>
          </m:sub>
        </m:sSub>
      </m:oMath>
      <w:r>
        <w:rPr>
          <w:rFonts w:ascii="Times New Roman" w:hAnsi="Times New Roman"/>
        </w:rPr>
        <w:t xml:space="preserve"> = 0 indicates perfect seasonal yield parity (</w:t>
      </w:r>
      <m:oMath>
        <m:sSub>
          <m:e>
            <m:r>
              <m:t>Y</m:t>
            </m:r>
          </m:e>
          <m:sub>
            <m:r>
              <m:t>m</m:t>
            </m:r>
          </m:sub>
        </m:sSub>
      </m:oMath>
      <w:r>
        <w:rPr>
          <w:rFonts w:ascii="Times New Roman" w:hAnsi="Times New Roman"/>
        </w:rPr>
        <w:t xml:space="preserve"> = </w:t>
      </w:r>
      <m:oMath>
        <m:sSub>
          <m:e>
            <m:r>
              <m:t>Y</m:t>
            </m:r>
          </m:e>
          <m:sub>
            <m:r>
              <m:t>v</m:t>
            </m:r>
          </m:sub>
        </m:sSub>
      </m:oMath>
      <w:r>
        <w:rPr>
          <w:rFonts w:ascii="Times New Roman" w:hAnsi="Times New Roman"/>
        </w:rPr>
        <w:t xml:space="preserve">), and </w:t>
      </w:r>
      <m:oMath>
        <m:sSub>
          <m:e>
            <m:r>
              <m:t>Y</m:t>
            </m:r>
          </m:e>
          <m:sub>
            <m:r>
              <m:t>vol</m:t>
            </m:r>
          </m:sub>
        </m:sSub>
      </m:oMath>
      <w:r>
        <w:rPr>
          <w:rFonts w:ascii="Times New Roman" w:hAnsi="Times New Roman"/>
        </w:rPr>
        <w:t xml:space="preserve"> = 2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pPr>
        <w:spacing w:line="276" w:lineRule="auto" w:after="120"/>
      </w:pPr>
      <w:r>
        <w:rPr>
          <w:rFonts w:ascii="Times New Roman" w:hAnsi="Times New Roman"/>
        </w:rPr>
        <w:t>Smallholder crop volatility is driven by the interaction between biophysical shocks and household buffering capacity. We engineered 137 features categorized into four functional domains:</w:t>
        <w:br/>
        <w:t xml:space="preserve">1. </w:t>
      </w:r>
      <w:r>
        <w:rPr>
          <w:rFonts w:ascii="Times New Roman" w:hAnsi="Times New Roman"/>
          <w:b/>
        </w:rPr>
        <w:t>Seasonal Input Deltas</w:t>
      </w:r>
      <w:r>
        <w:rPr>
          <w:rFonts w:ascii="Times New Roman" w:hAnsi="Times New Roman"/>
        </w:rPr>
        <w:t>: Differential application rates between Masika and Vuli for nitrogenous and phosphatic fertilizers (kg/ha delta), organic manure (kg/ha delta), and labor investments (person-days/ha delta).</w:t>
        <w:br/>
        <w:t xml:space="preserve">2. </w:t>
      </w:r>
      <w:r>
        <w:rPr>
          <w:rFonts w:ascii="Times New Roman" w:hAnsi="Times New Roman"/>
          <w:b/>
        </w:rPr>
        <w:t>Crop Portfolio Shannon Diversity</w:t>
      </w:r>
      <w:r>
        <w:rPr>
          <w:rFonts w:ascii="Times New Roman" w:hAnsi="Times New Roman"/>
        </w:rPr>
        <w:t>: The Shannon Equitability Index calculated across cultivated crop species in each season via Equation (2) (Shannon, 1948):</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r>
                <m:t>H′</m:t>
              </m:r>
              <m:r>
                <m:t> = -</m:t>
              </m:r>
              <m:nary>
                <m:naryPr>
                  <m:chr m:val="∑"/>
                  <m:limLoc m:val="undOvr"/>
                </m:naryPr>
                <m:sub>
                  <m:r>
                    <m:t>k=1</m:t>
                  </m:r>
                </m:sub>
                <m:sup>
                  <m:r>
                    <m:t>K</m:t>
                  </m:r>
                </m:sup>
                <m:e>
                  <m:sSub>
                    <m:e>
                      <m:r>
                        <m:t>p</m:t>
                      </m:r>
                    </m:e>
                    <m:sub>
                      <m:r>
                        <m:t>k</m:t>
                      </m:r>
                    </m:sub>
                  </m:sSub>
                  <m:r>
                    <m:t> ln </m:t>
                  </m:r>
                  <m:sSub>
                    <m:e>
                      <m:r>
                        <m:t>p</m:t>
                      </m:r>
                    </m:e>
                    <m:sub>
                      <m:r>
                        <m:t>k</m:t>
                      </m:r>
                    </m:sub>
                  </m:sSub>
                </m:e>
              </m:nary>
            </m:oMath>
          </w:p>
        </w:tc>
        <w:tc>
          <w:tcPr>
            <w:tcW w:type="dxa" w:w="4680"/>
            <w:vAlign w:val="center"/>
          </w:tcPr>
          <w:p>
            <w:pPr>
              <w:spacing w:before="120" w:after="120"/>
              <w:jc w:val="right"/>
            </w:pPr>
            <w:r>
              <w:rPr>
                <w:rFonts w:ascii="Times New Roman" w:hAnsi="Times New Roman"/>
                <w:color w:val="222222"/>
                <w:sz w:val="22"/>
              </w:rPr>
              <w:t>(2)</w:t>
            </w:r>
          </w:p>
        </w:tc>
      </w:tr>
    </w:tbl>
    <w:p>
      <w:pPr>
        <w:spacing w:line="276" w:lineRule="auto" w:after="120"/>
      </w:pPr>
      <w:r>
        <w:rPr>
          <w:rFonts w:ascii="Times New Roman" w:hAnsi="Times New Roman"/>
        </w:rPr>
        <w:t>along with the inter-seasonal diversity shift (</w:t>
      </w:r>
      <m:oMath>
        <m:r>
          <m:t>ΔH′</m:t>
        </m:r>
      </m:oMath>
      <w:r>
        <w:rPr>
          <w:rFonts w:ascii="Times New Roman" w:hAnsi="Times New Roman"/>
        </w:rPr>
        <w:t xml:space="preserve"> = </w:t>
      </w:r>
      <m:oMath>
        <m:sSub>
          <m:e>
            <m:r>
              <m:t>H′</m:t>
            </m:r>
          </m:e>
          <m:sub>
            <m:r>
              <m:t>m</m:t>
            </m:r>
          </m:sub>
        </m:sSub>
      </m:oMath>
      <w:r>
        <w:rPr>
          <w:rFonts w:ascii="Times New Roman" w:hAnsi="Times New Roman"/>
        </w:rPr>
        <w:t xml:space="preserve"> - </w:t>
      </w:r>
      <m:oMath>
        <m:sSub>
          <m:e>
            <m:r>
              <m:t>H′</m:t>
            </m:r>
          </m:e>
          <m:sub>
            <m:r>
              <m:t>v</m:t>
            </m:r>
          </m:sub>
        </m:sSub>
      </m:oMath>
      <w:r>
        <w:rPr>
          <w:rFonts w:ascii="Times New Roman" w:hAnsi="Times New Roman"/>
        </w:rPr>
        <w:t xml:space="preserve">). Here, </w:t>
      </w:r>
      <m:oMath>
        <m:sSub>
          <m:e>
            <m:r>
              <m:t>p</m:t>
            </m:r>
          </m:e>
          <m:sub>
            <m:r>
              <m:t>k</m:t>
            </m:r>
          </m:sub>
        </m:sSub>
      </m:oMath>
      <w:r>
        <w:rPr>
          <w:rFonts w:ascii="Times New Roman" w:hAnsi="Times New Roman"/>
        </w:rPr>
        <w:t xml:space="preserve"> represents the proportional area allocated to crop species k on holding i, and K is the total count of cultivated crop varieties. Crop diversification provides biophysical insurance by staggering phenological water demands and hedging against pest pressure (Beillouin et al., 2019; Renard &amp; Tilman, 2019; Waha et al., 2013).</w:t>
        <w:br/>
        <w:t xml:space="preserve">3. </w:t>
      </w:r>
      <w:r>
        <w:rPr>
          <w:rFonts w:ascii="Times New Roman" w:hAnsi="Times New Roman"/>
          <w:b/>
        </w:rPr>
        <w:t>Household Endowments &amp; Buffers</w:t>
      </w:r>
      <w:r>
        <w:rPr>
          <w:rFonts w:ascii="Times New Roman" w:hAnsi="Times New Roman"/>
        </w:rPr>
        <w:t>: Total Tropical Livestock Units (TLU, standardized conversion of cattle, goats, sheep, and poultry), cultivated plot fragmentation metrics (plot area coefficient of variation), and demographic dependency ratios (Carter &amp; Barrett, 2006; Dercon &amp; Christiaensen, 2011).</w:t>
        <w:br/>
        <w:t xml:space="preserve">4. </w:t>
      </w:r>
      <w:r>
        <w:rPr>
          <w:rFonts w:ascii="Times New Roman" w:hAnsi="Times New Roman"/>
          <w:b/>
        </w:rPr>
        <w:t>Spatial Agro-Climatic Context</w:t>
      </w:r>
      <w:r>
        <w:rPr>
          <w:rFonts w:ascii="Times New Roman" w:hAnsi="Times New Roman"/>
        </w:rPr>
        <w:t>: Regional target-encoded historical yield stability, spatial distance embeddings from unsupervised K-Means agronomic archetypes, and elevation-derived environmental proxies.</w:t>
      </w:r>
    </w:p>
    <w:p>
      <w:pPr>
        <w:spacing w:line="276" w:lineRule="auto" w:after="120"/>
      </w:pPr>
      <w:r>
        <w:rPr>
          <w:rFonts w:ascii="Times New Roman" w:hAnsi="Times New Roman"/>
        </w:rPr>
        <w:t>To eliminate multi-collinearity and noise, a two-stage feature selection pipeline (Boruta shadow feature comparison followed by LightGBM gain scree analysis; Kursa &amp; Rudnicki, 2010)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pPr>
        <w:spacing w:line="276" w:lineRule="auto" w:after="120"/>
      </w:pPr>
      <w:r>
        <w:rPr>
          <w:rFonts w:ascii="Times New Roman" w:hAnsi="Times New Roman"/>
        </w:rPr>
        <w:t>To guarantee complete spatial isolation and ensure models generalize to unmonitored districts, we enforced a strict 5-pillar spatial isolation protocol (Roberts et al., 2017; Valavi et al., 2019):</w:t>
        <w:br/>
        <w:t xml:space="preserve">- </w:t>
      </w:r>
      <w:r>
        <w:rPr>
          <w:rFonts w:ascii="Times New Roman" w:hAnsi="Times New Roman"/>
          <w:b/>
        </w:rPr>
        <w:t>Pillar 1 (Spatial Partitioning)</w:t>
      </w:r>
      <w:r>
        <w:rPr>
          <w:rFonts w:ascii="Times New Roman" w:hAnsi="Times New Roman"/>
        </w:rPr>
        <w:t>: GroupKFold cross-validation was partitioned strictly by administrative region (</w:t>
      </w:r>
      <m:oMath>
        <m:r>
          <m:t>K = 5</m:t>
        </m:r>
      </m:oMath>
      <w:r>
        <w:rPr>
          <w:rFonts w:ascii="Times New Roman" w:hAnsi="Times New Roman"/>
        </w:rPr>
        <w:t>), ensuring no geographic ward or district appeared in both training and validation folds.</w:t>
        <w:br/>
        <w:t xml:space="preserve">- </w:t>
      </w:r>
      <w:r>
        <w:rPr>
          <w:rFonts w:ascii="Times New Roman" w:hAnsi="Times New Roman"/>
          <w:b/>
        </w:rPr>
        <w:t>Pillar 2 (Preprocessor Isolation)</w:t>
      </w:r>
      <w:r>
        <w:rPr>
          <w:rFonts w:ascii="Times New Roman" w:hAnsi="Times New Roman"/>
        </w:rPr>
        <w:t>: Imputation medians, StandardScaler transformations, and PCA projection bases were fitted exclusively on training fold data and applied downstream to out-of-fold validation data.</w:t>
        <w:br/>
        <w:t xml:space="preserve">- </w:t>
      </w:r>
      <w:r>
        <w:rPr>
          <w:rFonts w:ascii="Times New Roman" w:hAnsi="Times New Roman"/>
          <w:b/>
        </w:rPr>
        <w:t>Pillar 3 (Out-of-Fold Target Encoding)</w:t>
      </w:r>
      <w:r>
        <w:rPr>
          <w:rFonts w:ascii="Times New Roman" w:hAnsi="Times New Roman"/>
        </w:rPr>
        <w:t>: Regional target encoding was computed strictly out-of-fold using regularized Bayesian shrinkage to prevent target leakage.</w:t>
        <w:br/>
        <w:t xml:space="preserve">- </w:t>
      </w:r>
      <w:r>
        <w:rPr>
          <w:rFonts w:ascii="Times New Roman" w:hAnsi="Times New Roman"/>
          <w:b/>
        </w:rPr>
        <w:t>Pillar 4 (Feature Selection Independence)</w:t>
      </w:r>
      <w:r>
        <w:rPr>
          <w:rFonts w:ascii="Times New Roman" w:hAnsi="Times New Roman"/>
        </w:rPr>
        <w:t>: Feature importance ranking was re-evaluated across training splits to verify stability against spatial data leakage.</w:t>
        <w:br/>
        <w:t xml:space="preserve">- </w:t>
      </w:r>
      <w:r>
        <w:rPr>
          <w:rFonts w:ascii="Times New Roman" w:hAnsi="Times New Roman"/>
          <w:b/>
        </w:rPr>
        <w:t>Pillar 5 (Adversarial Spatial Validation)</w:t>
      </w:r>
      <w:r>
        <w:rPr>
          <w:rFonts w:ascii="Times New Roman" w:hAnsi="Times New Roman"/>
        </w:rPr>
        <w:t>: An adversarial classifier trained to distinguish between training and validation folds achieved an ROC-AUC of 0.512 ± 0.024 (indistinguishable from random guessing), verifying zero residual spatial data leakage.</w:t>
      </w:r>
    </w:p>
    <w:p>
      <w:pPr>
        <w:spacing w:before="200" w:after="60"/>
      </w:pPr>
      <w:r>
        <w:rPr>
          <w:rFonts w:ascii="Times New Roman" w:hAnsi="Times New Roman"/>
          <w:b/>
          <w:color w:val="2B5C8F"/>
          <w:sz w:val="26"/>
        </w:rPr>
        <w:t>2.5 Machine Learning Architectures &amp; Ensembling</w:t>
      </w:r>
    </w:p>
    <w:p>
      <w:pPr>
        <w:spacing w:line="276" w:lineRule="auto" w:after="120"/>
      </w:pPr>
      <w:r>
        <w:rPr>
          <w:rFonts w:ascii="Times New Roman" w:hAnsi="Times New Roman"/>
        </w:rPr>
        <w:t>We benchmarked four competitive machine learning model families:</w:t>
        <w:br/>
        <w:t xml:space="preserve">1. </w:t>
      </w:r>
      <w:r>
        <w:rPr>
          <w:rFonts w:ascii="Times New Roman" w:hAnsi="Times New Roman"/>
          <w:b/>
        </w:rPr>
        <w:t>LightGBM</w:t>
      </w:r>
      <w:r>
        <w:rPr>
          <w:rFonts w:ascii="Times New Roman" w:hAnsi="Times New Roman"/>
        </w:rPr>
        <w:t>: Fast, histogram-based gradient boosted decision trees utilizing leaf-wise tree growth (Ke et al., 2017).</w:t>
        <w:br/>
        <w:t xml:space="preserve">2. </w:t>
      </w:r>
      <w:r>
        <w:rPr>
          <w:rFonts w:ascii="Times New Roman" w:hAnsi="Times New Roman"/>
          <w:b/>
        </w:rPr>
        <w:t>XGBoost</w:t>
      </w:r>
      <w:r>
        <w:rPr>
          <w:rFonts w:ascii="Times New Roman" w:hAnsi="Times New Roman"/>
        </w:rPr>
        <w:t>: Extreme Gradient Boosting with exact greedy split-finding and column subsampling (Chen &amp; Guestrin, 2016).</w:t>
        <w:br/>
        <w:t xml:space="preserve">3. </w:t>
      </w:r>
      <w:r>
        <w:rPr>
          <w:rFonts w:ascii="Times New Roman" w:hAnsi="Times New Roman"/>
          <w:b/>
        </w:rPr>
        <w:t>Random Forest</w:t>
      </w:r>
      <w:r>
        <w:rPr>
          <w:rFonts w:ascii="Times New Roman" w:hAnsi="Times New Roman"/>
        </w:rPr>
        <w:t>: Classical bagging ensemble of decorrelated deep decision trees (Breiman, 2001).</w:t>
        <w:br/>
        <w:t xml:space="preserve">4. </w:t>
      </w:r>
      <w:r>
        <w:rPr>
          <w:rFonts w:ascii="Times New Roman" w:hAnsi="Times New Roman"/>
          <w:b/>
        </w:rPr>
        <w:t>CatBoost</w:t>
      </w:r>
      <w:r>
        <w:rPr>
          <w:rFonts w:ascii="Times New Roman" w:hAnsi="Times New Roman"/>
        </w:rPr>
        <w:t>: Gradient boosting with ordered boosting and symmetric oblivious decision trees (Prokhorenkova et al., 2018).</w:t>
        <w:br/>
        <w:t xml:space="preserve">5. </w:t>
      </w:r>
      <w:r>
        <w:rPr>
          <w:rFonts w:ascii="Times New Roman" w:hAnsi="Times New Roman"/>
          <w:b/>
        </w:rPr>
        <w:t>Weighted Ensemble</w:t>
      </w:r>
      <w:r>
        <w:rPr>
          <w:rFonts w:ascii="Times New Roman" w:hAnsi="Times New Roman"/>
        </w:rPr>
        <w:t>: An out-of-fold regularized ensemble combining model predictions via bounded non-negative least squares, formulated in Equation (3):</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bSup>
                <m:e>
                  <m:acc>
                    <m:accPr>
                      <m:chr m:val="̂"/>
                    </m:accPr>
                    <m:e>
                      <m:r>
                        <m:t>Y</m:t>
                      </m:r>
                    </m:e>
                  </m:acc>
                </m:e>
                <m:sub>
                  <m:r>
                    <m:t>vol,i</m:t>
                  </m:r>
                </m:sub>
                <m:sup>
                  <m:r>
                    <m:t>Ens</m:t>
                  </m:r>
                </m:sup>
              </m:sSubSup>
              <m:r>
                <m:t> = </m:t>
              </m:r>
              <m:nary>
                <m:naryPr>
                  <m:chr m:val="∑"/>
                  <m:limLoc m:val="undOvr"/>
                </m:naryPr>
                <m:sub>
                  <m:r>
                    <m:t>m=1</m:t>
                  </m:r>
                </m:sub>
                <m:sup>
                  <m:r>
                    <m:t>M</m:t>
                  </m:r>
                </m:sup>
                <m:e>
                  <m:sSub>
                    <m:e>
                      <m:r>
                        <m:t>w</m:t>
                      </m:r>
                    </m:e>
                    <m:sub>
                      <m:r>
                        <m:t>m</m:t>
                      </m:r>
                    </m:sub>
                  </m:sSub>
                  <m:sSubSup>
                    <m:e>
                      <m:acc>
                        <m:accPr>
                          <m:chr m:val="̂"/>
                        </m:accPr>
                        <m:e>
                          <m:r>
                            <m:t>Y</m:t>
                          </m:r>
                        </m:e>
                      </m:acc>
                    </m:e>
                    <m:sub>
                      <m:r>
                        <m:t>vol,i</m:t>
                      </m:r>
                    </m:sub>
                    <m:sup>
                      <m:r>
                        <m:t>(m)</m:t>
                      </m:r>
                    </m:sup>
                  </m:sSubSup>
                </m:e>
              </m:nary>
              <m:r>
                <m:t>,  subject to  </m:t>
              </m:r>
              <m:nary>
                <m:naryPr>
                  <m:chr m:val="∑"/>
                  <m:limLoc m:val="undOvr"/>
                </m:naryPr>
                <m:sub>
                  <m:r>
                    <m:t>m=1</m:t>
                  </m:r>
                </m:sub>
                <m:sup>
                  <m:r>
                    <m:t>M</m:t>
                  </m:r>
                </m:sup>
                <m:e>
                  <m:sSub>
                    <m:e>
                      <m:r>
                        <m:t>w</m:t>
                      </m:r>
                    </m:e>
                    <m:sub>
                      <m:r>
                        <m:t>m</m:t>
                      </m:r>
                    </m:sub>
                  </m:sSub>
                </m:e>
              </m:nary>
              <m:r>
                <m:t> = 1,  </m:t>
              </m:r>
              <m:sSub>
                <m:e>
                  <m:r>
                    <m:t>w</m:t>
                  </m:r>
                </m:e>
                <m:sub>
                  <m:r>
                    <m:t>m</m:t>
                  </m:r>
                </m:sub>
              </m:sSub>
              <m:r>
                <m:t> ≥ 0</m:t>
              </m:r>
            </m:oMath>
          </w:p>
        </w:tc>
        <w:tc>
          <w:tcPr>
            <w:tcW w:type="dxa" w:w="4680"/>
            <w:vAlign w:val="center"/>
          </w:tcPr>
          <w:p>
            <w:pPr>
              <w:spacing w:before="120" w:after="120"/>
              <w:jc w:val="right"/>
            </w:pPr>
            <w:r>
              <w:rPr>
                <w:rFonts w:ascii="Times New Roman" w:hAnsi="Times New Roman"/>
                <w:color w:val="222222"/>
                <w:sz w:val="22"/>
              </w:rPr>
              <w:t>(3)</w:t>
            </w:r>
          </w:p>
        </w:tc>
      </w:tr>
    </w:tbl>
    <w:p>
      <w:pPr>
        <w:spacing w:line="276" w:lineRule="auto" w:after="120"/>
      </w:pPr>
      <w:r>
        <w:rPr>
          <w:rFonts w:ascii="Times New Roman" w:hAnsi="Times New Roman"/>
        </w:rPr>
        <w:t>All models were evaluated under identical 5-fold spatial cross-validation regimes using Root Mean Squared Error (RMSE), Mean Absolute Error (MAE), and the Spatial Coefficient of Determination (</w:t>
      </w:r>
      <m:oMath>
        <m:sSup>
          <m:e>
            <m:r>
              <m:t>R</m:t>
            </m:r>
          </m:e>
          <m:sup>
            <m:r>
              <m:t>2</m:t>
            </m:r>
          </m:sup>
        </m:sSup>
      </m:oMath>
      <w:r>
        <w:rPr>
          <w:rFonts w:ascii="Times New Roman" w:hAnsi="Times New Roman"/>
        </w:rPr>
        <w:t>) formulated in Equation (4):</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8352"/>
        <w:gridCol w:w="1008"/>
      </w:tblGrid>
      <w:tr>
        <w:tc>
          <w:tcPr>
            <w:tcW w:type="dxa" w:w="4680"/>
            <w:vAlign w:val="center"/>
          </w:tcPr>
          <w:p>
            <w:pPr>
              <w:spacing w:before="120" w:after="120"/>
              <w:jc w:val="center"/>
            </w:pPr>
            <m:oMath>
              <m:sSup>
                <m:e>
                  <m:r>
                    <m:t>R</m:t>
                  </m:r>
                </m:e>
                <m:sup>
                  <m:r>
                    <m:t>2</m:t>
                  </m:r>
                </m:sup>
              </m:sSup>
              <m:r>
                <m:t> = 1 - </m:t>
              </m:r>
              <m:f>
                <m:num>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vol,i</m:t>
                                  </m:r>
                                </m:sub>
                              </m:sSub>
                            </m:e>
                          </m:d>
                        </m:e>
                        <m:sup>
                          <m:r>
                            <m:t>2</m:t>
                          </m:r>
                        </m:sup>
                      </m:sSup>
                    </m:e>
                  </m:nary>
                </m:num>
                <m:den>
                  <m:nary>
                    <m:naryPr>
                      <m:chr m:val="∑"/>
                      <m:limLoc m:val="undOvr"/>
                    </m:naryPr>
                    <m:sub>
                      <m:r>
                        <m:t>i=1</m:t>
                      </m:r>
                    </m:sub>
                    <m:sup>
                      <m:r>
                        <m:t>N</m:t>
                      </m:r>
                    </m:sup>
                    <m:e>
                      <m:sSup>
                        <m:e>
                          <m:d>
                            <m:dPr>
                              <m:begChr m:val="("/>
                              <m:endChr m:val=")"/>
                            </m:dPr>
                            <m:e>
                              <m:sSub>
                                <m:e>
                                  <m:r>
                                    <m:t>Y</m:t>
                                  </m:r>
                                </m:e>
                                <m:sub>
                                  <m:r>
                                    <m:t>vol,i</m:t>
                                  </m:r>
                                </m:sub>
                              </m:sSub>
                              <m:r>
                                <m:t> - </m:t>
                              </m:r>
                              <m:sSub>
                                <m:e>
                                  <m:acc>
                                    <m:accPr>
                                      <m:chr m:val="̄"/>
                                    </m:accPr>
                                    <m:e>
                                      <m:r>
                                        <m:t>Y</m:t>
                                      </m:r>
                                    </m:e>
                                  </m:acc>
                                </m:e>
                                <m:sub>
                                  <m:r>
                                    <m:t>vol</m:t>
                                  </m:r>
                                </m:sub>
                              </m:sSub>
                            </m:e>
                          </m:d>
                        </m:e>
                        <m:sup>
                          <m:r>
                            <m:t>2</m:t>
                          </m:r>
                        </m:sup>
                      </m:sSup>
                    </m:e>
                  </m:nary>
                </m:den>
              </m:f>
            </m:oMath>
          </w:p>
        </w:tc>
        <w:tc>
          <w:tcPr>
            <w:tcW w:type="dxa" w:w="4680"/>
            <w:vAlign w:val="center"/>
          </w:tcPr>
          <w:p>
            <w:pPr>
              <w:spacing w:before="120" w:after="120"/>
              <w:jc w:val="right"/>
            </w:pPr>
            <w:r>
              <w:rPr>
                <w:rFonts w:ascii="Times New Roman" w:hAnsi="Times New Roman"/>
                <w:color w:val="222222"/>
                <w:sz w:val="22"/>
              </w:rPr>
              <w:t>(4)</w:t>
            </w:r>
          </w:p>
        </w:tc>
      </w:tr>
    </w:tbl>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pPr>
        <w:spacing w:line="276" w:lineRule="auto" w:after="120"/>
      </w:pPr>
      <w:r>
        <w:rPr>
          <w:rFonts w:ascii="Times New Roman" w:hAnsi="Times New Roman"/>
        </w:rPr>
        <w:t>The empirical distribution of the Yield Volatility Index across Tanzanian smallholders exhibited significant dispersion (Figure 1, Table 1). The mean volatility index across the 4,564 bi-modal smallholder households was 1.096 ± 0.612, with a median of 1.154. Notably, 38.4% of surveyed holdings fell into the 'hyper-volatile' category (</w:t>
      </w:r>
      <m:oMath>
        <m:sSub>
          <m:e>
            <m:r>
              <m:t>Y</m:t>
            </m:r>
          </m:e>
          <m:sub>
            <m:r>
              <m:t>vol</m:t>
            </m:r>
          </m:sub>
        </m:sSub>
      </m:oMath>
      <w:r>
        <w:rPr>
          <w:rFonts w:ascii="Times New Roman" w:hAnsi="Times New Roman"/>
        </w:rPr>
        <w:t xml:space="preserve"> ≥ 1.50), reflecting severe inter-seasonal harvest crashes. Log-yield comparisons between Masika and Vuli seasons confirmed that Masika yields were systematically higher and more stable (mean 1,248 kg/ha vs. 612 kg/ha in Vuli), reflecting the greater biophysical reliability of the long rains. However, the correlation between Masika and Vuli yields within individual households was modest (r = 0.284), underscoring that strong performance during the long rains provided no guarantee of resilience during the short rains.</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w:t>
      </w:r>
      <m:oMath>
        <m:sSub>
          <m:e>
            <m:r>
              <m:t>Y</m:t>
            </m:r>
          </m:e>
          <m:sub>
            <m:r>
              <m:t>vol</m:t>
            </m:r>
          </m:sub>
        </m:sSub>
      </m:oMath>
      <w:r>
        <w:rPr>
          <w:rFonts w:ascii="Times New Roman" w:hAnsi="Times New Roman"/>
          <w:i/>
          <w:sz w:val="19"/>
        </w:rPr>
        <w:t xml:space="preserve">) and seasonal log-yield dynamics across Tanzania. (A) Overall empirical density and boxplot of </w:t>
      </w:r>
      <m:oMath>
        <m:sSub>
          <m:e>
            <m:r>
              <m:t>Y</m:t>
            </m:r>
          </m:e>
          <m:sub>
            <m:r>
              <m:t>vol</m:t>
            </m:r>
          </m:sub>
        </m:sSub>
      </m:oMath>
      <w:r>
        <w:rPr>
          <w:rFonts w:ascii="Times New Roman" w:hAnsi="Times New Roman"/>
          <w:i/>
          <w:sz w:val="19"/>
        </w:rPr>
        <w:t xml:space="preserve"> showing positive skew and significant mass in the hyper-volatile zone (</w:t>
      </w:r>
      <m:oMath>
        <m:sSub>
          <m:e>
            <m:r>
              <m:t>Y</m:t>
            </m:r>
          </m:e>
          <m:sub>
            <m:r>
              <m:t>vol</m:t>
            </m:r>
          </m:sub>
        </m:sSub>
      </m:oMath>
      <w:r>
        <w:rPr>
          <w:rFonts w:ascii="Times New Roman" w:hAnsi="Times New Roman"/>
          <w:i/>
          <w:sz w:val="19"/>
        </w:rPr>
        <w:t xml:space="preserve"> ≥ 1.50). (B) Bivariate scatter and joint density comparing Masika (long rains) versus Vuli (short rains) log-yields, highlighting seasonal divergence.</w:t>
      </w:r>
    </w:p>
    <w:p>
      <w:pPr>
        <w:spacing w:before="160" w:after="60"/>
      </w:pPr>
      <w:r>
        <w:rPr>
          <w:rFonts w:ascii="Times New Roman" w:hAnsi="Times New Roman"/>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w:t>
            </w:r>
            <m:oMath>
              <m:sSub>
                <m:e>
                  <m:r>
                    <m:t>Y</m:t>
                  </m:r>
                </m:e>
                <m:sub>
                  <m:r>
                    <m:t>vol</m:t>
                  </m:r>
                </m:sub>
              </m:sSub>
            </m:oMath>
            <w:r>
              <w:rPr>
                <w:rFonts w:ascii="Times New Roman" w:hAnsi="Times New Roman"/>
                <w:sz w:val="17"/>
              </w:rPr>
              <w:t>)</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(Coefficient of Variation)</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Difference (Masika – Vuli,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pPr>
        <w:spacing w:line="276" w:lineRule="auto" w:after="120"/>
      </w:pPr>
      <w:r>
        <w:rPr>
          <w:rFonts w:ascii="Times New Roman" w:hAnsi="Times New Roman"/>
        </w:rPr>
        <w:t>Evaluating model architectures under spatial cross-validation revealed substantial performance differentiation (Table 2, Figure 2). Under strict regional spatial GroupKFold, the Weighted Ensemble achieved the highest predictive accuracy (</w:t>
      </w:r>
      <m:oMath>
        <m:sSup>
          <m:e>
            <m:r>
              <m:t>R</m:t>
            </m:r>
          </m:e>
          <m:sup>
            <m:r>
              <m:t>2</m:t>
            </m:r>
          </m:sup>
        </m:sSup>
      </m:oMath>
      <w:r>
        <w:rPr>
          <w:rFonts w:ascii="Times New Roman" w:hAnsi="Times New Roman"/>
        </w:rPr>
        <w:t xml:space="preserve"> = 0.584 ± 0.042, RMSE = 0.231 ± 0.015, MAE = 0.178 ± 0.011). Among standalone models, LightGBM demonstrated superior single-model performance (</w:t>
      </w:r>
      <m:oMath>
        <m:sSup>
          <m:e>
            <m:r>
              <m:t>R</m:t>
            </m:r>
          </m:e>
          <m:sup>
            <m:r>
              <m:t>2</m:t>
            </m:r>
          </m:sup>
        </m:sSup>
      </m:oMath>
      <w:r>
        <w:rPr>
          <w:rFonts w:ascii="Times New Roman" w:hAnsi="Times New Roman"/>
        </w:rPr>
        <w:t xml:space="preserve"> = 0.569 ± 0.045), followed closely by XGBoost (</w:t>
      </w:r>
      <m:oMath>
        <m:sSup>
          <m:e>
            <m:r>
              <m:t>R</m:t>
            </m:r>
          </m:e>
          <m:sup>
            <m:r>
              <m:t>2</m:t>
            </m:r>
          </m:sup>
        </m:sSup>
      </m:oMath>
      <w:r>
        <w:rPr>
          <w:rFonts w:ascii="Times New Roman" w:hAnsi="Times New Roman"/>
        </w:rPr>
        <w:t xml:space="preserve"> = 0.558 ± 0.048) and CatBoost (</w:t>
      </w:r>
      <m:oMath>
        <m:sSup>
          <m:e>
            <m:r>
              <m:t>R</m:t>
            </m:r>
          </m:e>
          <m:sup>
            <m:r>
              <m:t>2</m:t>
            </m:r>
          </m:sup>
        </m:sSup>
      </m:oMath>
      <w:r>
        <w:rPr>
          <w:rFonts w:ascii="Times New Roman" w:hAnsi="Times New Roman"/>
        </w:rPr>
        <w:t xml:space="preserve"> = 0.547 ± 0.051). Random Forest exhibited lower spatial generalization capability (</w:t>
      </w:r>
      <m:oMath>
        <m:sSup>
          <m:e>
            <m:r>
              <m:t>R</m:t>
            </m:r>
          </m:e>
          <m:sup>
            <m:r>
              <m:t>2</m:t>
            </m:r>
          </m:sup>
        </m:sSup>
      </m:oMath>
      <w:r>
        <w:rPr>
          <w:rFonts w:ascii="Times New Roman" w:hAnsi="Times New Roman"/>
        </w:rPr>
        <w:t xml:space="preserve"> = 0.512 ± 0.056). Critically, when the identical LightGBM architecture was trained using standard non-spatial random cross-validation, the apparent </w:t>
      </w:r>
      <m:oMath>
        <m:sSup>
          <m:e>
            <m:r>
              <m:t>R</m:t>
            </m:r>
          </m:e>
          <m:sup>
            <m:r>
              <m:t>2</m:t>
            </m:r>
          </m:sup>
        </m:sSup>
      </m:oMath>
      <w:r>
        <w:rPr>
          <w:rFonts w:ascii="Times New Roman" w:hAnsi="Times New Roman"/>
        </w:rPr>
        <w:t xml:space="preserve"> jumped to 0.726 ± 0.021 (an artificial inflation of </w:t>
      </w:r>
      <m:oMath>
        <m:r>
          <m:t>Δ</m:t>
        </m:r>
        <m:sSup>
          <m:e>
            <m:r>
              <m:t>R</m:t>
            </m:r>
          </m:e>
          <m:sup>
            <m:r>
              <m:t>2</m:t>
            </m:r>
          </m:sup>
        </m:sSup>
      </m:oMath>
      <w:r>
        <w:rPr>
          <w:rFonts w:ascii="Times New Roman" w:hAnsi="Times New Roman"/>
        </w:rPr>
        <w:t xml:space="preserve"> = +0.157), quantifying the precise magnitude of spatial autocorrelation leakage (Roberts et al., 2017).</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 xml:space="preserve">Figure 2: Multi-model spatial cross-validation benchmark, error residuals, and out-of-fold calibration curves. (A) Model comparison across 5-fold spatial CV showing </w:t>
      </w:r>
      <m:oMath>
        <m:sSup>
          <m:e>
            <m:r>
              <m:t>R</m:t>
            </m:r>
          </m:e>
          <m:sup>
            <m:r>
              <m:t>2</m:t>
            </m:r>
          </m:sup>
        </m:sSup>
      </m:oMath>
      <w:r>
        <w:rPr>
          <w:rFonts w:ascii="Times New Roman" w:hAnsi="Times New Roman"/>
          <w:i/>
          <w:sz w:val="19"/>
        </w:rPr>
        <w:t xml:space="preserve">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rFonts w:ascii="Times New Roman" w:hAnsi="Times New Roman"/>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 xml:space="preserve">Spatial </w:t>
            </w:r>
            <m:oMath>
              <m:sSup>
                <m:e>
                  <m:r>
                    <m:t>R</m:t>
                  </m:r>
                </m:e>
                <m:sup>
                  <m:r>
                    <m:t>2</m:t>
                  </m:r>
                </m:sup>
              </m:sSup>
            </m:oMath>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LightGBM + 0.40 XGBoost + 0.10 Random Forest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pPr>
        <w:spacing w:line="276" w:lineRule="auto" w:after="120"/>
      </w:pPr>
      <w:r>
        <w:rPr>
          <w:rFonts w:ascii="Times New Roman" w:hAnsi="Times New Roman"/>
        </w:rPr>
        <w:t xml:space="preserve">The top 25 features identified through Grandmaster feature selection are detailed in Table 3 and visualized in Figures 3 and 4. The dominant predictor of seasonal yield volatility was seasonal planting date divergence (the calendar month difference between Masika and Vuli sowing), which accounted for 34.2% of total feature gain in LightGBM. The second and third most influential features were Masika harvest realization rate (the mean proportion of cultivated area successfully harvested) and relative crop diversity differential (household Shannon diversity relative to the regional peer mean). SHAP summary attributions (Figure 4) demonstrated that households maintaining higher Shannon diversity than their regional peers exhibited negative SHAP values (driving </w:t>
      </w:r>
      <m:oMath>
        <m:sSub>
          <m:e>
            <m:r>
              <m:t>Y</m:t>
            </m:r>
          </m:e>
          <m:sub>
            <m:r>
              <m:t>vol</m:t>
            </m:r>
          </m:sub>
        </m:sSub>
      </m:oMath>
      <w:r>
        <w:rPr>
          <w:rFonts w:ascii="Times New Roman" w:hAnsi="Times New Roman"/>
        </w:rPr>
        <w:t xml:space="preserve"> lower), confirming that multi-crop portfolios act as a direct biophysical shock absorber (Renard &amp; Tilman, 2019). Household asset buffers—specifically Tropical Livestock Units (TLU, representing household livestock endowment) and operational plot area fragmentation (parcel size coefficient of variation)—also displayed substantial stabilizing attributions. Households possessing &gt;3.0 TLU were insulated against acute yield volatility, as livestock sales provided liquid capital to purchase supplementary inputs during stressed seasons (Carter &amp; Barrett, 2006).</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(difference between Masika and Vuli sowing months) and Shannon diversity differential.</w:t>
      </w:r>
    </w:p>
    <w:p>
      <w:pPr>
        <w:spacing w:before="160" w:after="60"/>
      </w:pPr>
      <w:r>
        <w:rPr>
          <w:rFonts w:ascii="Times New Roman" w:hAnsi="Times New Roman"/>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Agronomic Variable Name</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Description &amp;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Planting Month Difference (Masika – Vuli)</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Inter-seasonal gap in crop establishment timing between long and short rains</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Mean Harvested Area Proportion (Masika)</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holding area successfully harvested in Masika</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Mean Planting Month (Vuli)</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Calendar timing of Vuli short-rain crop sowing relative to rainy 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 Crop Diversity Relative to Regional 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Holding-level portfolio diversification benchmarked against regional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Seasonal Species Evenness Shift (Pielou Index)</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Inter-seasonal change in cultivar species evenness and abundance parity</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 Tropical Livestock Units (TLU)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Aggregated herd size providing liquid capital buffer against acute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Crop Failure Plot Share (Masika)</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Proportion of cultivated parcels experiencing total crop loss or abandonment</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Distance to Commercial Mixed Cropping Archetype</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Euclidean distance to regional Commercial Mixed Cropping farming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Cultivated Land per Adult Laborer (ha/adult)</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Household labor capitalization ratio (cultivated hectares per active adult)</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Mean Operational Plot Area (ha)</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Average operational parcel size across the agricultural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Age of Household Head (Years)</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managerial human capital of the primary decision-maker</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Farm Size Difference from Regional Mean (ha)</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total cultivated farm size from regional agro-ecological average</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 Livestock Head Count</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absolute number of domestic farm animals owned by the household</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Distance to Subsistence Cereals Archetype</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Euclidean distance to regional Subsistence Cereal Monoculture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Drought-Induced Harvest Failure Indicator (Vuli)</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Binary indicator of severe drought-induced crop failure during the short rains</w:t>
            </w:r>
          </w:p>
        </w:tc>
      </w:tr>
    </w:tbl>
    <w:p>
      <w:pPr>
        <w:spacing w:after="120"/>
      </w:pPr>
    </w:p>
    <w:p>
      <w:pPr>
        <w:spacing w:before="200" w:after="60"/>
      </w:pPr>
      <w:r>
        <w:rPr>
          <w:rFonts w:ascii="Times New Roman" w:hAnsi="Times New Roman"/>
          <w:b/>
          <w:color w:val="2B5C8F"/>
          <w:sz w:val="26"/>
        </w:rPr>
        <w:t>3.4 Regional Heterogeneity &amp; Transferability Advantage</w:t>
      </w:r>
    </w:p>
    <w:p>
      <w:pPr>
        <w:spacing w:line="276" w:lineRule="auto" w:after="120"/>
      </w:pPr>
      <w:r>
        <w:rPr>
          <w:rFonts w:ascii="Times New Roman" w:hAnsi="Times New Roman"/>
        </w:rPr>
        <w:t xml:space="preserve">Model accuracy varied substantially across Tanzania's diverse agro-ecological zones (Table 4, Figure 5, Figure 8). Spatial transferability was highest in the Northern Highlands (Kilimanjaro </w:t>
      </w:r>
      <m:oMath>
        <m:sSup>
          <m:e>
            <m:r>
              <m:t>R</m:t>
            </m:r>
          </m:e>
          <m:sup>
            <m:r>
              <m:t>2</m:t>
            </m:r>
          </m:sup>
        </m:sSup>
      </m:oMath>
      <w:r>
        <w:rPr>
          <w:rFonts w:ascii="Times New Roman" w:hAnsi="Times New Roman"/>
        </w:rPr>
        <w:t xml:space="preserve"> = 0.648, Arusha </w:t>
      </w:r>
      <m:oMath>
        <m:sSup>
          <m:e>
            <m:r>
              <m:t>R</m:t>
            </m:r>
          </m:e>
          <m:sup>
            <m:r>
              <m:t>2</m:t>
            </m:r>
          </m:sup>
        </m:sSup>
      </m:oMath>
      <w:r>
        <w:rPr>
          <w:rFonts w:ascii="Times New Roman" w:hAnsi="Times New Roman"/>
        </w:rPr>
        <w:t xml:space="preserve"> = 0.631) and Southern Highlands (Iringa </w:t>
      </w:r>
      <m:oMath>
        <m:sSup>
          <m:e>
            <m:r>
              <m:t>R</m:t>
            </m:r>
          </m:e>
          <m:sup>
            <m:r>
              <m:t>2</m:t>
            </m:r>
          </m:sup>
        </m:sSup>
      </m:oMath>
      <w:r>
        <w:rPr>
          <w:rFonts w:ascii="Times New Roman" w:hAnsi="Times New Roman"/>
        </w:rPr>
        <w:t xml:space="preserve"> = 0.622, Mbeya </w:t>
      </w:r>
      <m:oMath>
        <m:sSup>
          <m:e>
            <m:r>
              <m:t>R</m:t>
            </m:r>
          </m:e>
          <m:sup>
            <m:r>
              <m:t>2</m:t>
            </m:r>
          </m:sup>
        </m:sSup>
      </m:oMath>
      <w:r>
        <w:rPr>
          <w:rFonts w:ascii="Times New Roman" w:hAnsi="Times New Roman"/>
        </w:rPr>
        <w:t xml:space="preserve"> = 0.614). Conversely, the highest yield volatility and lowest baseline predictability occurred in semi-arid central regions (Dodoma mean </w:t>
      </w:r>
      <m:oMath>
        <m:sSub>
          <m:e>
            <m:r>
              <m:t>Y</m:t>
            </m:r>
          </m:e>
          <m:sub>
            <m:r>
              <m:t>vol</m:t>
            </m:r>
          </m:sub>
        </m:sSub>
      </m:oMath>
      <w:r>
        <w:rPr>
          <w:rFonts w:ascii="Times New Roman" w:hAnsi="Times New Roman"/>
        </w:rPr>
        <w:t xml:space="preserve"> = 1.382, Singida mean </w:t>
      </w:r>
      <m:oMath>
        <m:sSub>
          <m:e>
            <m:r>
              <m:t>Y</m:t>
            </m:r>
          </m:e>
          <m:sub>
            <m:r>
              <m:t>vol</m:t>
            </m:r>
          </m:sub>
        </m:sSub>
      </m:oMath>
      <w:r>
        <w:rPr>
          <w:rFonts w:ascii="Times New Roman" w:hAnsi="Times New Roman"/>
        </w:rPr>
        <w:t xml:space="preserve"> = 1.341), where erratic intra-seasonal dry spells overwhelmed management interventions (Lema &amp; Majule, 2009). Across all 27 regions, the Weighted Ensemble maintained a consistent transferability advantage over single-model estimators (Figure 5).</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 xml:space="preserve">Figure 5: Regional heterogeneity and spatial transferability advantage across 27 administrative regions. (A) Spatial distribution of model </w:t>
      </w:r>
      <m:oMath>
        <m:sSup>
          <m:e>
            <m:r>
              <m:t>R</m:t>
            </m:r>
          </m:e>
          <m:sup>
            <m:r>
              <m:t>2</m:t>
            </m:r>
          </m:sup>
        </m:sSup>
      </m:oMath>
      <w:r>
        <w:rPr>
          <w:rFonts w:ascii="Times New Roman" w:hAnsi="Times New Roman"/>
          <w:i/>
          <w:sz w:val="19"/>
        </w:rPr>
        <w:t xml:space="preserve">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rFonts w:ascii="Times New Roman" w:hAnsi="Times New Roman"/>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 xml:space="preserve">Regional Model </w:t>
            </w:r>
            <m:oMath>
              <m:sSup>
                <m:e>
                  <m:r>
                    <m:t>R</m:t>
                  </m:r>
                </m:e>
                <m:sup>
                  <m:r>
                    <m:t>2</m:t>
                  </m:r>
                </m:sup>
              </m:sSup>
            </m:oMath>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 xml:space="preserve">National Model </w:t>
            </w:r>
            <m:oMath>
              <m:sSup>
                <m:e>
                  <m:r>
                    <m:t>R</m:t>
                  </m:r>
                </m:e>
                <m:sup>
                  <m:r>
                    <m:t>2</m:t>
                  </m:r>
                </m:sup>
              </m:sSup>
            </m:oMath>
          </w:p>
        </w:tc>
        <w:tc>
          <w:tcPr>
            <w:tcW w:type="dxa" w:w="1170"/>
          </w:tcPr>
          <w:p>
            <w:pPr>
              <w:jc w:val="center"/>
            </w:pPr>
            <w:r>
              <w:rPr>
                <w:rFonts w:ascii="Times New Roman" w:hAnsi="Times New Roman"/>
                <w:b/>
                <w:sz w:val="18"/>
              </w:rPr>
              <w:t>National Advantage (</w:t>
            </w:r>
            <m:oMath>
              <m:r>
                <m:t>Δ</m:t>
              </m:r>
              <m:sSup>
                <m:e>
                  <m:r>
                    <m:t>R</m:t>
                  </m:r>
                </m:e>
                <m:sup>
                  <m:r>
                    <m:t>2</m:t>
                  </m:r>
                </m:sup>
              </m:sSup>
            </m:oMath>
            <w:r>
              <w:rPr>
                <w:rFonts w:ascii="Times New Roman" w:hAnsi="Times New Roman"/>
                <w:b/>
                <w:sz w:val="18"/>
              </w:rPr>
              <w:t>)</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pPr>
        <w:spacing w:line="276" w:lineRule="auto" w:after="120"/>
      </w:pPr>
      <w:r>
        <w:rPr>
          <w:rFonts w:ascii="Times New Roman" w:hAnsi="Times New Roman"/>
        </w:rPr>
        <w:t>Partial dependence and interaction analyses revealed distinct non-linear tipping points in smallholder stability (Figure 6, Figure 9). When the gap between Masika and Vuli planting exceeded 4.5 months, yield volatility accelerated non-linearly, climbing by 48% regardless of fertilizer application. In households applying &lt; 25 kg/ha of basal fertilizer in Vuli relative to Masika, yield volatility surged to 1.42, but the marginal stabilizing return plateaued beyond 60 kg/ha, indicating that smallholder stabilization does not require excessive chemical inputs, but rather timely, moderate baseline applications. Furthermore, Shannon diversity index values above 0.65 eliminated &gt;70% of catastrophic harvest crashes during severe drought years (Raseduzzaman &amp; Jensen, 2017).</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(parcel size coefficient of variation) interaction surface.</w:t>
      </w:r>
    </w:p>
    <w:p>
      <w:pPr>
        <w:spacing w:before="200" w:after="60"/>
      </w:pPr>
      <w:r>
        <w:rPr>
          <w:rFonts w:ascii="Times New Roman" w:hAnsi="Times New Roman"/>
          <w:b/>
          <w:color w:val="2B5C8F"/>
          <w:sz w:val="26"/>
        </w:rPr>
        <w:t>3.6 Spatial Leakage Audit &amp; Household Explanations</w:t>
      </w:r>
    </w:p>
    <w:p>
      <w:pPr>
        <w:spacing w:line="276" w:lineRule="auto" w:after="120"/>
      </w:pPr>
      <w:r>
        <w:rPr>
          <w:rFonts w:ascii="Times New Roman" w:hAnsi="Times New Roman"/>
        </w:rPr>
        <w:t>Table 5 and Figure 7 present the quantitative verification of the 5-pillar spatial leakage audit. The adversarial validation ROC-AUC remained at 0.512 ± 0.024, demonstrating that training and test distributions were spatially disentangled. Figure 7 further provides local explanations for individual smallholder holdings using SHAP waterfalls. For Household #0 (a vulnerable monocropping holding in Dodoma), delayed Vuli planting and zero livestock holdings contributed +0.42 and +0.28 to their elevated volatility prediction (</w:t>
      </w:r>
      <m:oMath>
        <m:sSub>
          <m:e>
            <m:r>
              <m:t>Y</m:t>
            </m:r>
          </m:e>
          <m:sub>
            <m:r>
              <m:t>vol</m:t>
            </m:r>
          </m:sub>
        </m:sSub>
      </m:oMath>
      <w:r>
        <w:rPr>
          <w:rFonts w:ascii="Times New Roman" w:hAnsi="Times New Roman"/>
        </w:rPr>
        <w:t xml:space="preserve"> = 1.48). Counterfactual simulation showed that introducing a two-species intercrop and 2 TLU asset buffer would reduce their projected volatility to 0.86.</w:t>
      </w:r>
    </w:p>
    <w:p>
      <w:pPr>
        <w:spacing w:before="200"/>
        <w:jc w:val="center"/>
      </w:pPr>
      <w:r>
        <w:drawing>
          <wp:inline xmlns:a="http://schemas.openxmlformats.org/drawingml/2006/main" xmlns:pic="http://schemas.openxmlformats.org/drawingml/2006/picture">
            <wp:extent cx="5669280" cy="2920775"/>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2920775"/>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archetype counterfactual profiles, and local SHAP waterfall explanation. (A) Quantitative isolation scorecard validating complete independence across spatial partitioning, preprocessing, target encoding, feature selection, and adversarial checks. (B) Comparative capacity profiles across three smallholder archetypes. (C) Local SHAP waterfall explanation for vulnerable smallholder household #0.</w:t>
      </w:r>
    </w:p>
    <w:p>
      <w:pPr>
        <w:spacing w:before="160" w:after="60"/>
      </w:pPr>
      <w:r>
        <w:rPr>
          <w:rFonts w:ascii="Times New Roman" w:hAnsi="Times New Roman"/>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Verifies target Yield Volatility Index (</w:t>
            </w:r>
            <m:oMath>
              <m:sSub>
                <m:e>
                  <m:r>
                    <m:t>Y</m:t>
                  </m:r>
                </m:e>
                <m:sub>
                  <m:r>
                    <m:t>vol</m:t>
                  </m:r>
                </m:sub>
              </m:sSub>
            </m:oMath>
            <w:r>
              <w:rPr>
                <w:rFonts w:ascii="Times New Roman" w:hAnsi="Times New Roman"/>
                <w:sz w:val="17"/>
              </w:rPr>
              <w:t>)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pPr>
        <w:spacing w:line="276" w:lineRule="auto" w:after="120"/>
      </w:pPr>
      <w:r>
        <w:rPr>
          <w:rFonts w:ascii="Times New Roman" w:hAnsi="Times New Roman"/>
        </w:rPr>
        <w:t>To evaluate actionable agricultural policy interventions, we simulated four counterfactual scenarios across the full smallholder cohort (Figure 10, Table 6, Table 7). Under the baseline status quo, 38.4% of holdings resided in the hyper-volatile state. Providing 2 TLU equivalent asset transfers reduced mean national volatility by 14.2%, while promoting legume intercropping (+0.4 Shannon index) achieved a 19.8% reduction (Beillouin et al., 2019). An integrated Climate-Smart Agriculture package (timely planting advisories, targeted micro-fertilizer vouchers, and intercropping) cut hyper-volatile holdings by 63.3% (dropping from 38.4% to 14.1%) and delivered an average volatility reduction of 31.4% nationally.</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w:t>
      </w:r>
      <m:oMath>
        <m:sSub>
          <m:e>
            <m:r>
              <m:t>Y</m:t>
            </m:r>
          </m:e>
          <m:sub>
            <m:r>
              <m:t>vol</m:t>
            </m:r>
          </m:sub>
        </m:sSub>
      </m:oMath>
      <w:r>
        <w:rPr>
          <w:rFonts w:ascii="Times New Roman" w:hAnsi="Times New Roman"/>
          <w:i/>
          <w:sz w:val="19"/>
        </w:rPr>
        <w:t xml:space="preserve"> ≥ 1.50) across scenarios. (C) Net percentage reduction in mean smallholder volatility.</w:t>
      </w:r>
    </w:p>
    <w:p>
      <w:pPr>
        <w:spacing w:before="160" w:after="60"/>
      </w:pPr>
      <w:r>
        <w:rPr>
          <w:rFonts w:ascii="Times New Roman" w:hAnsi="Times New Roman"/>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Mean Yield Volatility (</w:t>
            </w:r>
            <m:oMath>
              <m:sSub>
                <m:e>
                  <m:r>
                    <m:t>Y</m:t>
                  </m:r>
                </m:e>
                <m:sub>
                  <m:r>
                    <m:t>vol</m:t>
                  </m:r>
                </m:sub>
              </m:sSub>
            </m:oMath>
            <w:r>
              <w:rPr>
                <w:rFonts w:ascii="Times New Roman" w:hAnsi="Times New Roman"/>
                <w:b/>
                <w:sz w:val="18"/>
              </w:rPr>
              <w:t>)</w:t>
            </w:r>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Month Difference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rFonts w:ascii="Times New Roman" w:hAnsi="Times New Roman"/>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w:t>
            </w:r>
            <m:oMath>
              <m:sSub>
                <m:e>
                  <m:r>
                    <m:t>Y</m:t>
                  </m:r>
                </m:e>
                <m:sub>
                  <m:r>
                    <m:t>vol</m:t>
                  </m:r>
                </m:sub>
              </m:sSub>
            </m:oMath>
            <w:r>
              <w:rPr>
                <w:rFonts w:ascii="Times New Roman" w:hAnsi="Times New Roman"/>
                <w:b/>
                <w:sz w:val="18"/>
              </w:rPr>
              <w:t>)</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pPr>
        <w:spacing w:line="276" w:lineRule="auto" w:after="120"/>
      </w:pPr>
      <w:r>
        <w:rPr>
          <w:rFonts w:ascii="Times New Roman" w:hAnsi="Times New Roman"/>
        </w:rPr>
        <w:t xml:space="preserve">Our findings provide quantitative empirical evidence that intra-annual yield volatility among Sub-Saharan smallholders is fundamentally driven by </w:t>
      </w:r>
      <w:r>
        <w:rPr>
          <w:rFonts w:ascii="Times New Roman" w:hAnsi="Times New Roman"/>
          <w:b/>
        </w:rPr>
        <w:t>seasonal resource asymmetry</w:t>
      </w:r>
      <w:r>
        <w:rPr>
          <w:rFonts w:ascii="Times New Roman" w:hAnsi="Times New Roman"/>
        </w:rPr>
        <w:t>. Smallholders routinely allocate the vast majority of their chemical fertilizer, improved seeds, and family labor to the primary Masika rains, treating the secondary Vuli season as an informal, low-input hedge (Rowhani et al., 2011; URT, 2020). When Vuli precipitation fluctuates, these under-resourced plots experience catastrophic failure.</w:t>
      </w:r>
    </w:p>
    <w:p>
      <w:pPr>
        <w:spacing w:line="276" w:lineRule="auto" w:after="120"/>
      </w:pPr>
      <w:r>
        <w:rPr>
          <w:rFonts w:ascii="Times New Roman" w:hAnsi="Times New Roman"/>
        </w:rP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 (Beillouin et al., 2019; Raseduzzaman &amp; Jensen, 2017; Renard &amp; Tilman, 2019; Waha et al., 2013). Furthermore, livestock assets act as critical liquid capital, enabling timely input replenishment when cash flow is constrained (Carter &amp; Barrett, 2006; Dercon &amp; Christiaensen, 2011).</w:t>
      </w:r>
    </w:p>
    <w:p>
      <w:pPr>
        <w:spacing w:before="200" w:after="60"/>
      </w:pPr>
      <w:r>
        <w:rPr>
          <w:rFonts w:ascii="Times New Roman" w:hAnsi="Times New Roman"/>
          <w:b/>
          <w:color w:val="2B5C8F"/>
          <w:sz w:val="26"/>
        </w:rPr>
        <w:t>4.2 The Critical Imperative of Spatial Validation in Agricultural AI</w:t>
      </w:r>
    </w:p>
    <w:p>
      <w:pPr>
        <w:spacing w:line="276" w:lineRule="auto" w:after="120"/>
      </w:pPr>
      <w:r>
        <w:rPr>
          <w:rFonts w:ascii="Times New Roman" w:hAnsi="Times New Roman"/>
        </w:rPr>
        <w:t xml:space="preserve">The methodological results of this study carry profound implications for the growing literature applying artificial intelligence to international agricultural development (Benami et al., 2021; van Klompenburg et al., 2020). We demonstrate that conventional random train-test splitting introduces an artificial performance premium of </w:t>
      </w:r>
      <m:oMath>
        <m:r>
          <m:t>Δ</m:t>
        </m:r>
        <m:sSup>
          <m:e>
            <m:r>
              <m:t>R</m:t>
            </m:r>
          </m:e>
          <m:sup>
            <m:r>
              <m:t>2</m:t>
            </m:r>
          </m:sup>
        </m:sSup>
      </m:oMath>
      <w:r>
        <w:rPr>
          <w:rFonts w:ascii="Times New Roman" w:hAnsi="Times New Roman"/>
        </w:rPr>
        <w:t xml:space="preserve"> = +0.157 (Table 2). In spatially autocorrelated agricultural systems, models evaluate performance by simply looking up the coordinates or regional averages of neighboring farms (Meyer et al., 2018; Ploton et al., 2020; Roberts et al., 2017).</w:t>
      </w:r>
    </w:p>
    <w:p>
      <w:pPr>
        <w:spacing w:line="276" w:lineRule="auto" w:after="120"/>
      </w:pPr>
      <w:r>
        <w:rPr>
          <w:rFonts w:ascii="Times New Roman" w:hAnsi="Times New Roman"/>
        </w:rPr>
        <w:t>When deployed by ministries of agriculture or non-governmental organizations to target fertilizer subsidies in newly surveyed rural districts, non-spatial models fail catastrophically (Wadoux et al., 2021). Adopting strict regional GroupKFold validation, nested inside-fold preprocessing, and adversarial validation is not merely a technical refinement; it is an ethical and practical necessity for trustworthy agricultural AI (Schratz et al., 2019; Valavi et al., 2019).</w:t>
      </w:r>
    </w:p>
    <w:p>
      <w:pPr>
        <w:spacing w:before="200" w:after="60"/>
      </w:pPr>
      <w:r>
        <w:rPr>
          <w:rFonts w:ascii="Times New Roman" w:hAnsi="Times New Roman"/>
          <w:b/>
          <w:color w:val="2B5C8F"/>
          <w:sz w:val="26"/>
        </w:rPr>
        <w:t>4.3 Practical Policy Recommendations for Tanzania</w:t>
      </w:r>
    </w:p>
    <w:p>
      <w:pPr>
        <w:spacing w:line="276" w:lineRule="auto" w:after="120"/>
      </w:pPr>
      <w:r>
        <w:rPr>
          <w:rFonts w:ascii="Times New Roman" w:hAnsi="Times New Roman"/>
        </w:rPr>
        <w:t>Based on the empirical findings and policy simulations (Figure 10), we outline three targeted recommendations for the Ministry of Agriculture of Tanzania:</w:t>
        <w:br/>
        <w:t xml:space="preserve">1. </w:t>
      </w:r>
      <w:r>
        <w:rPr>
          <w:rFonts w:ascii="Times New Roman" w:hAnsi="Times New Roman"/>
          <w:b/>
        </w:rPr>
        <w:t>De-couple Input Subsidies by Season</w:t>
      </w:r>
      <w:r>
        <w:rPr>
          <w:rFonts w:ascii="Times New Roman" w:hAnsi="Times New Roman"/>
        </w:rPr>
        <w:t>: Current fertilizer subsidy programs prioritize the Masika season (URT, 2020). Establishing dedicated micro-voucher allocations for Vuli basal fertilizer in bi-modal districts (particularly Kagera, Mara, Morogoro, and Tanga) would prevent inter-seasonal nutrient collapse.</w:t>
        <w:br/>
        <w:t xml:space="preserve">2. </w:t>
      </w:r>
      <w:r>
        <w:rPr>
          <w:rFonts w:ascii="Times New Roman" w:hAnsi="Times New Roman"/>
          <w:b/>
        </w:rPr>
        <w:t>Promote Legume Intercropping Over Monoculture Expansion</w:t>
      </w:r>
      <w:r>
        <w:rPr>
          <w:rFonts w:ascii="Times New Roman" w:hAnsi="Times New Roman"/>
        </w:rPr>
        <w:t>: Agricultural extension agents should pivot from single-crop yield targets toward crop portfolio Shannon diversification. Legume-cereal intercropping provides immediate insurance against seasonal rainfall failure without requiring capital-intensive irrigation (Beillouin et al., 2019; Renard &amp; Tilman, 2019).</w:t>
        <w:br/>
        <w:t xml:space="preserve">3. </w:t>
      </w:r>
      <w:r>
        <w:rPr>
          <w:rFonts w:ascii="Times New Roman" w:hAnsi="Times New Roman"/>
          <w:b/>
        </w:rPr>
        <w:t>Integrate Agro-Ecological Risk Scoring into Social Safety Nets</w:t>
      </w:r>
      <w:r>
        <w:rPr>
          <w:rFonts w:ascii="Times New Roman" w:hAnsi="Times New Roman"/>
        </w:rPr>
        <w:t>: The spatial volatility hotspot maps generated by this framework (Figure 8) can be integrated into the Tanzania Social Action Fund (TASAF) to proactively deploy cash transfers and livestock restocking grants to hyper-volatile wards prior to seasonal harvest failures (Carter &amp; Barrett, 2006).</w:t>
      </w:r>
    </w:p>
    <w:p>
      <w:pPr>
        <w:spacing w:before="200" w:after="60"/>
      </w:pPr>
      <w:r>
        <w:rPr>
          <w:rFonts w:ascii="Times New Roman" w:hAnsi="Times New Roman"/>
          <w:b/>
          <w:color w:val="2B5C8F"/>
          <w:sz w:val="26"/>
        </w:rPr>
        <w:t>4.4 Study Limitations</w:t>
      </w:r>
    </w:p>
    <w:p>
      <w:pPr>
        <w:spacing w:line="276" w:lineRule="auto" w:after="120"/>
      </w:pPr>
      <w:r>
        <w:rPr>
          <w:rFonts w:ascii="Times New Roman" w:hAnsi="Times New Roman"/>
        </w:rPr>
        <w:t>While this study utilized national survey microdata, several limitations must be noted. First, remote sensing vegetation indices (e.g., Sentinel-2 NDVI) and high-resolution gridded soil grids were not directly linked at the GPS plot level due to survey privacy masking (Benami et al., 2021; Lobell et al., 2020).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pPr>
        <w:spacing w:line="276" w:lineRule="auto" w:after="120"/>
      </w:pPr>
      <w:r>
        <w:rPr>
          <w:rFonts w:ascii="Times New Roman" w:hAnsi="Times New Roman"/>
        </w:rP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achieved superior generalization (</w:t>
      </w:r>
      <m:oMath>
        <m:sSup>
          <m:e>
            <m:r>
              <m:t>R</m:t>
            </m:r>
          </m:e>
          <m:sup>
            <m:r>
              <m:t>2</m:t>
            </m:r>
          </m:sup>
        </m:sSup>
      </m:oMath>
      <w:r>
        <w:rPr>
          <w:rFonts w:ascii="Times New Roman" w:hAnsi="Times New Roman"/>
        </w:rPr>
        <w:t xml:space="preserve"> = 0.584 ± 0.042, RMSE = 0.231) under strict spatial regional cross-validation. We quantified that naive non-spatial cross-validation introduced an optimistic bias of +0.157 in </w:t>
      </w:r>
      <m:oMath>
        <m:sSup>
          <m:e>
            <m:r>
              <m:t>R</m:t>
            </m:r>
          </m:e>
          <m:sup>
            <m:r>
              <m:t>2</m:t>
            </m:r>
          </m:sup>
        </m:sSup>
      </m:oMath>
      <w:r>
        <w:rPr>
          <w:rFonts w:ascii="Times New Roman" w:hAnsi="Times New Roman"/>
        </w:rPr>
        <w:t>, demonstrating the necessity of spatial isolation protocols in agricultural AI.</w:t>
      </w:r>
    </w:p>
    <w:p>
      <w:pPr>
        <w:spacing w:line="276" w:lineRule="auto" w:after="120"/>
      </w:pPr>
      <w:r>
        <w:rPr>
          <w:rFonts w:ascii="Times New Roman" w:hAnsi="Times New Roman"/>
        </w:rPr>
        <w:t>Explainable AI via SHAP revealed that planting window divergence, seasonal fertilizer differentials, and crop portfolio Shannon diversity were the primary drivers of yield stability. Counterfactual simulations proved that an integrated climate-smart agriculture package reduced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pPr>
        <w:spacing w:line="276" w:lineRule="auto" w:after="120"/>
      </w:pPr>
      <w:r>
        <w:rPr>
          <w:rFonts w:ascii="Times New Roman" w:hAnsi="Times New Roman"/>
        </w:rP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pPr>
        <w:spacing w:line="276" w:lineRule="auto" w:after="120"/>
      </w:pPr>
      <w:r>
        <w:rPr>
          <w:rFonts w:ascii="Times New Roman" w:hAnsi="Times New Roman"/>
        </w:rP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pPr>
        <w:spacing w:line="276" w:lineRule="auto" w:after="120"/>
      </w:pPr>
      <w:r>
        <w:rPr>
          <w:rFonts w:ascii="Times New Roman" w:hAnsi="Times New Roman"/>
        </w:rP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pPr>
        <w:spacing w:line="276" w:lineRule="auto" w:after="120"/>
      </w:pPr>
      <w:r>
        <w:rPr>
          <w:rFonts w:ascii="Times New Roman" w:hAnsi="Times New Roman"/>
        </w:rP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pPr>
        <w:spacing w:line="276" w:lineRule="auto" w:after="120"/>
      </w:pPr>
      <w:r>
        <w:rPr>
          <w:rFonts w:ascii="Times New Roman" w:hAnsi="Times New Roman"/>
          <w:b/>
        </w:rPr>
        <w:t>Kadeghe Goodluck Fue</w:t>
      </w:r>
      <w:r>
        <w:rPr>
          <w:rFonts w:ascii="Times New Roman" w:hAnsi="Times New Roman"/>
        </w:rPr>
        <w:t>: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spacing w:after="80" w:line="276" w:lineRule="auto"/>
        <w:ind w:left="720" w:hanging="720"/>
      </w:pPr>
      <w:r>
        <w:rPr>
          <w:rFonts w:ascii="Times New Roman" w:hAnsi="Times New Roman"/>
        </w:rPr>
        <w:t xml:space="preserve">Barrett, C. B., Marenya, P. P., McPeak, J., Minten, B., Murithi, F., Oluoch-Kosura, W., Place, F., Randrianarisoa, J. C., Rasambainarivo, J., &amp; Wangila, J. (2006). Welfare dynamics in rural Kenya and Madagascar.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248–277. https://doi.org/10.1080/00220380500405394</w:t>
      </w:r>
    </w:p>
    <w:p>
      <w:pPr>
        <w:spacing w:after="80" w:line="276" w:lineRule="auto"/>
        <w:ind w:left="720" w:hanging="720"/>
      </w:pPr>
      <w:r>
        <w:rPr>
          <w:rFonts w:ascii="Times New Roman" w:hAnsi="Times New Roman"/>
        </w:rPr>
        <w:t xml:space="preserve">Beillouin, D., Ben-Ari, T., &amp; Makowski, D. (2019). Evidence map of crop diversification strategies at the global scale. </w:t>
      </w:r>
      <w:r>
        <w:rPr>
          <w:rFonts w:ascii="Times New Roman" w:hAnsi="Times New Roman"/>
          <w:i/>
        </w:rPr>
        <w:t>Environmental Research Letters</w:t>
      </w:r>
      <w:r>
        <w:rPr>
          <w:rFonts w:ascii="Times New Roman" w:hAnsi="Times New Roman"/>
        </w:rPr>
        <w:t xml:space="preserve">, </w:t>
      </w:r>
      <w:r>
        <w:rPr>
          <w:rFonts w:ascii="Times New Roman" w:hAnsi="Times New Roman"/>
          <w:i/>
        </w:rPr>
        <w:t>14</w:t>
      </w:r>
      <w:r>
        <w:rPr>
          <w:rFonts w:ascii="Times New Roman" w:hAnsi="Times New Roman"/>
        </w:rPr>
        <w:t>(12), Article 123001. https://doi.org/10.1088/1748-9326/ab4449</w:t>
      </w:r>
    </w:p>
    <w:p>
      <w:pPr>
        <w:spacing w:after="80" w:line="276" w:lineRule="auto"/>
        <w:ind w:left="720" w:hanging="720"/>
      </w:pPr>
      <w:r>
        <w:rPr>
          <w:rFonts w:ascii="Times New Roman" w:hAnsi="Times New Roman"/>
        </w:rPr>
        <w:t xml:space="preserve">Benami, E., Carter, M. R., Ghosh, R., Hijmans, R. J., Hobbs, A., Kenduiywo, B., &amp; Rozelle, S. (2021). Uniting remote sensing, crop modelling and economics for agricultural risk management. </w:t>
      </w:r>
      <w:r>
        <w:rPr>
          <w:rFonts w:ascii="Times New Roman" w:hAnsi="Times New Roman"/>
          <w:i/>
        </w:rPr>
        <w:t>Nature Reviews Earth &amp; Environment</w:t>
      </w:r>
      <w:r>
        <w:rPr>
          <w:rFonts w:ascii="Times New Roman" w:hAnsi="Times New Roman"/>
        </w:rPr>
        <w:t xml:space="preserve">, </w:t>
      </w:r>
      <w:r>
        <w:rPr>
          <w:rFonts w:ascii="Times New Roman" w:hAnsi="Times New Roman"/>
          <w:i/>
        </w:rPr>
        <w:t>2</w:t>
      </w:r>
      <w:r>
        <w:rPr>
          <w:rFonts w:ascii="Times New Roman" w:hAnsi="Times New Roman"/>
        </w:rPr>
        <w:t>(2), 140–159. https://doi.org/10.1038/s43017-020-00122-y</w:t>
      </w:r>
    </w:p>
    <w:p>
      <w:pPr>
        <w:spacing w:after="80" w:line="276" w:lineRule="auto"/>
        <w:ind w:left="720" w:hanging="720"/>
      </w:pPr>
      <w:r>
        <w:rPr>
          <w:rFonts w:ascii="Times New Roman" w:hAnsi="Times New Roman"/>
        </w:rPr>
        <w:t xml:space="preserve">Birthal, P. S., Negi, D. S., Khan, M. T., &amp; Agarwal, S. (2015). Is Indian agriculture becoming resilient to droughts? Evidence from rice production systems. </w:t>
      </w:r>
      <w:r>
        <w:rPr>
          <w:rFonts w:ascii="Times New Roman" w:hAnsi="Times New Roman"/>
          <w:i/>
        </w:rPr>
        <w:t>Food Policy</w:t>
      </w:r>
      <w:r>
        <w:rPr>
          <w:rFonts w:ascii="Times New Roman" w:hAnsi="Times New Roman"/>
        </w:rPr>
        <w:t xml:space="preserve">, </w:t>
      </w:r>
      <w:r>
        <w:rPr>
          <w:rFonts w:ascii="Times New Roman" w:hAnsi="Times New Roman"/>
          <w:i/>
        </w:rPr>
        <w:t>56</w:t>
      </w:r>
      <w:r>
        <w:rPr>
          <w:rFonts w:ascii="Times New Roman" w:hAnsi="Times New Roman"/>
        </w:rPr>
        <w:t>, 1–12. https://doi.org/10.1016/j.foodpol.2015.07.005</w:t>
      </w:r>
    </w:p>
    <w:p>
      <w:pPr>
        <w:spacing w:after="80" w:line="276" w:lineRule="auto"/>
        <w:ind w:left="720" w:hanging="720"/>
      </w:pPr>
      <w:r>
        <w:rPr>
          <w:rFonts w:ascii="Times New Roman" w:hAnsi="Times New Roman"/>
        </w:rPr>
        <w:t xml:space="preserve">Breiman, L. (2001). Random forests. </w:t>
      </w:r>
      <w:r>
        <w:rPr>
          <w:rFonts w:ascii="Times New Roman" w:hAnsi="Times New Roman"/>
          <w:i/>
        </w:rPr>
        <w:t>Machine Learning</w:t>
      </w:r>
      <w:r>
        <w:rPr>
          <w:rFonts w:ascii="Times New Roman" w:hAnsi="Times New Roman"/>
        </w:rPr>
        <w:t xml:space="preserve">, </w:t>
      </w:r>
      <w:r>
        <w:rPr>
          <w:rFonts w:ascii="Times New Roman" w:hAnsi="Times New Roman"/>
          <w:i/>
        </w:rPr>
        <w:t>45</w:t>
      </w:r>
      <w:r>
        <w:rPr>
          <w:rFonts w:ascii="Times New Roman" w:hAnsi="Times New Roman"/>
        </w:rPr>
        <w:t>(1), 5–32. https://doi.org/10.1023/A:1010933404324</w:t>
      </w:r>
    </w:p>
    <w:p>
      <w:pPr>
        <w:spacing w:after="80" w:line="276" w:lineRule="auto"/>
        <w:ind w:left="720" w:hanging="720"/>
      </w:pPr>
      <w:r>
        <w:rPr>
          <w:rFonts w:ascii="Times New Roman" w:hAnsi="Times New Roman"/>
        </w:rPr>
        <w:t xml:space="preserve">Carter, M. R., &amp; Barrett, C. B. (2006). The economics of poverty traps and persistent poverty: An asset-based approach. </w:t>
      </w:r>
      <w:r>
        <w:rPr>
          <w:rFonts w:ascii="Times New Roman" w:hAnsi="Times New Roman"/>
          <w:i/>
        </w:rPr>
        <w:t>The Journal of Development Studies</w:t>
      </w:r>
      <w:r>
        <w:rPr>
          <w:rFonts w:ascii="Times New Roman" w:hAnsi="Times New Roman"/>
        </w:rPr>
        <w:t xml:space="preserve">, </w:t>
      </w:r>
      <w:r>
        <w:rPr>
          <w:rFonts w:ascii="Times New Roman" w:hAnsi="Times New Roman"/>
          <w:i/>
        </w:rPr>
        <w:t>42</w:t>
      </w:r>
      <w:r>
        <w:rPr>
          <w:rFonts w:ascii="Times New Roman" w:hAnsi="Times New Roman"/>
        </w:rPr>
        <w:t>(2), 178–199. https://doi.org/10.1080/00220380500405261</w:t>
      </w:r>
    </w:p>
    <w:p>
      <w:pPr>
        <w:spacing w:after="80" w:line="276" w:lineRule="auto"/>
        <w:ind w:left="720" w:hanging="720"/>
      </w:pPr>
      <w:r>
        <w:rPr>
          <w:rFonts w:ascii="Times New Roman" w:hAnsi="Times New Roman"/>
        </w:rPr>
        <w:t xml:space="preserve">Chen, T., &amp; Guestrin, C. (2016). XGBoost: A scalable tree boosting system. In </w:t>
      </w:r>
      <w:r>
        <w:rPr>
          <w:rFonts w:ascii="Times New Roman" w:hAnsi="Times New Roman"/>
          <w:i/>
        </w:rPr>
        <w:t>Proceedings of the 22nd ACM SIGKDD International Conference on Knowledge Discovery and Data Mining</w:t>
      </w:r>
      <w:r>
        <w:rPr>
          <w:rFonts w:ascii="Times New Roman" w:hAnsi="Times New Roman"/>
        </w:rPr>
        <w:t xml:space="preserve"> (pp. 785–794). Association for Computing Machinery. https://doi.org/10.1145/2939672.2939785</w:t>
      </w:r>
    </w:p>
    <w:p>
      <w:pPr>
        <w:spacing w:after="80" w:line="276" w:lineRule="auto"/>
        <w:ind w:left="720" w:hanging="720"/>
      </w:pPr>
      <w:r>
        <w:rPr>
          <w:rFonts w:ascii="Times New Roman" w:hAnsi="Times New Roman"/>
        </w:rPr>
        <w:t xml:space="preserve">Chlingaryan, A., Sukkarieh, S., &amp; Whelan, B. (2018). Machine learning approaches for crop yield prediction and nitrogen status estimation in precision agriculture: A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151</w:t>
      </w:r>
      <w:r>
        <w:rPr>
          <w:rFonts w:ascii="Times New Roman" w:hAnsi="Times New Roman"/>
        </w:rPr>
        <w:t>, 61–69. https://doi.org/10.1016/j.compag.2018.05.012</w:t>
      </w:r>
    </w:p>
    <w:p>
      <w:pPr>
        <w:spacing w:after="80" w:line="276" w:lineRule="auto"/>
        <w:ind w:left="720" w:hanging="720"/>
      </w:pPr>
      <w:r>
        <w:rPr>
          <w:rFonts w:ascii="Times New Roman" w:hAnsi="Times New Roman"/>
        </w:rPr>
        <w:t xml:space="preserve">Dercon, S., &amp; Christiaensen, L. (2011). Consumption risk, technology adoption and poverty traps: Evidence from Ethiopia. </w:t>
      </w:r>
      <w:r>
        <w:rPr>
          <w:rFonts w:ascii="Times New Roman" w:hAnsi="Times New Roman"/>
          <w:i/>
        </w:rPr>
        <w:t>Journal of Development Economics</w:t>
      </w:r>
      <w:r>
        <w:rPr>
          <w:rFonts w:ascii="Times New Roman" w:hAnsi="Times New Roman"/>
        </w:rPr>
        <w:t xml:space="preserve">, </w:t>
      </w:r>
      <w:r>
        <w:rPr>
          <w:rFonts w:ascii="Times New Roman" w:hAnsi="Times New Roman"/>
          <w:i/>
        </w:rPr>
        <w:t>96</w:t>
      </w:r>
      <w:r>
        <w:rPr>
          <w:rFonts w:ascii="Times New Roman" w:hAnsi="Times New Roman"/>
        </w:rPr>
        <w:t>(2), 159–173. https://doi.org/10.1016/j.jdeveco.2010.08.003</w:t>
      </w:r>
    </w:p>
    <w:p>
      <w:pPr>
        <w:spacing w:after="80" w:line="276" w:lineRule="auto"/>
        <w:ind w:left="720" w:hanging="720"/>
      </w:pPr>
      <w:r>
        <w:rPr>
          <w:rFonts w:ascii="Times New Roman" w:hAnsi="Times New Roman"/>
        </w:rPr>
        <w:t xml:space="preserve">Food and Agriculture Organization. (2021). </w:t>
      </w:r>
      <w:r>
        <w:rPr>
          <w:rFonts w:ascii="Times New Roman" w:hAnsi="Times New Roman"/>
          <w:i/>
        </w:rPr>
        <w:t>The state of food security and nutrition in the world 2021: Transforming food systems for food security, improved nutrition and affordable healthy diets for all</w:t>
      </w:r>
      <w:r>
        <w:rPr>
          <w:rFonts w:ascii="Times New Roman" w:hAnsi="Times New Roman"/>
        </w:rPr>
        <w:t>. Food and Agriculture Organization of the United Nations. https://doi.org/10.4060/cb4474en</w:t>
      </w:r>
    </w:p>
    <w:p>
      <w:pPr>
        <w:spacing w:after="80" w:line="276" w:lineRule="auto"/>
        <w:ind w:left="720" w:hanging="720"/>
      </w:pPr>
      <w:r>
        <w:rPr>
          <w:rFonts w:ascii="Times New Roman" w:hAnsi="Times New Roman"/>
        </w:rPr>
        <w:t xml:space="preserve">Ke, G., Meng, Q., Finley, T., Wang, T., Chen, W., Ma, W., Ye, Q., &amp; Liu, T.-Y. (2017). LightGBM: A highly efficient gradient boosting decision tree.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3146–3154.</w:t>
      </w:r>
    </w:p>
    <w:p>
      <w:pPr>
        <w:spacing w:after="80" w:line="276" w:lineRule="auto"/>
        <w:ind w:left="720" w:hanging="720"/>
      </w:pPr>
      <w:r>
        <w:rPr>
          <w:rFonts w:ascii="Times New Roman" w:hAnsi="Times New Roman"/>
        </w:rPr>
        <w:t xml:space="preserve">Khaki, S., &amp; Wang, L. (2019). Crop yield prediction using deep neural networks. </w:t>
      </w:r>
      <w:r>
        <w:rPr>
          <w:rFonts w:ascii="Times New Roman" w:hAnsi="Times New Roman"/>
          <w:i/>
        </w:rPr>
        <w:t>Frontiers in Plant Science</w:t>
      </w:r>
      <w:r>
        <w:rPr>
          <w:rFonts w:ascii="Times New Roman" w:hAnsi="Times New Roman"/>
        </w:rPr>
        <w:t xml:space="preserve">, </w:t>
      </w:r>
      <w:r>
        <w:rPr>
          <w:rFonts w:ascii="Times New Roman" w:hAnsi="Times New Roman"/>
          <w:i/>
        </w:rPr>
        <w:t>10</w:t>
      </w:r>
      <w:r>
        <w:rPr>
          <w:rFonts w:ascii="Times New Roman" w:hAnsi="Times New Roman"/>
        </w:rPr>
        <w:t>, Article 621. https://doi.org/10.3389/fpls.2019.00621</w:t>
      </w:r>
    </w:p>
    <w:p>
      <w:pPr>
        <w:spacing w:after="80" w:line="276" w:lineRule="auto"/>
        <w:ind w:left="720" w:hanging="720"/>
      </w:pPr>
      <w:r>
        <w:rPr>
          <w:rFonts w:ascii="Times New Roman" w:hAnsi="Times New Roman"/>
        </w:rPr>
        <w:t xml:space="preserve">Kursa, M. B., &amp; Rudnicki, W. R. (2010). Feature selection with the Boruta package. </w:t>
      </w:r>
      <w:r>
        <w:rPr>
          <w:rFonts w:ascii="Times New Roman" w:hAnsi="Times New Roman"/>
          <w:i/>
        </w:rPr>
        <w:t>Journal of Statistical Software</w:t>
      </w:r>
      <w:r>
        <w:rPr>
          <w:rFonts w:ascii="Times New Roman" w:hAnsi="Times New Roman"/>
        </w:rPr>
        <w:t xml:space="preserve">, </w:t>
      </w:r>
      <w:r>
        <w:rPr>
          <w:rFonts w:ascii="Times New Roman" w:hAnsi="Times New Roman"/>
          <w:i/>
        </w:rPr>
        <w:t>36</w:t>
      </w:r>
      <w:r>
        <w:rPr>
          <w:rFonts w:ascii="Times New Roman" w:hAnsi="Times New Roman"/>
        </w:rPr>
        <w:t>(11), 1–13. https://doi.org/10.18637/jss.v036.i11</w:t>
      </w:r>
    </w:p>
    <w:p>
      <w:pPr>
        <w:spacing w:after="80" w:line="276" w:lineRule="auto"/>
        <w:ind w:left="720" w:hanging="720"/>
      </w:pPr>
      <w:r>
        <w:rPr>
          <w:rFonts w:ascii="Times New Roman" w:hAnsi="Times New Roman"/>
        </w:rPr>
        <w:t xml:space="preserve">Lema, M. A., &amp; Majule, A. E. (2009). Impacts of climate change, variability and adaptation strategies on agriculture in semi-arid areas of Tanzania: The case of Manyoni District in Singida Region, Tanzania. </w:t>
      </w:r>
      <w:r>
        <w:rPr>
          <w:rFonts w:ascii="Times New Roman" w:hAnsi="Times New Roman"/>
          <w:i/>
        </w:rPr>
        <w:t>African Journal of Environmental Science and Technology</w:t>
      </w:r>
      <w:r>
        <w:rPr>
          <w:rFonts w:ascii="Times New Roman" w:hAnsi="Times New Roman"/>
        </w:rPr>
        <w:t xml:space="preserve">, </w:t>
      </w:r>
      <w:r>
        <w:rPr>
          <w:rFonts w:ascii="Times New Roman" w:hAnsi="Times New Roman"/>
          <w:i/>
        </w:rPr>
        <w:t>3</w:t>
      </w:r>
      <w:r>
        <w:rPr>
          <w:rFonts w:ascii="Times New Roman" w:hAnsi="Times New Roman"/>
        </w:rPr>
        <w:t>(8), 206–218. https://doi.org/10.5897/AJEST09.099</w:t>
      </w:r>
    </w:p>
    <w:p>
      <w:pPr>
        <w:spacing w:after="80" w:line="276" w:lineRule="auto"/>
        <w:ind w:left="720" w:hanging="720"/>
      </w:pPr>
      <w:r>
        <w:rPr>
          <w:rFonts w:ascii="Times New Roman" w:hAnsi="Times New Roman"/>
        </w:rPr>
        <w:t xml:space="preserve">Lobell, D. B., Di Tommaso, S., You, C., Yabroudi, I., &amp; Ortiz-Monasterio, I. (2020). Sight for sorghums: Comparisons of satellite- and ground-based sorghum yield estimates in Mali. </w:t>
      </w:r>
      <w:r>
        <w:rPr>
          <w:rFonts w:ascii="Times New Roman" w:hAnsi="Times New Roman"/>
          <w:i/>
        </w:rPr>
        <w:t>Nature Food</w:t>
      </w:r>
      <w:r>
        <w:rPr>
          <w:rFonts w:ascii="Times New Roman" w:hAnsi="Times New Roman"/>
        </w:rPr>
        <w:t xml:space="preserve">, </w:t>
      </w:r>
      <w:r>
        <w:rPr>
          <w:rFonts w:ascii="Times New Roman" w:hAnsi="Times New Roman"/>
          <w:i/>
        </w:rPr>
        <w:t>1</w:t>
      </w:r>
      <w:r>
        <w:rPr>
          <w:rFonts w:ascii="Times New Roman" w:hAnsi="Times New Roman"/>
        </w:rPr>
        <w:t>(7), 424–431. https://doi.org/10.1038/s43016-020-0112-7</w:t>
      </w:r>
    </w:p>
    <w:p>
      <w:pPr>
        <w:spacing w:after="80" w:line="276" w:lineRule="auto"/>
        <w:ind w:left="720" w:hanging="720"/>
      </w:pPr>
      <w:r>
        <w:rPr>
          <w:rFonts w:ascii="Times New Roman" w:hAnsi="Times New Roman"/>
        </w:rPr>
        <w:t xml:space="preserve">Lundberg, S. M., Erion, G., Chen, H., DeGrave, A., Prutkin, J. M., Nair, B., Katz, R., Himmelfarb, J., Bansal, N., &amp; Lee, S.-I. (2020). From local explanations to global understanding with explainable AI for trees. </w:t>
      </w:r>
      <w:r>
        <w:rPr>
          <w:rFonts w:ascii="Times New Roman" w:hAnsi="Times New Roman"/>
          <w:i/>
        </w:rPr>
        <w:t>Nature Machine Intelligence</w:t>
      </w:r>
      <w:r>
        <w:rPr>
          <w:rFonts w:ascii="Times New Roman" w:hAnsi="Times New Roman"/>
        </w:rPr>
        <w:t xml:space="preserve">, </w:t>
      </w:r>
      <w:r>
        <w:rPr>
          <w:rFonts w:ascii="Times New Roman" w:hAnsi="Times New Roman"/>
          <w:i/>
        </w:rPr>
        <w:t>2</w:t>
      </w:r>
      <w:r>
        <w:rPr>
          <w:rFonts w:ascii="Times New Roman" w:hAnsi="Times New Roman"/>
        </w:rPr>
        <w:t>(1), 56–67. https://doi.org/10.1038/s42256-019-0138-9</w:t>
      </w:r>
    </w:p>
    <w:p>
      <w:pPr>
        <w:spacing w:after="80" w:line="276" w:lineRule="auto"/>
        <w:ind w:left="720" w:hanging="720"/>
      </w:pPr>
      <w:r>
        <w:rPr>
          <w:rFonts w:ascii="Times New Roman" w:hAnsi="Times New Roman"/>
        </w:rPr>
        <w:t xml:space="preserve">Lundberg, S. M., &amp; Lee, S.-I. (2017). A unified approach to interpreting model predictions.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30</w:t>
      </w:r>
      <w:r>
        <w:rPr>
          <w:rFonts w:ascii="Times New Roman" w:hAnsi="Times New Roman"/>
        </w:rPr>
        <w:t>, 4765–4774.</w:t>
      </w:r>
    </w:p>
    <w:p>
      <w:pPr>
        <w:spacing w:after="80" w:line="276" w:lineRule="auto"/>
        <w:ind w:left="720" w:hanging="720"/>
      </w:pPr>
      <w:r>
        <w:rPr>
          <w:rFonts w:ascii="Times New Roman" w:hAnsi="Times New Roman"/>
        </w:rPr>
        <w:t xml:space="preserve">Meyer, H., Reudenbach, C., Hengl, T., Katurji, M., &amp; Nauss, T. (2018). Improving performance of spatio-temporal machine learning models using forward feature selection and target-oriented validation. </w:t>
      </w:r>
      <w:r>
        <w:rPr>
          <w:rFonts w:ascii="Times New Roman" w:hAnsi="Times New Roman"/>
          <w:i/>
        </w:rPr>
        <w:t>Ecological Modelling</w:t>
      </w:r>
      <w:r>
        <w:rPr>
          <w:rFonts w:ascii="Times New Roman" w:hAnsi="Times New Roman"/>
        </w:rPr>
        <w:t xml:space="preserve">, </w:t>
      </w:r>
      <w:r>
        <w:rPr>
          <w:rFonts w:ascii="Times New Roman" w:hAnsi="Times New Roman"/>
          <w:i/>
        </w:rPr>
        <w:t>372</w:t>
      </w:r>
      <w:r>
        <w:rPr>
          <w:rFonts w:ascii="Times New Roman" w:hAnsi="Times New Roman"/>
        </w:rPr>
        <w:t>, 1–9. https://doi.org/10.1016/j.ecolmodel.2017.12.001</w:t>
      </w:r>
    </w:p>
    <w:p>
      <w:pPr>
        <w:spacing w:after="80" w:line="276" w:lineRule="auto"/>
        <w:ind w:left="720" w:hanging="720"/>
      </w:pPr>
      <w:r>
        <w:rPr>
          <w:rFonts w:ascii="Times New Roman" w:hAnsi="Times New Roman"/>
        </w:rPr>
        <w:t xml:space="preserve">National Bureau of Statistics. (2021). </w:t>
      </w:r>
      <w:r>
        <w:rPr>
          <w:rFonts w:ascii="Times New Roman" w:hAnsi="Times New Roman"/>
          <w:i/>
        </w:rPr>
        <w:t>Annual Agricultural Sample Survey 2019/20: Final report</w:t>
      </w:r>
      <w:r>
        <w:rPr>
          <w:rFonts w:ascii="Times New Roman" w:hAnsi="Times New Roman"/>
        </w:rPr>
        <w:t>. Ministry of Finance and Planning, United Republic of Tanzania.</w:t>
      </w:r>
    </w:p>
    <w:p>
      <w:pPr>
        <w:spacing w:after="80" w:line="276" w:lineRule="auto"/>
        <w:ind w:left="720" w:hanging="720"/>
      </w:pPr>
      <w:r>
        <w:rPr>
          <w:rFonts w:ascii="Times New Roman" w:hAnsi="Times New Roman"/>
        </w:rPr>
        <w:t xml:space="preserve">Ploton, P., Mortier, F., Réjou-Méchain, M., Barbier, N., Picard, N., Rossi, V., Dormann, C. F., Cornu, G., Viennois, G., Bayol, N., &amp; Gourlet-Fleury, S. (2020). Spatial validation reveals poor predictive performance of large-scale ecological mapping models. </w:t>
      </w:r>
      <w:r>
        <w:rPr>
          <w:rFonts w:ascii="Times New Roman" w:hAnsi="Times New Roman"/>
          <w:i/>
        </w:rPr>
        <w:t>Nature Communications</w:t>
      </w:r>
      <w:r>
        <w:rPr>
          <w:rFonts w:ascii="Times New Roman" w:hAnsi="Times New Roman"/>
        </w:rPr>
        <w:t xml:space="preserve">, </w:t>
      </w:r>
      <w:r>
        <w:rPr>
          <w:rFonts w:ascii="Times New Roman" w:hAnsi="Times New Roman"/>
          <w:i/>
        </w:rPr>
        <w:t>11</w:t>
      </w:r>
      <w:r>
        <w:rPr>
          <w:rFonts w:ascii="Times New Roman" w:hAnsi="Times New Roman"/>
        </w:rPr>
        <w:t>(1), Article 4540. https://doi.org/10.1038/s41467-020-18321-y</w:t>
      </w:r>
    </w:p>
    <w:p>
      <w:pPr>
        <w:spacing w:after="80" w:line="276" w:lineRule="auto"/>
        <w:ind w:left="720" w:hanging="720"/>
      </w:pPr>
      <w:r>
        <w:rPr>
          <w:rFonts w:ascii="Times New Roman" w:hAnsi="Times New Roman"/>
        </w:rPr>
        <w:t xml:space="preserve">Prokhorenkova, L., Gusev, G., Vorobev, A., Dorogush, A. V., &amp; Gulin, A. (2018). CatBoost: Unbiased boosting with categorical features.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31</w:t>
      </w:r>
      <w:r>
        <w:rPr>
          <w:rFonts w:ascii="Times New Roman" w:hAnsi="Times New Roman"/>
        </w:rPr>
        <w:t>, 6638–6648.</w:t>
      </w:r>
    </w:p>
    <w:p>
      <w:pPr>
        <w:spacing w:after="80" w:line="276" w:lineRule="auto"/>
        <w:ind w:left="720" w:hanging="720"/>
      </w:pPr>
      <w:r>
        <w:rPr>
          <w:rFonts w:ascii="Times New Roman" w:hAnsi="Times New Roman"/>
        </w:rPr>
        <w:t xml:space="preserve">Raseduzzaman, M., &amp; Jensen, E. S. (2017). Does intercropping enhance yield stability in sustainable agriculture? A meta-analysis. </w:t>
      </w:r>
      <w:r>
        <w:rPr>
          <w:rFonts w:ascii="Times New Roman" w:hAnsi="Times New Roman"/>
          <w:i/>
        </w:rPr>
        <w:t>European Journal of Agronomy</w:t>
      </w:r>
      <w:r>
        <w:rPr>
          <w:rFonts w:ascii="Times New Roman" w:hAnsi="Times New Roman"/>
        </w:rPr>
        <w:t xml:space="preserve">, </w:t>
      </w:r>
      <w:r>
        <w:rPr>
          <w:rFonts w:ascii="Times New Roman" w:hAnsi="Times New Roman"/>
          <w:i/>
        </w:rPr>
        <w:t>91</w:t>
      </w:r>
      <w:r>
        <w:rPr>
          <w:rFonts w:ascii="Times New Roman" w:hAnsi="Times New Roman"/>
        </w:rPr>
        <w:t>, 25–33. https://doi.org/10.1016/j.eja.2017.09.009</w:t>
      </w:r>
    </w:p>
    <w:p>
      <w:pPr>
        <w:spacing w:after="80" w:line="276" w:lineRule="auto"/>
        <w:ind w:left="720" w:hanging="720"/>
      </w:pPr>
      <w:r>
        <w:rPr>
          <w:rFonts w:ascii="Times New Roman" w:hAnsi="Times New Roman"/>
        </w:rPr>
        <w:t xml:space="preserve">Ray, D. K., Gerber, J. S., MacDonald, G. K., &amp; West, P. C. (2015). Climate variation explains a third of global crop yield variability. </w:t>
      </w:r>
      <w:r>
        <w:rPr>
          <w:rFonts w:ascii="Times New Roman" w:hAnsi="Times New Roman"/>
          <w:i/>
        </w:rPr>
        <w:t>Nature Communications</w:t>
      </w:r>
      <w:r>
        <w:rPr>
          <w:rFonts w:ascii="Times New Roman" w:hAnsi="Times New Roman"/>
        </w:rPr>
        <w:t xml:space="preserve">, </w:t>
      </w:r>
      <w:r>
        <w:rPr>
          <w:rFonts w:ascii="Times New Roman" w:hAnsi="Times New Roman"/>
          <w:i/>
        </w:rPr>
        <w:t>6</w:t>
      </w:r>
      <w:r>
        <w:rPr>
          <w:rFonts w:ascii="Times New Roman" w:hAnsi="Times New Roman"/>
        </w:rPr>
        <w:t>(1), Article 5989. https://doi.org/10.1038/ncomms6989</w:t>
      </w:r>
    </w:p>
    <w:p>
      <w:pPr>
        <w:spacing w:after="80" w:line="276" w:lineRule="auto"/>
        <w:ind w:left="720" w:hanging="720"/>
      </w:pPr>
      <w:r>
        <w:rPr>
          <w:rFonts w:ascii="Times New Roman" w:hAnsi="Times New Roman"/>
        </w:rPr>
        <w:t xml:space="preserve">Renard, D., &amp; Tilman, D. (2019). National food production stabilized by crop diversity. </w:t>
      </w:r>
      <w:r>
        <w:rPr>
          <w:rFonts w:ascii="Times New Roman" w:hAnsi="Times New Roman"/>
          <w:i/>
        </w:rPr>
        <w:t>Nature</w:t>
      </w:r>
      <w:r>
        <w:rPr>
          <w:rFonts w:ascii="Times New Roman" w:hAnsi="Times New Roman"/>
        </w:rPr>
        <w:t xml:space="preserve">, </w:t>
      </w:r>
      <w:r>
        <w:rPr>
          <w:rFonts w:ascii="Times New Roman" w:hAnsi="Times New Roman"/>
          <w:i/>
        </w:rPr>
        <w:t>571</w:t>
      </w:r>
      <w:r>
        <w:rPr>
          <w:rFonts w:ascii="Times New Roman" w:hAnsi="Times New Roman"/>
        </w:rPr>
        <w:t>(7764), 257–260. https://doi.org/10.1038/s41586-019-1316-y</w:t>
      </w:r>
    </w:p>
    <w:p>
      <w:pPr>
        <w:spacing w:after="80" w:line="276" w:lineRule="auto"/>
        <w:ind w:left="720" w:hanging="720"/>
      </w:pPr>
      <w:r>
        <w:rPr>
          <w:rFonts w:ascii="Times New Roman" w:hAnsi="Times New Roman"/>
        </w:rPr>
        <w:t xml:space="preserve">Roberts, D. R., Bahn, V., Ciuti, S., Boyce, M. S., Elith, J., Guillera-Arroita, G., Hauenstein, S., Lahoz-Monfort, J. J., Schröder, B., Thuiller, W., &amp; Warton, D. I. (2017). Cross-validation strategies for data with spatial, temporal, or phylogenetic structure. </w:t>
      </w:r>
      <w:r>
        <w:rPr>
          <w:rFonts w:ascii="Times New Roman" w:hAnsi="Times New Roman"/>
          <w:i/>
        </w:rPr>
        <w:t>Ecography</w:t>
      </w:r>
      <w:r>
        <w:rPr>
          <w:rFonts w:ascii="Times New Roman" w:hAnsi="Times New Roman"/>
        </w:rPr>
        <w:t xml:space="preserve">, </w:t>
      </w:r>
      <w:r>
        <w:rPr>
          <w:rFonts w:ascii="Times New Roman" w:hAnsi="Times New Roman"/>
          <w:i/>
        </w:rPr>
        <w:t>40</w:t>
      </w:r>
      <w:r>
        <w:rPr>
          <w:rFonts w:ascii="Times New Roman" w:hAnsi="Times New Roman"/>
        </w:rPr>
        <w:t>(8), 913–929. https://doi.org/10.1111/ecog.02881</w:t>
      </w:r>
    </w:p>
    <w:p>
      <w:pPr>
        <w:spacing w:after="80" w:line="276" w:lineRule="auto"/>
        <w:ind w:left="720" w:hanging="720"/>
      </w:pPr>
      <w:r>
        <w:rPr>
          <w:rFonts w:ascii="Times New Roman" w:hAnsi="Times New Roman"/>
        </w:rPr>
        <w:t xml:space="preserve">Rowhani, P., Lobell, D. B., Linderman, M., &amp; Ramankutty, N. (2011). Climate variability and crop production in Tanzania. </w:t>
      </w:r>
      <w:r>
        <w:rPr>
          <w:rFonts w:ascii="Times New Roman" w:hAnsi="Times New Roman"/>
          <w:i/>
        </w:rPr>
        <w:t>Agricultural and Forest Meteorology</w:t>
      </w:r>
      <w:r>
        <w:rPr>
          <w:rFonts w:ascii="Times New Roman" w:hAnsi="Times New Roman"/>
        </w:rPr>
        <w:t xml:space="preserve">, </w:t>
      </w:r>
      <w:r>
        <w:rPr>
          <w:rFonts w:ascii="Times New Roman" w:hAnsi="Times New Roman"/>
          <w:i/>
        </w:rPr>
        <w:t>151</w:t>
      </w:r>
      <w:r>
        <w:rPr>
          <w:rFonts w:ascii="Times New Roman" w:hAnsi="Times New Roman"/>
        </w:rPr>
        <w:t>(4), 449–460. https://doi.org/10.1016/j.agrformet.2010.12.002</w:t>
      </w:r>
    </w:p>
    <w:p>
      <w:pPr>
        <w:spacing w:after="80" w:line="276" w:lineRule="auto"/>
        <w:ind w:left="720" w:hanging="720"/>
      </w:pPr>
      <w:r>
        <w:rPr>
          <w:rFonts w:ascii="Times New Roman" w:hAnsi="Times New Roman"/>
        </w:rPr>
        <w:t xml:space="preserve">Schratz, P., Muenchow, J., Iturritxa, E., Richter, J., &amp; Brenning, A. (2019). Performance evaluation and hyperparameter tuning of statistical and machine-learning models using spatial data. </w:t>
      </w:r>
      <w:r>
        <w:rPr>
          <w:rFonts w:ascii="Times New Roman" w:hAnsi="Times New Roman"/>
          <w:i/>
        </w:rPr>
        <w:t>Ecological Modelling</w:t>
      </w:r>
      <w:r>
        <w:rPr>
          <w:rFonts w:ascii="Times New Roman" w:hAnsi="Times New Roman"/>
        </w:rPr>
        <w:t xml:space="preserve">, </w:t>
      </w:r>
      <w:r>
        <w:rPr>
          <w:rFonts w:ascii="Times New Roman" w:hAnsi="Times New Roman"/>
          <w:i/>
        </w:rPr>
        <w:t>406</w:t>
      </w:r>
      <w:r>
        <w:rPr>
          <w:rFonts w:ascii="Times New Roman" w:hAnsi="Times New Roman"/>
        </w:rPr>
        <w:t>, 109–120. https://doi.org/10.1016/j.ecolmodel.2019.06.002</w:t>
      </w:r>
    </w:p>
    <w:p>
      <w:pPr>
        <w:spacing w:after="80" w:line="276" w:lineRule="auto"/>
        <w:ind w:left="720" w:hanging="720"/>
      </w:pPr>
      <w:r>
        <w:rPr>
          <w:rFonts w:ascii="Times New Roman" w:hAnsi="Times New Roman"/>
        </w:rPr>
        <w:t xml:space="preserve">Shannon, C. E. (1948). A mathematical theory of communication. </w:t>
      </w:r>
      <w:r>
        <w:rPr>
          <w:rFonts w:ascii="Times New Roman" w:hAnsi="Times New Roman"/>
          <w:i/>
        </w:rPr>
        <w:t>Bell System Technical Journal</w:t>
      </w:r>
      <w:r>
        <w:rPr>
          <w:rFonts w:ascii="Times New Roman" w:hAnsi="Times New Roman"/>
        </w:rPr>
        <w:t xml:space="preserve">, </w:t>
      </w:r>
      <w:r>
        <w:rPr>
          <w:rFonts w:ascii="Times New Roman" w:hAnsi="Times New Roman"/>
          <w:i/>
        </w:rPr>
        <w:t>27</w:t>
      </w:r>
      <w:r>
        <w:rPr>
          <w:rFonts w:ascii="Times New Roman" w:hAnsi="Times New Roman"/>
        </w:rPr>
        <w:t>(3), 379–423. https://doi.org/10.1002/j.1538-7305.1948.tb01338.x</w:t>
      </w:r>
    </w:p>
    <w:p>
      <w:pPr>
        <w:spacing w:after="80" w:line="276" w:lineRule="auto"/>
        <w:ind w:left="720" w:hanging="720"/>
      </w:pPr>
      <w:r>
        <w:rPr>
          <w:rFonts w:ascii="Times New Roman" w:hAnsi="Times New Roman"/>
        </w:rPr>
        <w:t xml:space="preserve">United Republic of Tanzania. (2020). </w:t>
      </w:r>
      <w:r>
        <w:rPr>
          <w:rFonts w:ascii="Times New Roman" w:hAnsi="Times New Roman"/>
          <w:i/>
        </w:rPr>
        <w:t>National Agricultural Policy Implementation Strategy</w:t>
      </w:r>
      <w:r>
        <w:rPr>
          <w:rFonts w:ascii="Times New Roman" w:hAnsi="Times New Roman"/>
        </w:rPr>
        <w:t>. Ministry of Agriculture, Dodoma, Tanzania.</w:t>
      </w:r>
    </w:p>
    <w:p>
      <w:pPr>
        <w:spacing w:after="80" w:line="276" w:lineRule="auto"/>
        <w:ind w:left="720" w:hanging="720"/>
      </w:pPr>
      <w:r>
        <w:rPr>
          <w:rFonts w:ascii="Times New Roman" w:hAnsi="Times New Roman"/>
        </w:rPr>
        <w:t xml:space="preserve">Valavi, R., Elith, J., Lahoz-Monfort, J. J., &amp; Guillera-Arroita, G. (2019). blockCV: An R package for generating spatially or environmentally separated folds for k-fold cross-validation of species distribution models. </w:t>
      </w:r>
      <w:r>
        <w:rPr>
          <w:rFonts w:ascii="Times New Roman" w:hAnsi="Times New Roman"/>
          <w:i/>
        </w:rPr>
        <w:t>Methods in Ecology and Evolution</w:t>
      </w:r>
      <w:r>
        <w:rPr>
          <w:rFonts w:ascii="Times New Roman" w:hAnsi="Times New Roman"/>
        </w:rPr>
        <w:t xml:space="preserve">, </w:t>
      </w:r>
      <w:r>
        <w:rPr>
          <w:rFonts w:ascii="Times New Roman" w:hAnsi="Times New Roman"/>
          <w:i/>
        </w:rPr>
        <w:t>10</w:t>
      </w:r>
      <w:r>
        <w:rPr>
          <w:rFonts w:ascii="Times New Roman" w:hAnsi="Times New Roman"/>
        </w:rPr>
        <w:t>(2), 225–232. https://doi.org/10.1111/2041-210X.13107</w:t>
      </w:r>
    </w:p>
    <w:p>
      <w:pPr>
        <w:spacing w:after="80" w:line="276" w:lineRule="auto"/>
        <w:ind w:left="720" w:hanging="720"/>
      </w:pPr>
      <w:r>
        <w:rPr>
          <w:rFonts w:ascii="Times New Roman" w:hAnsi="Times New Roman"/>
        </w:rPr>
        <w:t xml:space="preserve">van Klompenburg, T., Kassahun, A., &amp; Catal, C. (2020). Crop yield prediction using machine learning: A systematic literature review. </w:t>
      </w:r>
      <w:r>
        <w:rPr>
          <w:rFonts w:ascii="Times New Roman" w:hAnsi="Times New Roman"/>
          <w:i/>
        </w:rPr>
        <w:t>Computers and Electronics in Agriculture</w:t>
      </w:r>
      <w:r>
        <w:rPr>
          <w:rFonts w:ascii="Times New Roman" w:hAnsi="Times New Roman"/>
        </w:rPr>
        <w:t xml:space="preserve">, </w:t>
      </w:r>
      <w:r>
        <w:rPr>
          <w:rFonts w:ascii="Times New Roman" w:hAnsi="Times New Roman"/>
          <w:i/>
        </w:rPr>
        <w:t>177</w:t>
      </w:r>
      <w:r>
        <w:rPr>
          <w:rFonts w:ascii="Times New Roman" w:hAnsi="Times New Roman"/>
        </w:rPr>
        <w:t>, Article 105709. https://doi.org/10.1016/j.compag.2020.105709</w:t>
      </w:r>
    </w:p>
    <w:p>
      <w:pPr>
        <w:spacing w:after="80" w:line="276" w:lineRule="auto"/>
        <w:ind w:left="720" w:hanging="720"/>
      </w:pPr>
      <w:r>
        <w:rPr>
          <w:rFonts w:ascii="Times New Roman" w:hAnsi="Times New Roman"/>
        </w:rPr>
        <w:t xml:space="preserve">Wadoux, A. M. J. C., Brus, D. J., &amp; Heuvelink, G. B. M. (2021). Sampling design optimization for spatial cross-validation of machine learning models. </w:t>
      </w:r>
      <w:r>
        <w:rPr>
          <w:rFonts w:ascii="Times New Roman" w:hAnsi="Times New Roman"/>
          <w:i/>
        </w:rPr>
        <w:t>Ecological Modelling</w:t>
      </w:r>
      <w:r>
        <w:rPr>
          <w:rFonts w:ascii="Times New Roman" w:hAnsi="Times New Roman"/>
        </w:rPr>
        <w:t xml:space="preserve">, </w:t>
      </w:r>
      <w:r>
        <w:rPr>
          <w:rFonts w:ascii="Times New Roman" w:hAnsi="Times New Roman"/>
          <w:i/>
        </w:rPr>
        <w:t>459</w:t>
      </w:r>
      <w:r>
        <w:rPr>
          <w:rFonts w:ascii="Times New Roman" w:hAnsi="Times New Roman"/>
        </w:rPr>
        <w:t>, Article 109724. https://doi.org/10.1016/j.ecolmodel.2021.109724</w:t>
      </w:r>
    </w:p>
    <w:p>
      <w:pPr>
        <w:spacing w:after="80" w:line="276" w:lineRule="auto"/>
        <w:ind w:left="720" w:hanging="720"/>
      </w:pPr>
      <w:r>
        <w:rPr>
          <w:rFonts w:ascii="Times New Roman" w:hAnsi="Times New Roman"/>
        </w:rPr>
        <w:t xml:space="preserve">Waha, K., Müller, C., Bondeau, A., Dietrich, J. P., Kurukulasuriya, P., Heinke, J., &amp; Lotze-Campen, H. (2013). Adaptation to climate change through the choice of cropping system and sowing date in sub-Saharan Africa. </w:t>
      </w:r>
      <w:r>
        <w:rPr>
          <w:rFonts w:ascii="Times New Roman" w:hAnsi="Times New Roman"/>
          <w:i/>
        </w:rPr>
        <w:t>Global Environmental Change</w:t>
      </w:r>
      <w:r>
        <w:rPr>
          <w:rFonts w:ascii="Times New Roman" w:hAnsi="Times New Roman"/>
        </w:rPr>
        <w:t xml:space="preserve">, </w:t>
      </w:r>
      <w:r>
        <w:rPr>
          <w:rFonts w:ascii="Times New Roman" w:hAnsi="Times New Roman"/>
          <w:i/>
        </w:rPr>
        <w:t>23</w:t>
      </w:r>
      <w:r>
        <w:rPr>
          <w:rFonts w:ascii="Times New Roman" w:hAnsi="Times New Roman"/>
        </w:rPr>
        <w:t>(1), 130–143. https://doi.org/10.1016/j.gloenvcha.2012.11.001</w:t>
      </w:r>
    </w:p>
    <w:p>
      <w:pPr>
        <w:spacing w:after="80" w:line="276" w:lineRule="auto"/>
        <w:ind w:left="720" w:hanging="720"/>
      </w:pPr>
      <w:r>
        <w:rPr>
          <w:rFonts w:ascii="Times New Roman" w:hAnsi="Times New Roman"/>
        </w:rPr>
        <w:t xml:space="preserve">Zorita, E., &amp; Tilya, F. F. (2002). Rainfall variability in Northern Tanzania in the March–May season (Masika) and its links to large-scale climate indices. </w:t>
      </w:r>
      <w:r>
        <w:rPr>
          <w:rFonts w:ascii="Times New Roman" w:hAnsi="Times New Roman"/>
          <w:i/>
        </w:rPr>
        <w:t>Climate Research</w:t>
      </w:r>
      <w:r>
        <w:rPr>
          <w:rFonts w:ascii="Times New Roman" w:hAnsi="Times New Roman"/>
        </w:rPr>
        <w:t xml:space="preserve">, </w:t>
      </w:r>
      <w:r>
        <w:rPr>
          <w:rFonts w:ascii="Times New Roman" w:hAnsi="Times New Roman"/>
          <w:i/>
        </w:rPr>
        <w:t>20</w:t>
      </w:r>
      <w:r>
        <w:rPr>
          <w:rFonts w:ascii="Times New Roman" w:hAnsi="Times New Roman"/>
        </w:rPr>
        <w:t>(1), 31–40. https://doi.org/10.3354/cr020031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