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C3E3FD" w14:textId="77777777" w:rsidR="000F3486" w:rsidRDefault="000F3486" w:rsidP="000F3486">
      <w:pPr>
        <w:spacing w:before="240" w:after="80"/>
      </w:pPr>
      <w:r>
        <w:rPr>
          <w:b/>
          <w:sz w:val="24"/>
        </w:rPr>
        <w:t>Abstract</w:t>
      </w:r>
    </w:p>
    <w:p w14:paraId="316DD370" w14:textId="4A819386" w:rsidR="00F6599A" w:rsidRDefault="000F3486" w:rsidP="000F3486">
      <w:pPr>
        <w:jc w:val="both"/>
      </w:pPr>
      <w:r>
        <w:t>Smallholder rainfed farming systems across sub-Saharan Africa face intensifying inter-seasonal yield instability driven by erratic bimodal rainfall, soil nutrient depletion, and biotic pest shocks, yet empirical risk models often overestimate predictive skill because they fail to account for spatial autocorrelation leakage. This study develops and validates a leakage-free spatial machine learning framework to predict household-level crop yield volatility across Mainland Tanzania and the Zanzibar Archipelago using nationally representative microdata from the 2024/2025 National Bureau of Statistics (NBS) Annual Agricultural Sample Survey (AASS) covering 4,564 bimodal agricultural holdings across 921 Enumeration Areas (EAs). We formulate a bounded, scale-invariant Yield Volatility Index (</w:t>
      </w:r>
      <w:proofErr w:type="spellStart"/>
      <w:r>
        <w:t>Y</w:t>
      </w:r>
      <w:r>
        <w:rPr>
          <w:vertAlign w:val="subscript"/>
        </w:rPr>
        <w:t>vol</w:t>
      </w:r>
      <w:proofErr w:type="spellEnd"/>
      <w:r>
        <w:t xml:space="preserve"> </w:t>
      </w:r>
      <w:r>
        <w:rPr>
          <w:rFonts w:ascii="Cambria Math" w:hAnsi="Cambria Math" w:cs="Cambria Math"/>
        </w:rPr>
        <w:t>∈</w:t>
      </w:r>
      <w:r>
        <w:t xml:space="preserve"> [0, 2]) measuring proportional yield divergence between the long-rain (</w:t>
      </w:r>
      <w:r>
        <w:rPr>
          <w:i/>
        </w:rPr>
        <w:t>Masika</w:t>
      </w:r>
      <w:r>
        <w:t>) and short-rain (</w:t>
      </w:r>
      <w:r>
        <w:rPr>
          <w:i/>
        </w:rPr>
        <w:t>Vuli</w:t>
      </w:r>
      <w:r>
        <w:t>) cultivation cycles, and engineer 246 multi-domain agronomic, ecological, demographic, and spatial peer predictors pruned to a 100-feature subset capturing 99.0% of tree-based information gain. Evaluated under strict five-fold spatial group cross-validation partitioning whole Enumeration Areas, a soft-voting Weighted Ensemble combining Light Gradient Boosting Machine (LightGBM), Extreme Gradient Boosting (XGBoost), and Random Forest (RF) achieves an out-of-fold coefficient of determination (R</w:t>
      </w:r>
      <w:r>
        <w:rPr>
          <w:vertAlign w:val="superscript"/>
        </w:rPr>
        <w:t>2</w:t>
      </w:r>
      <w:r>
        <w:t>) of 0.592, a Root Mean Squared Error (RMSE) of 0.464, and a Mean Absolute Error (MAE) of 0.347, outperforming dedicated regional sub-models across 26 of 27 regions. Exact Tree-based Shapley Additive Explanations (</w:t>
      </w:r>
      <w:proofErr w:type="spellStart"/>
      <w:r>
        <w:t>TreeSHAP</w:t>
      </w:r>
      <w:proofErr w:type="spellEnd"/>
      <w:r>
        <w:t>) and partial dependence analyses reveal that inter-seasonal planting timing shifts, plot abandonment shocks, and crop portfolio diversity relative to community peers govern production instability, buffered non-linearly by livestock holdings above 3.0 Tropical Livestock Units (TLU). Policy counterfactual simulations indicate that an integrated Climate-Smart Agriculture package combining asset transfers, cultivar diversification, and planting synchronization reduces mean national yield volatility by 40.0% and lowers hyper-volatile holdings (</w:t>
      </w:r>
      <w:proofErr w:type="spellStart"/>
      <w:r>
        <w:t>Y</w:t>
      </w:r>
      <w:r>
        <w:rPr>
          <w:vertAlign w:val="subscript"/>
        </w:rPr>
        <w:t>vol</w:t>
      </w:r>
      <w:proofErr w:type="spellEnd"/>
      <w:r>
        <w:t xml:space="preserve"> ≥ 1.50) from 25.8% to 19.9%, although multi-wave longitudinal panel tracking and high-resolution satellite soil-moisture assimilation remain vital future research priorities.</w:t>
      </w:r>
      <w:bookmarkStart w:id="0" w:name="_GoBack"/>
      <w:bookmarkEnd w:id="0"/>
    </w:p>
    <w:sectPr w:rsidR="00F6599A" w:rsidSect="001015D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486"/>
    <w:rsid w:val="000F3486"/>
    <w:rsid w:val="001015D6"/>
    <w:rsid w:val="00D06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48CDD6"/>
  <w15:chartTrackingRefBased/>
  <w15:docId w15:val="{185A0EBF-916A-8E4E-94F4-53FC3E694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F3486"/>
    <w:pPr>
      <w:spacing w:after="120" w:line="276" w:lineRule="auto"/>
    </w:pPr>
    <w:rPr>
      <w:rFonts w:ascii="Times New Roman" w:eastAsiaTheme="minorEastAsia" w:hAnsi="Times New Roman"/>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351</Words>
  <Characters>2007</Characters>
  <Application>Microsoft Office Word</Application>
  <DocSecurity>0</DocSecurity>
  <Lines>16</Lines>
  <Paragraphs>4</Paragraphs>
  <ScaleCrop>false</ScaleCrop>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2026-10-29T12:08:00Z</dcterms:created>
  <dcterms:modified xsi:type="dcterms:W3CDTF">2026-10-29T12:09:00Z</dcterms:modified>
</cp:coreProperties>
</file>