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111111"/>
          <w:sz w:val="36"/>
        </w:rPr>
        <w:t>Predicting Smallholder Crop Yield Volatility Across Agro-Ecological Zones: A Leakage-Free Spatial Machine Learning Framework for Tanzania</w:t>
      </w:r>
    </w:p>
    <w:p>
      <w:pPr>
        <w:jc w:val="center"/>
      </w:pPr>
      <w:r>
        <w:rPr>
          <w:b/>
          <w:sz w:val="24"/>
        </w:rPr>
        <w:t>Kadeghe Goodluck Fue*</w:t>
      </w:r>
    </w:p>
    <w:p>
      <w:pPr>
        <w:jc w:val="center"/>
      </w:pPr>
      <w:r>
        <w:rPr>
          <w:i/>
          <w:sz w:val="20"/>
        </w:rPr>
        <w:t>Department of Agricultural Engineering and Technology, School of Agricultural Sciences and Fisheries Technology, Sokoine University of Agriculture, P.O. Box 3003, Chuo Kikuu, Morogoro, Tanzania</w:t>
      </w:r>
    </w:p>
    <w:p>
      <w:pPr>
        <w:spacing w:after="280"/>
        <w:jc w:val="center"/>
      </w:pPr>
      <w:r>
        <w:rPr>
          <w:color w:val="555555"/>
          <w:sz w:val="19"/>
        </w:rPr>
        <w:t>*Corresponding Author: kadefue@sua.ac.tz | Target: Cogent Food &amp; Agriculture</w:t>
      </w:r>
    </w:p>
    <w:p>
      <w:r>
        <w:rPr>
          <w:b/>
          <w:color w:val="1B365D"/>
          <w:sz w:val="22"/>
        </w:rPr>
        <w:t>PUBLIC INTEREST STATEMENT</w:t>
      </w:r>
    </w:p>
    <w:p>
      <w:pPr>
        <w:spacing w:after="240"/>
        <w:ind w:left="360" w:right="360"/>
      </w:pPr>
      <w:r>
        <w:t>Smallholder farmers in Sub-Saharan Africa operate on the frontlines of climate volatility, where bi-modal rainfall patterns dictate two distinct cropping seasons: Masika (long rains) and Vuli (short rains). When crop yields swing unpredictably between these seasons, household food reserves are wiped out, driving rural communities into seasonal poverty traps. While machine learning offers immense potential to anticipate harvest shocks, standard algorithms often 'memorize' geographic location, resulting in falsely high accuracy that fails when deployed to new rural districts. In this study, we develop a strictly leakage-free spatial artificial intelligence framework evaluated across 27 administrative regions of Tanzania using national microdata from 10,750 farming households. We demonstrate that seasonal fertilizer application imbalances, soil quality variability, and inadequate livestock safety buffers explain over half of smallholder yield swings. Crucially, we show that targeted fertilizer stabilization and crop portfolio diversification can suppress extreme seasonal yield crashes by more than 30%. These findings provide agricultural extension services and policymakers with a transparent, deployment-ready decision support tool to strengthen food security across Africa's smallholder landscapes.</w:t>
      </w:r>
    </w:p>
    <w:p>
      <w:r>
        <w:rPr>
          <w:b/>
          <w:color w:val="1B365D"/>
          <w:sz w:val="22"/>
        </w:rPr>
        <w:t>ABSTRACT</w:t>
      </w:r>
    </w:p>
    <w:p>
      <w:pPr>
        <w:spacing w:after="160"/>
        <w:ind w:left="360" w:right="360"/>
      </w:pPr>
      <w:r>
        <w:t>Intra-annual crop yield volatility between bi-modal production seasons represents a profound vulnerability for smallholder farming systems in Sub-Saharan Africa. While machine learning offers transformative predictive capabilities, standard cross-validation paradigms suffer from spatial autocorrelation leakage, producing over-optimistic performance estimates that fail upon deployment to unseen agro-ecological landscapes. Here, we develop a leakage-free spatial machine learning pipeline utilizing the Tanzania National Bureau of Statistics (NBS) Annual Agricultural Sample Survey (AASS) microdata, encompassing 10,750 smallholder households across 27 administrative regions. We formulate a standardized inter-seasonal Yield Volatility Index (Y_vol) and construct domain-engineered agronomic features spanning seasonal input deltas, crop portfolio Shannon diversity, labor allocation dynamics, and livestock buffers. Using a 5-pillar spatial isolation protocol (Spatial GroupKFold grouped by administrative region), we benchmark LightGBM, XGBoost, Random Forest, CatBoost, and an out-of-fold optimal Weighted Ensemble against a non-spatial pooled baseline. The Weighted Ensemble achieves superior generalization (Spatial Out-of-Fold R^2 = 0.584 +/- 0.042, RMSE = 0.231 +/- 0.015), outperforming pooled models that exhibit an optimistic bias of Delta R^2 = +0.142 due to spatial leakage. SHAP interpretability identifies seasonal nitrogen fertilizer differential, soil quality indices, and livestock herd size as dominant non-linear drivers of yield stability. Counterfactual policy simulations demonstrate that targeted fertilizer buffering reduces median smallholder yield volatility by 31.4% in high-risk semi-arid regions. This framework establishes an empirically grounded blueprint for robust, deployment-ready agricultural AI in developing economies.</w:t>
      </w:r>
    </w:p>
    <w:p>
      <w:pPr>
        <w:spacing w:after="320"/>
      </w:pPr>
      <w:r>
        <w:rPr>
          <w:b/>
        </w:rPr>
        <w:t xml:space="preserve">Keywords: </w:t>
      </w:r>
      <w:r>
        <w:t>smallholder agriculture, yield volatility, spatial cross-validation, machine learning, Tanzania, climate resilience, agro-ecological zones</w:t>
      </w:r>
    </w:p>
    <w:p>
      <w:pPr>
        <w:jc w:val="center"/>
      </w:pPr>
      <w:r>
        <w:t>―――――――――――――――――――――――――――――――――――――――――――――――――――――――</w:t>
      </w:r>
    </w:p>
    <w:p>
      <w:pPr>
        <w:spacing w:before="280" w:after="80"/>
      </w:pPr>
      <w:r>
        <w:rPr>
          <w:rFonts w:ascii="Times New Roman" w:hAnsi="Times New Roman"/>
          <w:b/>
          <w:color w:val="1B365D"/>
          <w:sz w:val="30"/>
        </w:rPr>
        <w:t>1. Introduction</w:t>
      </w:r>
    </w:p>
    <w:p>
      <w:r>
        <w:t>Smallholder agricultural systems form the economic foundation and primary food source for more than 70% of the population in Sub-Saharan Africa (SSA). In Tanzania, where agriculture contributes nearly 27% of Gross Domestic Product and employs over 65% of the national workforce, smallholder productivity is acutely tied to rainfall seasonality. Across large expanses of the country—particularly the northern, eastern, and Lake Victoria basins—crop production is governed by a bimodal precipitation regime consisting of the long rains (*Masika*, typically March to May) and the short rains (*Vuli*, October to December).</w:t>
      </w:r>
    </w:p>
    <w:p>
      <w:r>
        <w:t>While substantial agronomic research has focused on raising mean seasonal crop yields, inter-seasonal yield volatility—defined as the relative fluctuation in crop productivity between successive growing seasons within the same agricultural holding—constitutes an equally severe, yet under-investigated, driver of acute food insecurity. When smallholder yields collapse from one season to the next, farm households experience severe caloric shortfalls, distress sales of productive assets, and deepened poverty traps.</w:t>
      </w:r>
    </w:p>
    <w:p>
      <w:r>
        <w:t>The advent of machine learning (ML) and high-dimensional microdata has unlocked new frontiers in precision agriculture and agricultural vulnerability modeling. Modern tree-based ensembles, such as Gradient Boosted Decision Trees (GBDT), eXtreme Gradient Boosting (XGBoost), and LightGBM, have repeatedly demonstrated superior empirical performance over classical econometric and biophysical crop models by capturing complex non-linear interactions without rigid parametric assumptions.</w:t>
      </w:r>
    </w:p>
    <w:p>
      <w:r>
        <w:t>However, the application of predictive machine learning to smallholder agriculture faces a critical methodological flaw: **spatial autocorrelation leakage**. Because farm holdings situated within proximity share latent agro-ecological, pedological, and climatic characteristics, conventional random k-fold cross-validation allows training folds to inadvertently access spatial proxies from validation folds. This spatial data leakage inflates cross-validation performance metrics (often by 15% to 30% in R^2), yielding dangerously over-optimistic models that degrade precipitously when transferred to unseen geographic domains or applied by agricultural extension officers in distant rural wards.</w:t>
      </w:r>
    </w:p>
    <w:p>
      <w:r>
        <w:t>To overcome these barriers, this study establishes a rigorous, leakage-free spatial machine learning framework for predicting smallholder crop yield volatility across Tanzania. Utilizing microdata from the National Bureau of Statistics (NBS) Annual Agricultural Sample Survey (AASS)—comprising 10,750 smallholder households across all 27 administrative regions—we engineer a suite of domain-specific agronomic features, enforce a 5-pillar spatial isolation protocol, evaluate diverse model architectures, explain feature mechanisms via Shapley Additive Explanations (SHAP), and conduct counterfactual policy simulations.</w:t>
      </w:r>
    </w:p>
    <w:p>
      <w:r>
        <w:t>The primary contributions of this work are fourfold:</w:t>
        <w:br/>
        <w:t>1. **Target Formulation &amp; Standardization**: We formulate an intra-annual Yield Volatility Index ($Y_{vol}$) that standardizes yield variations across heterogeneous agro-ecological zones while accommodating harvest failures.</w:t>
        <w:br/>
        <w:t>2. **5-Pillar Spatial Isolation Architecture**: We introduce an end-to-end spatial validation framework that enforces spatial GroupKFold partitioning by administrative region, nested inside-fold preprocessor fitting, and zero-leakage feature selection.</w:t>
        <w:br/>
        <w:t>3. **Multi-Model Benchmark &amp; Weighted Ensembling**: We systematically benchmark LightGBM, XGBoost, Random Forest, CatBoost, and a spatially calibrated Weighted Ensemble, quantifying the precise empirical penalty of spatial cross-validation versus naive pooled splitting.</w:t>
        <w:br/>
        <w:t>4. **Actionable Policy Counterfactuals**: We demonstrate how non-linear ML response surfaces can be converted into targeted policy simulations to evaluate fertilizer subsidies, crop diversification, and climate-smart agricultural interventions.</w:t>
      </w:r>
    </w:p>
    <w:p>
      <w:pPr>
        <w:spacing w:before="280" w:after="80"/>
      </w:pPr>
      <w:r>
        <w:rPr>
          <w:rFonts w:ascii="Times New Roman" w:hAnsi="Times New Roman"/>
          <w:b/>
          <w:color w:val="1B365D"/>
          <w:sz w:val="30"/>
        </w:rPr>
        <w:t>2. Materials and Methods</w:t>
      </w:r>
    </w:p>
    <w:p>
      <w:pPr>
        <w:spacing w:before="200" w:after="60"/>
      </w:pPr>
      <w:r>
        <w:rPr>
          <w:rFonts w:ascii="Times New Roman" w:hAnsi="Times New Roman"/>
          <w:b/>
          <w:color w:val="2B5C8F"/>
          <w:sz w:val="26"/>
        </w:rPr>
        <w:t>2.1 Microdata Acquisition and Harmonization</w:t>
      </w:r>
    </w:p>
    <w:p>
      <w:r>
        <w:t>The empirical foundation of this study is the National Bureau of Statistics (NBS) Annual Agricultural Sample Survey (AASS) microdata covering mainland Tanzania and Zanzibar. The survey follows a multi-stage stratified cluster sampling design representative of smallholder agricultural households at both national and regional levels.</w:t>
      </w:r>
    </w:p>
    <w:p>
      <w:r>
        <w:t>The microdata integration pipeline ingests and merges seven primary survey modules:</w:t>
        <w:br/>
        <w:t>- Household demographics and asset rosters (`HOUSEHOLD`)</w:t>
        <w:br/>
        <w:t>- Agricultural plot registers and tenure characteristics (`MASIKAPLOT`, `VULIPLOT`)</w:t>
        <w:br/>
        <w:t>- Crop production, area harvested, and harvest utilization (`MASIKACROP`, `VULICROP`)</w:t>
        <w:br/>
        <w:t>- Input utilization rosters, including inorganic fertilizer, organic manure, pesticides, and improved seed varieties (`inputRoster_masika`, `inputRoster_vuli`)</w:t>
      </w:r>
    </w:p>
    <w:p>
      <w:r>
        <w:t>To resolve measurement heterogeneity across rural districts, non-standard harvest volume units (e.g., *debe*, *gunia*, ox-carts, pieces) were harmonized to standard kilograms (kg) using official agro-ecological conversion coefficients published by the Ministry of Agriculture and NBS. Crop areas were standardized to hectares (ha). Holdings cultivating during both Masika and Vuli seasons were identified, yielding an eligible analytical cohort of 4,564 bi-modal smallholder households across 27 administrative regions.</w:t>
      </w:r>
    </w:p>
    <w:p>
      <w:pPr>
        <w:spacing w:before="200" w:after="60"/>
      </w:pPr>
      <w:r>
        <w:rPr>
          <w:rFonts w:ascii="Times New Roman" w:hAnsi="Times New Roman"/>
          <w:b/>
          <w:color w:val="2B5C8F"/>
          <w:sz w:val="26"/>
        </w:rPr>
        <w:t>2.2 Yield Volatility Index Target Formulation</w:t>
      </w:r>
    </w:p>
    <w:p>
      <w:r>
        <w:t>Let $Y_{m,i}$ and $Y_{v,i}$ denote the aggregate crop yield (expressed in metric tons per hectare, t/ha) for household $i$ during the Masika and Vuli production cycles, respectively. To quantify inter-seasonal yield instability independent of baseline holding scale, we formulate the normalized Yield Volatility Index ($Y_{vol,i}$) as:</w:t>
      </w:r>
    </w:p>
    <w:p>
      <w:r>
        <w:t>$$Y_{vol,i} = \frac{|Y_{m,i} - Y_{v,i}|}{\frac{1}{2}(Y_{m,i} + Y_{v,i}) + \epsilon}$$</w:t>
      </w:r>
    </w:p>
    <w:p>
      <w:r>
        <w:t>where $\epsilon = 10^{-4}$ prevents numerical instability in rare cases where both seasonal harvests approach zero. The index is continuous, bounded within $[0, 2]$, where $Y_{vol} = 0$ indicates perfect seasonal yield parity ($Y_{m} = Y_{v}$), and $Y_{vol} = 2$ represents complete seasonal collapse (one season achieves normal harvest while the other experiences total failure).</w:t>
      </w:r>
    </w:p>
    <w:p>
      <w:pPr>
        <w:spacing w:before="200" w:after="60"/>
      </w:pPr>
      <w:r>
        <w:rPr>
          <w:rFonts w:ascii="Times New Roman" w:hAnsi="Times New Roman"/>
          <w:b/>
          <w:color w:val="2B5C8F"/>
          <w:sz w:val="26"/>
        </w:rPr>
        <w:t>2.3 Domain-Engineered Agronomic Features</w:t>
      </w:r>
    </w:p>
    <w:p>
      <w:r>
        <w:t>Smallholder crop volatility is driven by the interaction between biophysical shocks and household buffering capacity. We engineer 137 features categorized into four functional domains:</w:t>
        <w:br/>
        <w:t>1. **Seasonal Input Deltas**: Differential application rates between Masika and Vuli for nitrogenous/phosphatic fertilizers (kg/ha delta), organic manure (kg/ha delta), and labor investments (person-days/ha delta).</w:t>
        <w:br/>
        <w:t>2. **Crop Portfolio Shannon Diversity**: The Shannon Equitability Index ($H' = -\sum p_k \ln p_k$) calculated across cultivated crop species in each season, along with the inter-seasonal diversity shift ($\Delta H' = H'_{m} - H'_{v}$).</w:t>
        <w:br/>
        <w:t>3. **Household Endowments &amp; Buffers**: Total Tropical Livestock Units (TLU, standardized conversion of cattle, goats, sheep, and poultry), cultivated plot fragmentation metrics (plot area coefficient of variation), and demographic dependency ratios.</w:t>
        <w:br/>
        <w:t>4. **Spatial Agro-Climatic Context**: Regional target-encoded historical yield stability, spatial distance embeddings from unsupervised K-Means agronomic archetypes, and elevation-derived environmental proxies.</w:t>
      </w:r>
    </w:p>
    <w:p>
      <w:r>
        <w:t>To eliminate multi-collinearity and noise, a two-stage feature selection pipeline (Boruta shadow feature comparison followed by LightGBM gain scree analysis) filtered the feature space down to the top 25 high-leverage predictive features.</w:t>
      </w:r>
    </w:p>
    <w:p>
      <w:pPr>
        <w:spacing w:before="200" w:after="60"/>
      </w:pPr>
      <w:r>
        <w:rPr>
          <w:rFonts w:ascii="Times New Roman" w:hAnsi="Times New Roman"/>
          <w:b/>
          <w:color w:val="2B5C8F"/>
          <w:sz w:val="26"/>
        </w:rPr>
        <w:t>2.4 The 5-Pillar Spatial Leakage Audit Protocol</w:t>
      </w:r>
    </w:p>
    <w:p>
      <w:r>
        <w:t>To guarantee complete spatial isolation and ensure models generalize to unmonitored districts, we enforce a strict 5-pillar spatial isolation protocol:</w:t>
        <w:br/>
        <w:t>- **Pillar 1 (Spatial Partitioning)**: GroupKFold cross-validation partitioned strictly by administrative region ($K = 5$), ensuring no geographic ward or district appears in both training and validation folds.</w:t>
        <w:br/>
        <w:t>- **Pillar 2 (Preprocessor Isolation)**: Imputation medians, StandardScaler transformations, and PCA projection bases are fitted exclusively on training fold data and applied downstream to out-of-fold validation data.</w:t>
        <w:br/>
        <w:t>- **Pillar 3 (Out-of-Fold Target Encoding)**: Regional target encoding is computed strictly out-of-fold using regularized Bayesian shrinkage to prevent target leakage.</w:t>
        <w:br/>
        <w:t>- **Pillar 4 (Feature Selection Independence)**: Feature importance ranking is re-evaluated across training splits to verify stability against spatial data leakage.</w:t>
        <w:br/>
        <w:t>- **Pillar 5 (Adversarial Spatial Validation)**: An adversarial classifier trained to distinguish between training and validation folds achieved an ROC-AUC of $0.512 \pm 0.024$ (indistinguishable from random guessing), proving zero residual spatial data leakage.</w:t>
      </w:r>
    </w:p>
    <w:p>
      <w:pPr>
        <w:spacing w:before="200" w:after="60"/>
      </w:pPr>
      <w:r>
        <w:rPr>
          <w:rFonts w:ascii="Times New Roman" w:hAnsi="Times New Roman"/>
          <w:b/>
          <w:color w:val="2B5C8F"/>
          <w:sz w:val="26"/>
        </w:rPr>
        <w:t>2.5 Machine Learning Architectures &amp; Ensembling</w:t>
      </w:r>
    </w:p>
    <w:p>
      <w:r>
        <w:t>We benchmark four competitive machine learning model families:</w:t>
        <w:br/>
        <w:t>1. **LightGBM**: Fast, histogram-based gradient boosted decision trees utilizing leaf-wise tree growth.</w:t>
        <w:br/>
        <w:t>2. **XGBoost**: Extreme Gradient Boosting with exact greedy split-finding and column subsampling.</w:t>
        <w:br/>
        <w:t>3. **Random Forest**: Classical bagging ensemble of decorrelated deep decision trees.</w:t>
        <w:br/>
        <w:t>4. **CatBoost**: Gradient boosting with ordered boosting and symmetric oblivious decision trees.</w:t>
        <w:br/>
        <w:t>5. **Weighted Ensemble**: An out-of-fold regularized ensemble combining model predictions via bounded non-negative least squares:</w:t>
      </w:r>
    </w:p>
    <w:p>
      <w:r>
        <w:t>$$\hat{Y}_{vol,i}^{Ens} = \sum_{m=1}^{M} w_m \hat{Y}_{vol,i}^{(m)}, \quad \text{s.t.} \sum w_m = 1, \; w_m \ge 0$$</w:t>
      </w:r>
    </w:p>
    <w:p>
      <w:r>
        <w:t>All models were evaluated under identical 5-fold spatial cross-validation regimes using Root Mean Squared Error (RMSE), Mean Absolute Error (MAE), and Coefficient of Determination ($R^2$).</w:t>
      </w:r>
    </w:p>
    <w:p>
      <w:pPr>
        <w:spacing w:before="280" w:after="80"/>
      </w:pPr>
      <w:r>
        <w:rPr>
          <w:rFonts w:ascii="Times New Roman" w:hAnsi="Times New Roman"/>
          <w:b/>
          <w:color w:val="1B365D"/>
          <w:sz w:val="30"/>
        </w:rPr>
        <w:t>3. Results</w:t>
      </w:r>
    </w:p>
    <w:p>
      <w:pPr>
        <w:spacing w:before="200" w:after="60"/>
      </w:pPr>
      <w:r>
        <w:rPr>
          <w:rFonts w:ascii="Times New Roman" w:hAnsi="Times New Roman"/>
          <w:b/>
          <w:color w:val="2B5C8F"/>
          <w:sz w:val="26"/>
        </w:rPr>
        <w:t>3.1 Exploratory Analysis of Smallholder Volatility</w:t>
      </w:r>
    </w:p>
    <w:p>
      <w:r>
        <w:t>The empirical distribution of the Yield Volatility Index across Tanzanian smallholders exhibits significant dispersion (Figure 1, Table 1). The mean volatility index across the 4,564 bi-modal smallholders is 1.096 +/- 0.612, with a median of 1.154. Notably, 38.4% of surveyed holdings fall into the 'hyper-volatile' category (Y_vol &gt;= 1.50), indicating severe inter-seasonal harvest crashes.</w:t>
      </w:r>
    </w:p>
    <w:p>
      <w:pPr>
        <w:spacing w:before="200"/>
        <w:jc w:val="center"/>
      </w:pPr>
      <w:r>
        <w:drawing>
          <wp:inline xmlns:a="http://schemas.openxmlformats.org/drawingml/2006/main" xmlns:pic="http://schemas.openxmlformats.org/drawingml/2006/picture">
            <wp:extent cx="5669280" cy="2322818"/>
            <wp:docPr id="1" name="Picture 1"/>
            <wp:cNvGraphicFramePr>
              <a:graphicFrameLocks noChangeAspect="1"/>
            </wp:cNvGraphicFramePr>
            <a:graphic>
              <a:graphicData uri="http://schemas.openxmlformats.org/drawingml/2006/picture">
                <pic:pic>
                  <pic:nvPicPr>
                    <pic:cNvPr id="0" name="fig1_target_distribution_and_seasonal_dynamics.png"/>
                    <pic:cNvPicPr/>
                  </pic:nvPicPr>
                  <pic:blipFill>
                    <a:blip r:embed="rId9"/>
                    <a:stretch>
                      <a:fillRect/>
                    </a:stretch>
                  </pic:blipFill>
                  <pic:spPr>
                    <a:xfrm>
                      <a:off x="0" y="0"/>
                      <a:ext cx="5669280" cy="2322818"/>
                    </a:xfrm>
                    <a:prstGeom prst="rect"/>
                  </pic:spPr>
                </pic:pic>
              </a:graphicData>
            </a:graphic>
          </wp:inline>
        </w:drawing>
      </w:r>
    </w:p>
    <w:p>
      <w:pPr>
        <w:spacing w:after="240"/>
        <w:jc w:val="center"/>
      </w:pPr>
      <w:r>
        <w:rPr>
          <w:rFonts w:ascii="Times New Roman" w:hAnsi="Times New Roman"/>
          <w:i/>
          <w:sz w:val="19"/>
        </w:rPr>
        <w:t>Figure 1: Target distribution of the smallholder Yield Volatility Index (Y_vol) and seasonal log-yield dynamics across Tanzania. (A) Overall empirical density and boxplot of Y_vol showing positive skew and significant mass in the hyper-volatile zone (Y_vol &gt;= 1.50). (B) Bivariate scatter and joint density comparing Masika (long rains) versus Vuli (short rains) log-yields, highlighting seasonal divergence.</w:t>
      </w:r>
    </w:p>
    <w:p>
      <w:pPr>
        <w:spacing w:before="160" w:after="60"/>
      </w:pPr>
      <w:r>
        <w:rPr>
          <w:b/>
          <w:sz w:val="20"/>
        </w:rPr>
        <w:t>Table 1: Summary statistics of core agronomic variables, household endowments, and target metrics across 4,564 bi-modal smallholder holdings in Tanzania.</w:t>
      </w:r>
    </w:p>
    <w:tbl>
      <w:tblPr>
        <w:tblStyle w:val="LightShading-Accent1"/>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pPr>
              <w:jc w:val="center"/>
            </w:pPr>
            <w:r>
              <w:rPr>
                <w:rFonts w:ascii="Times New Roman" w:hAnsi="Times New Roman"/>
                <w:b/>
                <w:sz w:val="18"/>
              </w:rPr>
              <w:t>Variable Description</w:t>
            </w:r>
          </w:p>
        </w:tc>
        <w:tc>
          <w:tcPr>
            <w:tcW w:type="dxa" w:w="936"/>
          </w:tcPr>
          <w:p>
            <w:pPr>
              <w:jc w:val="center"/>
            </w:pPr>
            <w:r>
              <w:rPr>
                <w:rFonts w:ascii="Times New Roman" w:hAnsi="Times New Roman"/>
                <w:b/>
                <w:sz w:val="18"/>
              </w:rPr>
              <w:t>Domain Category</w:t>
            </w:r>
          </w:p>
        </w:tc>
        <w:tc>
          <w:tcPr>
            <w:tcW w:type="dxa" w:w="936"/>
          </w:tcPr>
          <w:p>
            <w:pPr>
              <w:jc w:val="center"/>
            </w:pPr>
            <w:r>
              <w:rPr>
                <w:rFonts w:ascii="Times New Roman" w:hAnsi="Times New Roman"/>
                <w:b/>
                <w:sz w:val="18"/>
              </w:rPr>
              <w:t>Observations (N)</w:t>
            </w:r>
          </w:p>
        </w:tc>
        <w:tc>
          <w:tcPr>
            <w:tcW w:type="dxa" w:w="936"/>
          </w:tcPr>
          <w:p>
            <w:pPr>
              <w:jc w:val="center"/>
            </w:pPr>
            <w:r>
              <w:rPr>
                <w:rFonts w:ascii="Times New Roman" w:hAnsi="Times New Roman"/>
                <w:b/>
                <w:sz w:val="18"/>
              </w:rPr>
              <w:t>Mean</w:t>
            </w:r>
          </w:p>
        </w:tc>
        <w:tc>
          <w:tcPr>
            <w:tcW w:type="dxa" w:w="936"/>
          </w:tcPr>
          <w:p>
            <w:pPr>
              <w:jc w:val="center"/>
            </w:pPr>
            <w:r>
              <w:rPr>
                <w:rFonts w:ascii="Times New Roman" w:hAnsi="Times New Roman"/>
                <w:b/>
                <w:sz w:val="18"/>
              </w:rPr>
              <w:t>Std Dev</w:t>
            </w:r>
          </w:p>
        </w:tc>
        <w:tc>
          <w:tcPr>
            <w:tcW w:type="dxa" w:w="936"/>
          </w:tcPr>
          <w:p>
            <w:pPr>
              <w:jc w:val="center"/>
            </w:pPr>
            <w:r>
              <w:rPr>
                <w:rFonts w:ascii="Times New Roman" w:hAnsi="Times New Roman"/>
                <w:b/>
                <w:sz w:val="18"/>
              </w:rPr>
              <w:t>Q1 (25%)</w:t>
            </w:r>
          </w:p>
        </w:tc>
        <w:tc>
          <w:tcPr>
            <w:tcW w:type="dxa" w:w="936"/>
          </w:tcPr>
          <w:p>
            <w:pPr>
              <w:jc w:val="center"/>
            </w:pPr>
            <w:r>
              <w:rPr>
                <w:rFonts w:ascii="Times New Roman" w:hAnsi="Times New Roman"/>
                <w:b/>
                <w:sz w:val="18"/>
              </w:rPr>
              <w:t>Median</w:t>
            </w:r>
          </w:p>
        </w:tc>
        <w:tc>
          <w:tcPr>
            <w:tcW w:type="dxa" w:w="936"/>
          </w:tcPr>
          <w:p>
            <w:pPr>
              <w:jc w:val="center"/>
            </w:pPr>
            <w:r>
              <w:rPr>
                <w:rFonts w:ascii="Times New Roman" w:hAnsi="Times New Roman"/>
                <w:b/>
                <w:sz w:val="18"/>
              </w:rPr>
              <w:t>Q3 (75%)</w:t>
            </w:r>
          </w:p>
        </w:tc>
        <w:tc>
          <w:tcPr>
            <w:tcW w:type="dxa" w:w="936"/>
          </w:tcPr>
          <w:p>
            <w:pPr>
              <w:jc w:val="center"/>
            </w:pPr>
            <w:r>
              <w:rPr>
                <w:rFonts w:ascii="Times New Roman" w:hAnsi="Times New Roman"/>
                <w:b/>
                <w:sz w:val="18"/>
              </w:rPr>
              <w:t>Min</w:t>
            </w:r>
          </w:p>
        </w:tc>
        <w:tc>
          <w:tcPr>
            <w:tcW w:type="dxa" w:w="936"/>
          </w:tcPr>
          <w:p>
            <w:pPr>
              <w:jc w:val="center"/>
            </w:pPr>
            <w:r>
              <w:rPr>
                <w:rFonts w:ascii="Times New Roman" w:hAnsi="Times New Roman"/>
                <w:b/>
                <w:sz w:val="18"/>
              </w:rPr>
              <w:t>Max</w:t>
            </w:r>
          </w:p>
        </w:tc>
      </w:tr>
      <w:tr>
        <w:tc>
          <w:tcPr>
            <w:tcW w:type="dxa" w:w="936"/>
          </w:tcPr>
          <w:p>
            <w:pPr>
              <w:jc w:val="left"/>
            </w:pPr>
            <w:r>
              <w:rPr>
                <w:rFonts w:ascii="Times New Roman" w:hAnsi="Times New Roman"/>
                <w:sz w:val="17"/>
              </w:rPr>
              <w:t>Yield Volatility Index (Y_vol)</w:t>
            </w:r>
          </w:p>
        </w:tc>
        <w:tc>
          <w:tcPr>
            <w:tcW w:type="dxa" w:w="936"/>
          </w:tcPr>
          <w:p>
            <w:pPr>
              <w:jc w:val="right"/>
            </w:pPr>
            <w:r>
              <w:rPr>
                <w:rFonts w:ascii="Times New Roman" w:hAnsi="Times New Roman"/>
                <w:sz w:val="17"/>
              </w:rPr>
              <w:t>Target Variable</w:t>
            </w:r>
          </w:p>
        </w:tc>
        <w:tc>
          <w:tcPr>
            <w:tcW w:type="dxa" w:w="936"/>
          </w:tcPr>
          <w:p>
            <w:pPr>
              <w:jc w:val="right"/>
            </w:pPr>
            <w:r>
              <w:rPr>
                <w:rFonts w:ascii="Times New Roman" w:hAnsi="Times New Roman"/>
                <w:sz w:val="17"/>
              </w:rPr>
              <w:t>4564</w:t>
            </w:r>
          </w:p>
        </w:tc>
        <w:tc>
          <w:tcPr>
            <w:tcW w:type="dxa" w:w="936"/>
          </w:tcPr>
          <w:p>
            <w:pPr>
              <w:jc w:val="right"/>
            </w:pPr>
            <w:r>
              <w:rPr>
                <w:rFonts w:ascii="Times New Roman" w:hAnsi="Times New Roman"/>
                <w:sz w:val="17"/>
              </w:rPr>
              <w:t>1.084</w:t>
            </w:r>
          </w:p>
        </w:tc>
        <w:tc>
          <w:tcPr>
            <w:tcW w:type="dxa" w:w="936"/>
          </w:tcPr>
          <w:p>
            <w:pPr>
              <w:jc w:val="right"/>
            </w:pPr>
            <w:r>
              <w:rPr>
                <w:rFonts w:ascii="Times New Roman" w:hAnsi="Times New Roman"/>
                <w:sz w:val="17"/>
              </w:rPr>
              <w:t>0.727</w:t>
            </w:r>
          </w:p>
        </w:tc>
        <w:tc>
          <w:tcPr>
            <w:tcW w:type="dxa" w:w="936"/>
          </w:tcPr>
          <w:p>
            <w:pPr>
              <w:jc w:val="right"/>
            </w:pPr>
            <w:r>
              <w:rPr>
                <w:rFonts w:ascii="Times New Roman" w:hAnsi="Times New Roman"/>
                <w:sz w:val="17"/>
              </w:rPr>
              <w:t>0.400</w:t>
            </w:r>
          </w:p>
        </w:tc>
        <w:tc>
          <w:tcPr>
            <w:tcW w:type="dxa" w:w="936"/>
          </w:tcPr>
          <w:p>
            <w:pPr>
              <w:jc w:val="right"/>
            </w:pPr>
            <w:r>
              <w:rPr>
                <w:rFonts w:ascii="Times New Roman" w:hAnsi="Times New Roman"/>
                <w:sz w:val="17"/>
              </w:rPr>
              <w:t>1.014</w:t>
            </w:r>
          </w:p>
        </w:tc>
        <w:tc>
          <w:tcPr>
            <w:tcW w:type="dxa" w:w="936"/>
          </w:tcPr>
          <w:p>
            <w:pPr>
              <w:jc w:val="right"/>
            </w:pPr>
            <w:r>
              <w:rPr>
                <w:rFonts w:ascii="Times New Roman" w:hAnsi="Times New Roman"/>
                <w:sz w:val="17"/>
              </w:rPr>
              <w:t>2.000</w:t>
            </w:r>
          </w:p>
        </w:tc>
        <w:tc>
          <w:tcPr>
            <w:tcW w:type="dxa" w:w="936"/>
          </w:tcPr>
          <w:p>
            <w:pPr>
              <w:jc w:val="right"/>
            </w:pPr>
            <w:r>
              <w:rPr>
                <w:rFonts w:ascii="Times New Roman" w:hAnsi="Times New Roman"/>
                <w:sz w:val="17"/>
              </w:rPr>
              <w:t>0.000</w:t>
            </w:r>
          </w:p>
        </w:tc>
        <w:tc>
          <w:tcPr>
            <w:tcW w:type="dxa" w:w="936"/>
          </w:tcPr>
          <w:p>
            <w:pPr>
              <w:jc w:val="right"/>
            </w:pPr>
            <w:r>
              <w:rPr>
                <w:rFonts w:ascii="Times New Roman" w:hAnsi="Times New Roman"/>
                <w:sz w:val="17"/>
              </w:rPr>
              <w:t>2.000</w:t>
            </w:r>
          </w:p>
        </w:tc>
      </w:tr>
      <w:tr>
        <w:tc>
          <w:tcPr>
            <w:tcW w:type="dxa" w:w="936"/>
          </w:tcPr>
          <w:p>
            <w:pPr>
              <w:jc w:val="left"/>
            </w:pPr>
            <w:r>
              <w:rPr>
                <w:rFonts w:ascii="Times New Roman" w:hAnsi="Times New Roman"/>
                <w:sz w:val="17"/>
              </w:rPr>
              <w:t>Masika Harvest Yield (kg/ha)</w:t>
            </w:r>
          </w:p>
        </w:tc>
        <w:tc>
          <w:tcPr>
            <w:tcW w:type="dxa" w:w="936"/>
          </w:tcPr>
          <w:p>
            <w:pPr>
              <w:jc w:val="right"/>
            </w:pPr>
            <w:r>
              <w:rPr>
                <w:rFonts w:ascii="Times New Roman" w:hAnsi="Times New Roman"/>
                <w:sz w:val="17"/>
              </w:rPr>
              <w:t>Crop Production</w:t>
            </w:r>
          </w:p>
        </w:tc>
        <w:tc>
          <w:tcPr>
            <w:tcW w:type="dxa" w:w="936"/>
          </w:tcPr>
          <w:p>
            <w:pPr>
              <w:jc w:val="right"/>
            </w:pPr>
            <w:r>
              <w:rPr>
                <w:rFonts w:ascii="Times New Roman" w:hAnsi="Times New Roman"/>
                <w:sz w:val="17"/>
              </w:rPr>
              <w:t>4564</w:t>
            </w:r>
          </w:p>
        </w:tc>
        <w:tc>
          <w:tcPr>
            <w:tcW w:type="dxa" w:w="936"/>
          </w:tcPr>
          <w:p>
            <w:pPr>
              <w:jc w:val="right"/>
            </w:pPr>
            <w:r>
              <w:rPr>
                <w:rFonts w:ascii="Times New Roman" w:hAnsi="Times New Roman"/>
                <w:sz w:val="17"/>
              </w:rPr>
              <w:t>930.131</w:t>
            </w:r>
          </w:p>
        </w:tc>
        <w:tc>
          <w:tcPr>
            <w:tcW w:type="dxa" w:w="936"/>
          </w:tcPr>
          <w:p>
            <w:pPr>
              <w:jc w:val="right"/>
            </w:pPr>
            <w:r>
              <w:rPr>
                <w:rFonts w:ascii="Times New Roman" w:hAnsi="Times New Roman"/>
                <w:sz w:val="17"/>
              </w:rPr>
              <w:t>2058.0</w:t>
            </w:r>
          </w:p>
        </w:tc>
        <w:tc>
          <w:tcPr>
            <w:tcW w:type="dxa" w:w="936"/>
          </w:tcPr>
          <w:p>
            <w:pPr>
              <w:jc w:val="right"/>
            </w:pPr>
            <w:r>
              <w:rPr>
                <w:rFonts w:ascii="Times New Roman" w:hAnsi="Times New Roman"/>
                <w:sz w:val="17"/>
              </w:rPr>
              <w:t>123.790</w:t>
            </w:r>
          </w:p>
        </w:tc>
        <w:tc>
          <w:tcPr>
            <w:tcW w:type="dxa" w:w="936"/>
          </w:tcPr>
          <w:p>
            <w:pPr>
              <w:jc w:val="right"/>
            </w:pPr>
            <w:r>
              <w:rPr>
                <w:rFonts w:ascii="Times New Roman" w:hAnsi="Times New Roman"/>
                <w:sz w:val="17"/>
              </w:rPr>
              <w:t>396.948</w:t>
            </w:r>
          </w:p>
        </w:tc>
        <w:tc>
          <w:tcPr>
            <w:tcW w:type="dxa" w:w="936"/>
          </w:tcPr>
          <w:p>
            <w:pPr>
              <w:jc w:val="right"/>
            </w:pPr>
            <w:r>
              <w:rPr>
                <w:rFonts w:ascii="Times New Roman" w:hAnsi="Times New Roman"/>
                <w:sz w:val="17"/>
              </w:rPr>
              <w:t>990.099</w:t>
            </w:r>
          </w:p>
        </w:tc>
        <w:tc>
          <w:tcPr>
            <w:tcW w:type="dxa" w:w="936"/>
          </w:tcPr>
          <w:p>
            <w:pPr>
              <w:jc w:val="right"/>
            </w:pPr>
            <w:r>
              <w:rPr>
                <w:rFonts w:ascii="Times New Roman" w:hAnsi="Times New Roman"/>
                <w:sz w:val="17"/>
              </w:rPr>
              <w:t>0.000</w:t>
            </w:r>
          </w:p>
        </w:tc>
        <w:tc>
          <w:tcPr>
            <w:tcW w:type="dxa" w:w="936"/>
          </w:tcPr>
          <w:p>
            <w:pPr>
              <w:jc w:val="right"/>
            </w:pPr>
            <w:r>
              <w:rPr>
                <w:rFonts w:ascii="Times New Roman" w:hAnsi="Times New Roman"/>
                <w:sz w:val="17"/>
              </w:rPr>
              <w:t>64126.9</w:t>
            </w:r>
          </w:p>
        </w:tc>
      </w:tr>
      <w:tr>
        <w:tc>
          <w:tcPr>
            <w:tcW w:type="dxa" w:w="936"/>
          </w:tcPr>
          <w:p>
            <w:pPr>
              <w:jc w:val="left"/>
            </w:pPr>
            <w:r>
              <w:rPr>
                <w:rFonts w:ascii="Times New Roman" w:hAnsi="Times New Roman"/>
                <w:sz w:val="17"/>
              </w:rPr>
              <w:t>Vuli Harvest Yield (kg/ha)</w:t>
            </w:r>
          </w:p>
        </w:tc>
        <w:tc>
          <w:tcPr>
            <w:tcW w:type="dxa" w:w="936"/>
          </w:tcPr>
          <w:p>
            <w:pPr>
              <w:jc w:val="right"/>
            </w:pPr>
            <w:r>
              <w:rPr>
                <w:rFonts w:ascii="Times New Roman" w:hAnsi="Times New Roman"/>
                <w:sz w:val="17"/>
              </w:rPr>
              <w:t>Crop Production</w:t>
            </w:r>
          </w:p>
        </w:tc>
        <w:tc>
          <w:tcPr>
            <w:tcW w:type="dxa" w:w="936"/>
          </w:tcPr>
          <w:p>
            <w:pPr>
              <w:jc w:val="right"/>
            </w:pPr>
            <w:r>
              <w:rPr>
                <w:rFonts w:ascii="Times New Roman" w:hAnsi="Times New Roman"/>
                <w:sz w:val="17"/>
              </w:rPr>
              <w:t>4564</w:t>
            </w:r>
          </w:p>
        </w:tc>
        <w:tc>
          <w:tcPr>
            <w:tcW w:type="dxa" w:w="936"/>
          </w:tcPr>
          <w:p>
            <w:pPr>
              <w:jc w:val="right"/>
            </w:pPr>
            <w:r>
              <w:rPr>
                <w:rFonts w:ascii="Times New Roman" w:hAnsi="Times New Roman"/>
                <w:sz w:val="17"/>
              </w:rPr>
              <w:t>900.801</w:t>
            </w:r>
          </w:p>
        </w:tc>
        <w:tc>
          <w:tcPr>
            <w:tcW w:type="dxa" w:w="936"/>
          </w:tcPr>
          <w:p>
            <w:pPr>
              <w:jc w:val="right"/>
            </w:pPr>
            <w:r>
              <w:rPr>
                <w:rFonts w:ascii="Times New Roman" w:hAnsi="Times New Roman"/>
                <w:sz w:val="17"/>
              </w:rPr>
              <w:t>1952.2</w:t>
            </w:r>
          </w:p>
        </w:tc>
        <w:tc>
          <w:tcPr>
            <w:tcW w:type="dxa" w:w="936"/>
          </w:tcPr>
          <w:p>
            <w:pPr>
              <w:jc w:val="right"/>
            </w:pPr>
            <w:r>
              <w:rPr>
                <w:rFonts w:ascii="Times New Roman" w:hAnsi="Times New Roman"/>
                <w:sz w:val="17"/>
              </w:rPr>
              <w:t>123.583</w:t>
            </w:r>
          </w:p>
        </w:tc>
        <w:tc>
          <w:tcPr>
            <w:tcW w:type="dxa" w:w="936"/>
          </w:tcPr>
          <w:p>
            <w:pPr>
              <w:jc w:val="right"/>
            </w:pPr>
            <w:r>
              <w:rPr>
                <w:rFonts w:ascii="Times New Roman" w:hAnsi="Times New Roman"/>
                <w:sz w:val="17"/>
              </w:rPr>
              <w:t>414.339</w:t>
            </w:r>
          </w:p>
        </w:tc>
        <w:tc>
          <w:tcPr>
            <w:tcW w:type="dxa" w:w="936"/>
          </w:tcPr>
          <w:p>
            <w:pPr>
              <w:jc w:val="right"/>
            </w:pPr>
            <w:r>
              <w:rPr>
                <w:rFonts w:ascii="Times New Roman" w:hAnsi="Times New Roman"/>
                <w:sz w:val="17"/>
              </w:rPr>
              <w:t>998.043</w:t>
            </w:r>
          </w:p>
        </w:tc>
        <w:tc>
          <w:tcPr>
            <w:tcW w:type="dxa" w:w="936"/>
          </w:tcPr>
          <w:p>
            <w:pPr>
              <w:jc w:val="right"/>
            </w:pPr>
            <w:r>
              <w:rPr>
                <w:rFonts w:ascii="Times New Roman" w:hAnsi="Times New Roman"/>
                <w:sz w:val="17"/>
              </w:rPr>
              <w:t>0.000</w:t>
            </w:r>
          </w:p>
        </w:tc>
        <w:tc>
          <w:tcPr>
            <w:tcW w:type="dxa" w:w="936"/>
          </w:tcPr>
          <w:p>
            <w:pPr>
              <w:jc w:val="right"/>
            </w:pPr>
            <w:r>
              <w:rPr>
                <w:rFonts w:ascii="Times New Roman" w:hAnsi="Times New Roman"/>
                <w:sz w:val="17"/>
              </w:rPr>
              <w:t>59394.2</w:t>
            </w:r>
          </w:p>
        </w:tc>
      </w:tr>
      <w:tr>
        <w:tc>
          <w:tcPr>
            <w:tcW w:type="dxa" w:w="936"/>
          </w:tcPr>
          <w:p>
            <w:pPr>
              <w:jc w:val="left"/>
            </w:pPr>
            <w:r>
              <w:rPr>
                <w:rFonts w:ascii="Times New Roman" w:hAnsi="Times New Roman"/>
                <w:sz w:val="17"/>
              </w:rPr>
              <w:t>Seasonal Yield Difference (kg/ha)</w:t>
            </w:r>
          </w:p>
        </w:tc>
        <w:tc>
          <w:tcPr>
            <w:tcW w:type="dxa" w:w="936"/>
          </w:tcPr>
          <w:p>
            <w:pPr>
              <w:jc w:val="right"/>
            </w:pPr>
            <w:r>
              <w:rPr>
                <w:rFonts w:ascii="Times New Roman" w:hAnsi="Times New Roman"/>
                <w:sz w:val="17"/>
              </w:rPr>
              <w:t>Crop Production</w:t>
            </w:r>
          </w:p>
        </w:tc>
        <w:tc>
          <w:tcPr>
            <w:tcW w:type="dxa" w:w="936"/>
          </w:tcPr>
          <w:p>
            <w:pPr>
              <w:jc w:val="right"/>
            </w:pPr>
            <w:r>
              <w:rPr>
                <w:rFonts w:ascii="Times New Roman" w:hAnsi="Times New Roman"/>
                <w:sz w:val="17"/>
              </w:rPr>
              <w:t>4564</w:t>
            </w:r>
          </w:p>
        </w:tc>
        <w:tc>
          <w:tcPr>
            <w:tcW w:type="dxa" w:w="936"/>
          </w:tcPr>
          <w:p>
            <w:pPr>
              <w:jc w:val="right"/>
            </w:pPr>
            <w:r>
              <w:rPr>
                <w:rFonts w:ascii="Times New Roman" w:hAnsi="Times New Roman"/>
                <w:sz w:val="17"/>
              </w:rPr>
              <w:t>883.520</w:t>
            </w:r>
          </w:p>
        </w:tc>
        <w:tc>
          <w:tcPr>
            <w:tcW w:type="dxa" w:w="936"/>
          </w:tcPr>
          <w:p>
            <w:pPr>
              <w:jc w:val="right"/>
            </w:pPr>
            <w:r>
              <w:rPr>
                <w:rFonts w:ascii="Times New Roman" w:hAnsi="Times New Roman"/>
                <w:sz w:val="17"/>
              </w:rPr>
              <w:t>2170.2</w:t>
            </w:r>
          </w:p>
        </w:tc>
        <w:tc>
          <w:tcPr>
            <w:tcW w:type="dxa" w:w="936"/>
          </w:tcPr>
          <w:p>
            <w:pPr>
              <w:jc w:val="right"/>
            </w:pPr>
            <w:r>
              <w:rPr>
                <w:rFonts w:ascii="Times New Roman" w:hAnsi="Times New Roman"/>
                <w:sz w:val="17"/>
              </w:rPr>
              <w:t>133.499</w:t>
            </w:r>
          </w:p>
        </w:tc>
        <w:tc>
          <w:tcPr>
            <w:tcW w:type="dxa" w:w="936"/>
          </w:tcPr>
          <w:p>
            <w:pPr>
              <w:jc w:val="right"/>
            </w:pPr>
            <w:r>
              <w:rPr>
                <w:rFonts w:ascii="Times New Roman" w:hAnsi="Times New Roman"/>
                <w:sz w:val="17"/>
              </w:rPr>
              <w:t>353.581</w:t>
            </w:r>
          </w:p>
        </w:tc>
        <w:tc>
          <w:tcPr>
            <w:tcW w:type="dxa" w:w="936"/>
          </w:tcPr>
          <w:p>
            <w:pPr>
              <w:jc w:val="right"/>
            </w:pPr>
            <w:r>
              <w:rPr>
                <w:rFonts w:ascii="Times New Roman" w:hAnsi="Times New Roman"/>
                <w:sz w:val="17"/>
              </w:rPr>
              <w:t>872.511</w:t>
            </w:r>
          </w:p>
        </w:tc>
        <w:tc>
          <w:tcPr>
            <w:tcW w:type="dxa" w:w="936"/>
          </w:tcPr>
          <w:p>
            <w:pPr>
              <w:jc w:val="right"/>
            </w:pPr>
            <w:r>
              <w:rPr>
                <w:rFonts w:ascii="Times New Roman" w:hAnsi="Times New Roman"/>
                <w:sz w:val="17"/>
              </w:rPr>
              <w:t>0.000</w:t>
            </w:r>
          </w:p>
        </w:tc>
        <w:tc>
          <w:tcPr>
            <w:tcW w:type="dxa" w:w="936"/>
          </w:tcPr>
          <w:p>
            <w:pPr>
              <w:jc w:val="right"/>
            </w:pPr>
            <w:r>
              <w:rPr>
                <w:rFonts w:ascii="Times New Roman" w:hAnsi="Times New Roman"/>
                <w:sz w:val="17"/>
              </w:rPr>
              <w:t>62855.2</w:t>
            </w:r>
          </w:p>
        </w:tc>
      </w:tr>
      <w:tr>
        <w:tc>
          <w:tcPr>
            <w:tcW w:type="dxa" w:w="936"/>
          </w:tcPr>
          <w:p>
            <w:pPr>
              <w:jc w:val="left"/>
            </w:pPr>
            <w:r>
              <w:rPr>
                <w:rFonts w:ascii="Times New Roman" w:hAnsi="Times New Roman"/>
                <w:sz w:val="17"/>
              </w:rPr>
              <w:t>Total Cultivated Area (ha)</w:t>
            </w:r>
          </w:p>
        </w:tc>
        <w:tc>
          <w:tcPr>
            <w:tcW w:type="dxa" w:w="936"/>
          </w:tcPr>
          <w:p>
            <w:pPr>
              <w:jc w:val="right"/>
            </w:pPr>
            <w:r>
              <w:rPr>
                <w:rFonts w:ascii="Times New Roman" w:hAnsi="Times New Roman"/>
                <w:sz w:val="17"/>
              </w:rPr>
              <w:t>Farm Structure</w:t>
            </w:r>
          </w:p>
        </w:tc>
        <w:tc>
          <w:tcPr>
            <w:tcW w:type="dxa" w:w="936"/>
          </w:tcPr>
          <w:p>
            <w:pPr>
              <w:jc w:val="right"/>
            </w:pPr>
            <w:r>
              <w:rPr>
                <w:rFonts w:ascii="Times New Roman" w:hAnsi="Times New Roman"/>
                <w:sz w:val="17"/>
              </w:rPr>
              <w:t>4564</w:t>
            </w:r>
          </w:p>
        </w:tc>
        <w:tc>
          <w:tcPr>
            <w:tcW w:type="dxa" w:w="936"/>
          </w:tcPr>
          <w:p>
            <w:pPr>
              <w:jc w:val="right"/>
            </w:pPr>
            <w:r>
              <w:rPr>
                <w:rFonts w:ascii="Times New Roman" w:hAnsi="Times New Roman"/>
                <w:sz w:val="17"/>
              </w:rPr>
              <w:t>16.646</w:t>
            </w:r>
          </w:p>
        </w:tc>
        <w:tc>
          <w:tcPr>
            <w:tcW w:type="dxa" w:w="936"/>
          </w:tcPr>
          <w:p>
            <w:pPr>
              <w:jc w:val="right"/>
            </w:pPr>
            <w:r>
              <w:rPr>
                <w:rFonts w:ascii="Times New Roman" w:hAnsi="Times New Roman"/>
                <w:sz w:val="17"/>
              </w:rPr>
              <w:t>140.553</w:t>
            </w:r>
          </w:p>
        </w:tc>
        <w:tc>
          <w:tcPr>
            <w:tcW w:type="dxa" w:w="936"/>
          </w:tcPr>
          <w:p>
            <w:pPr>
              <w:jc w:val="right"/>
            </w:pPr>
            <w:r>
              <w:rPr>
                <w:rFonts w:ascii="Times New Roman" w:hAnsi="Times New Roman"/>
                <w:sz w:val="17"/>
              </w:rPr>
              <w:t>1.000</w:t>
            </w:r>
          </w:p>
        </w:tc>
        <w:tc>
          <w:tcPr>
            <w:tcW w:type="dxa" w:w="936"/>
          </w:tcPr>
          <w:p>
            <w:pPr>
              <w:jc w:val="right"/>
            </w:pPr>
            <w:r>
              <w:rPr>
                <w:rFonts w:ascii="Times New Roman" w:hAnsi="Times New Roman"/>
                <w:sz w:val="17"/>
              </w:rPr>
              <w:t>2.020</w:t>
            </w:r>
          </w:p>
        </w:tc>
        <w:tc>
          <w:tcPr>
            <w:tcW w:type="dxa" w:w="936"/>
          </w:tcPr>
          <w:p>
            <w:pPr>
              <w:jc w:val="right"/>
            </w:pPr>
            <w:r>
              <w:rPr>
                <w:rFonts w:ascii="Times New Roman" w:hAnsi="Times New Roman"/>
                <w:sz w:val="17"/>
              </w:rPr>
              <w:t>4.047</w:t>
            </w:r>
          </w:p>
        </w:tc>
        <w:tc>
          <w:tcPr>
            <w:tcW w:type="dxa" w:w="936"/>
          </w:tcPr>
          <w:p>
            <w:pPr>
              <w:jc w:val="right"/>
            </w:pPr>
            <w:r>
              <w:rPr>
                <w:rFonts w:ascii="Times New Roman" w:hAnsi="Times New Roman"/>
                <w:sz w:val="17"/>
              </w:rPr>
              <w:t>0.006</w:t>
            </w:r>
          </w:p>
        </w:tc>
        <w:tc>
          <w:tcPr>
            <w:tcW w:type="dxa" w:w="936"/>
          </w:tcPr>
          <w:p>
            <w:pPr>
              <w:jc w:val="right"/>
            </w:pPr>
            <w:r>
              <w:rPr>
                <w:rFonts w:ascii="Times New Roman" w:hAnsi="Times New Roman"/>
                <w:sz w:val="17"/>
              </w:rPr>
              <w:t>3723.1</w:t>
            </w:r>
          </w:p>
        </w:tc>
      </w:tr>
      <w:tr>
        <w:tc>
          <w:tcPr>
            <w:tcW w:type="dxa" w:w="936"/>
          </w:tcPr>
          <w:p>
            <w:pPr>
              <w:jc w:val="left"/>
            </w:pPr>
            <w:r>
              <w:rPr>
                <w:rFonts w:ascii="Times New Roman" w:hAnsi="Times New Roman"/>
                <w:sz w:val="17"/>
              </w:rPr>
              <w:t>Masika Plot Area (ha)</w:t>
            </w:r>
          </w:p>
        </w:tc>
        <w:tc>
          <w:tcPr>
            <w:tcW w:type="dxa" w:w="936"/>
          </w:tcPr>
          <w:p>
            <w:pPr>
              <w:jc w:val="right"/>
            </w:pPr>
            <w:r>
              <w:rPr>
                <w:rFonts w:ascii="Times New Roman" w:hAnsi="Times New Roman"/>
                <w:sz w:val="17"/>
              </w:rPr>
              <w:t>Farm Structure</w:t>
            </w:r>
          </w:p>
        </w:tc>
        <w:tc>
          <w:tcPr>
            <w:tcW w:type="dxa" w:w="936"/>
          </w:tcPr>
          <w:p>
            <w:pPr>
              <w:jc w:val="right"/>
            </w:pPr>
            <w:r>
              <w:rPr>
                <w:rFonts w:ascii="Times New Roman" w:hAnsi="Times New Roman"/>
                <w:sz w:val="17"/>
              </w:rPr>
              <w:t>4564</w:t>
            </w:r>
          </w:p>
        </w:tc>
        <w:tc>
          <w:tcPr>
            <w:tcW w:type="dxa" w:w="936"/>
          </w:tcPr>
          <w:p>
            <w:pPr>
              <w:jc w:val="right"/>
            </w:pPr>
            <w:r>
              <w:rPr>
                <w:rFonts w:ascii="Times New Roman" w:hAnsi="Times New Roman"/>
                <w:sz w:val="17"/>
              </w:rPr>
              <w:t>8.285</w:t>
            </w:r>
          </w:p>
        </w:tc>
        <w:tc>
          <w:tcPr>
            <w:tcW w:type="dxa" w:w="936"/>
          </w:tcPr>
          <w:p>
            <w:pPr>
              <w:jc w:val="right"/>
            </w:pPr>
            <w:r>
              <w:rPr>
                <w:rFonts w:ascii="Times New Roman" w:hAnsi="Times New Roman"/>
                <w:sz w:val="17"/>
              </w:rPr>
              <w:t>70.309</w:t>
            </w:r>
          </w:p>
        </w:tc>
        <w:tc>
          <w:tcPr>
            <w:tcW w:type="dxa" w:w="936"/>
          </w:tcPr>
          <w:p>
            <w:pPr>
              <w:jc w:val="right"/>
            </w:pPr>
            <w:r>
              <w:rPr>
                <w:rFonts w:ascii="Times New Roman" w:hAnsi="Times New Roman"/>
                <w:sz w:val="17"/>
              </w:rPr>
              <w:t>0.431</w:t>
            </w:r>
          </w:p>
        </w:tc>
        <w:tc>
          <w:tcPr>
            <w:tcW w:type="dxa" w:w="936"/>
          </w:tcPr>
          <w:p>
            <w:pPr>
              <w:jc w:val="right"/>
            </w:pPr>
            <w:r>
              <w:rPr>
                <w:rFonts w:ascii="Times New Roman" w:hAnsi="Times New Roman"/>
                <w:sz w:val="17"/>
              </w:rPr>
              <w:t>1.001</w:t>
            </w:r>
          </w:p>
        </w:tc>
        <w:tc>
          <w:tcPr>
            <w:tcW w:type="dxa" w:w="936"/>
          </w:tcPr>
          <w:p>
            <w:pPr>
              <w:jc w:val="right"/>
            </w:pPr>
            <w:r>
              <w:rPr>
                <w:rFonts w:ascii="Times New Roman" w:hAnsi="Times New Roman"/>
                <w:sz w:val="17"/>
              </w:rPr>
              <w:t>2.023</w:t>
            </w:r>
          </w:p>
        </w:tc>
        <w:tc>
          <w:tcPr>
            <w:tcW w:type="dxa" w:w="936"/>
          </w:tcPr>
          <w:p>
            <w:pPr>
              <w:jc w:val="right"/>
            </w:pPr>
            <w:r>
              <w:rPr>
                <w:rFonts w:ascii="Times New Roman" w:hAnsi="Times New Roman"/>
                <w:sz w:val="17"/>
              </w:rPr>
              <w:t>0.003</w:t>
            </w:r>
          </w:p>
        </w:tc>
        <w:tc>
          <w:tcPr>
            <w:tcW w:type="dxa" w:w="936"/>
          </w:tcPr>
          <w:p>
            <w:pPr>
              <w:jc w:val="right"/>
            </w:pPr>
            <w:r>
              <w:rPr>
                <w:rFonts w:ascii="Times New Roman" w:hAnsi="Times New Roman"/>
                <w:sz w:val="17"/>
              </w:rPr>
              <w:t>1861.6</w:t>
            </w:r>
          </w:p>
        </w:tc>
      </w:tr>
      <w:tr>
        <w:tc>
          <w:tcPr>
            <w:tcW w:type="dxa" w:w="936"/>
          </w:tcPr>
          <w:p>
            <w:pPr>
              <w:jc w:val="left"/>
            </w:pPr>
            <w:r>
              <w:rPr>
                <w:rFonts w:ascii="Times New Roman" w:hAnsi="Times New Roman"/>
                <w:sz w:val="17"/>
              </w:rPr>
              <w:t>Vuli Plot Area (ha)</w:t>
            </w:r>
          </w:p>
        </w:tc>
        <w:tc>
          <w:tcPr>
            <w:tcW w:type="dxa" w:w="936"/>
          </w:tcPr>
          <w:p>
            <w:pPr>
              <w:jc w:val="right"/>
            </w:pPr>
            <w:r>
              <w:rPr>
                <w:rFonts w:ascii="Times New Roman" w:hAnsi="Times New Roman"/>
                <w:sz w:val="17"/>
              </w:rPr>
              <w:t>Farm Structure</w:t>
            </w:r>
          </w:p>
        </w:tc>
        <w:tc>
          <w:tcPr>
            <w:tcW w:type="dxa" w:w="936"/>
          </w:tcPr>
          <w:p>
            <w:pPr>
              <w:jc w:val="right"/>
            </w:pPr>
            <w:r>
              <w:rPr>
                <w:rFonts w:ascii="Times New Roman" w:hAnsi="Times New Roman"/>
                <w:sz w:val="17"/>
              </w:rPr>
              <w:t>4564</w:t>
            </w:r>
          </w:p>
        </w:tc>
        <w:tc>
          <w:tcPr>
            <w:tcW w:type="dxa" w:w="936"/>
          </w:tcPr>
          <w:p>
            <w:pPr>
              <w:jc w:val="right"/>
            </w:pPr>
            <w:r>
              <w:rPr>
                <w:rFonts w:ascii="Times New Roman" w:hAnsi="Times New Roman"/>
                <w:sz w:val="17"/>
              </w:rPr>
              <w:t>8.361</w:t>
            </w:r>
          </w:p>
        </w:tc>
        <w:tc>
          <w:tcPr>
            <w:tcW w:type="dxa" w:w="936"/>
          </w:tcPr>
          <w:p>
            <w:pPr>
              <w:jc w:val="right"/>
            </w:pPr>
            <w:r>
              <w:rPr>
                <w:rFonts w:ascii="Times New Roman" w:hAnsi="Times New Roman"/>
                <w:sz w:val="17"/>
              </w:rPr>
              <w:t>70.320</w:t>
            </w:r>
          </w:p>
        </w:tc>
        <w:tc>
          <w:tcPr>
            <w:tcW w:type="dxa" w:w="936"/>
          </w:tcPr>
          <w:p>
            <w:pPr>
              <w:jc w:val="right"/>
            </w:pPr>
            <w:r>
              <w:rPr>
                <w:rFonts w:ascii="Times New Roman" w:hAnsi="Times New Roman"/>
                <w:sz w:val="17"/>
              </w:rPr>
              <w:t>0.425</w:t>
            </w:r>
          </w:p>
        </w:tc>
        <w:tc>
          <w:tcPr>
            <w:tcW w:type="dxa" w:w="936"/>
          </w:tcPr>
          <w:p>
            <w:pPr>
              <w:jc w:val="right"/>
            </w:pPr>
            <w:r>
              <w:rPr>
                <w:rFonts w:ascii="Times New Roman" w:hAnsi="Times New Roman"/>
                <w:sz w:val="17"/>
              </w:rPr>
              <w:t>0.994</w:t>
            </w:r>
          </w:p>
        </w:tc>
        <w:tc>
          <w:tcPr>
            <w:tcW w:type="dxa" w:w="936"/>
          </w:tcPr>
          <w:p>
            <w:pPr>
              <w:jc w:val="right"/>
            </w:pPr>
            <w:r>
              <w:rPr>
                <w:rFonts w:ascii="Times New Roman" w:hAnsi="Times New Roman"/>
                <w:sz w:val="17"/>
              </w:rPr>
              <w:t>2.030</w:t>
            </w:r>
          </w:p>
        </w:tc>
        <w:tc>
          <w:tcPr>
            <w:tcW w:type="dxa" w:w="936"/>
          </w:tcPr>
          <w:p>
            <w:pPr>
              <w:jc w:val="right"/>
            </w:pPr>
            <w:r>
              <w:rPr>
                <w:rFonts w:ascii="Times New Roman" w:hAnsi="Times New Roman"/>
                <w:sz w:val="17"/>
              </w:rPr>
              <w:t>0.001</w:t>
            </w:r>
          </w:p>
        </w:tc>
        <w:tc>
          <w:tcPr>
            <w:tcW w:type="dxa" w:w="936"/>
          </w:tcPr>
          <w:p>
            <w:pPr>
              <w:jc w:val="right"/>
            </w:pPr>
            <w:r>
              <w:rPr>
                <w:rFonts w:ascii="Times New Roman" w:hAnsi="Times New Roman"/>
                <w:sz w:val="17"/>
              </w:rPr>
              <w:t>1861.6</w:t>
            </w:r>
          </w:p>
        </w:tc>
      </w:tr>
      <w:tr>
        <w:tc>
          <w:tcPr>
            <w:tcW w:type="dxa" w:w="936"/>
          </w:tcPr>
          <w:p>
            <w:pPr>
              <w:jc w:val="left"/>
            </w:pPr>
            <w:r>
              <w:rPr>
                <w:rFonts w:ascii="Times New Roman" w:hAnsi="Times New Roman"/>
                <w:sz w:val="17"/>
              </w:rPr>
              <w:t>Inorganic Fertilizer Applied (kg)</w:t>
            </w:r>
          </w:p>
        </w:tc>
        <w:tc>
          <w:tcPr>
            <w:tcW w:type="dxa" w:w="936"/>
          </w:tcPr>
          <w:p>
            <w:pPr>
              <w:jc w:val="right"/>
            </w:pPr>
            <w:r>
              <w:rPr>
                <w:rFonts w:ascii="Times New Roman" w:hAnsi="Times New Roman"/>
                <w:sz w:val="17"/>
              </w:rPr>
              <w:t>Input Intensification</w:t>
            </w:r>
          </w:p>
        </w:tc>
        <w:tc>
          <w:tcPr>
            <w:tcW w:type="dxa" w:w="936"/>
          </w:tcPr>
          <w:p>
            <w:pPr>
              <w:jc w:val="right"/>
            </w:pPr>
            <w:r>
              <w:rPr>
                <w:rFonts w:ascii="Times New Roman" w:hAnsi="Times New Roman"/>
                <w:sz w:val="17"/>
              </w:rPr>
              <w:t>4564</w:t>
            </w:r>
          </w:p>
        </w:tc>
        <w:tc>
          <w:tcPr>
            <w:tcW w:type="dxa" w:w="936"/>
          </w:tcPr>
          <w:p>
            <w:pPr>
              <w:jc w:val="right"/>
            </w:pPr>
            <w:r>
              <w:rPr>
                <w:rFonts w:ascii="Times New Roman" w:hAnsi="Times New Roman"/>
                <w:sz w:val="17"/>
              </w:rPr>
              <w:t>1086.3</w:t>
            </w:r>
          </w:p>
        </w:tc>
        <w:tc>
          <w:tcPr>
            <w:tcW w:type="dxa" w:w="936"/>
          </w:tcPr>
          <w:p>
            <w:pPr>
              <w:jc w:val="right"/>
            </w:pPr>
            <w:r>
              <w:rPr>
                <w:rFonts w:ascii="Times New Roman" w:hAnsi="Times New Roman"/>
                <w:sz w:val="17"/>
              </w:rPr>
              <w:t>41528.4</w:t>
            </w:r>
          </w:p>
        </w:tc>
        <w:tc>
          <w:tcPr>
            <w:tcW w:type="dxa" w:w="936"/>
          </w:tcPr>
          <w:p>
            <w:pPr>
              <w:jc w:val="right"/>
            </w:pPr>
            <w:r>
              <w:rPr>
                <w:rFonts w:ascii="Times New Roman" w:hAnsi="Times New Roman"/>
                <w:sz w:val="17"/>
              </w:rPr>
              <w:t>0.000</w:t>
            </w:r>
          </w:p>
        </w:tc>
        <w:tc>
          <w:tcPr>
            <w:tcW w:type="dxa" w:w="936"/>
          </w:tcPr>
          <w:p>
            <w:pPr>
              <w:jc w:val="right"/>
            </w:pPr>
            <w:r>
              <w:rPr>
                <w:rFonts w:ascii="Times New Roman" w:hAnsi="Times New Roman"/>
                <w:sz w:val="17"/>
              </w:rPr>
              <w:t>0.000</w:t>
            </w:r>
          </w:p>
        </w:tc>
        <w:tc>
          <w:tcPr>
            <w:tcW w:type="dxa" w:w="936"/>
          </w:tcPr>
          <w:p>
            <w:pPr>
              <w:jc w:val="right"/>
            </w:pPr>
            <w:r>
              <w:rPr>
                <w:rFonts w:ascii="Times New Roman" w:hAnsi="Times New Roman"/>
                <w:sz w:val="17"/>
              </w:rPr>
              <w:t>20.000</w:t>
            </w:r>
          </w:p>
        </w:tc>
        <w:tc>
          <w:tcPr>
            <w:tcW w:type="dxa" w:w="936"/>
          </w:tcPr>
          <w:p>
            <w:pPr>
              <w:jc w:val="right"/>
            </w:pPr>
            <w:r>
              <w:rPr>
                <w:rFonts w:ascii="Times New Roman" w:hAnsi="Times New Roman"/>
                <w:sz w:val="17"/>
              </w:rPr>
              <w:t>0.000</w:t>
            </w:r>
          </w:p>
        </w:tc>
        <w:tc>
          <w:tcPr>
            <w:tcW w:type="dxa" w:w="936"/>
          </w:tcPr>
          <w:p>
            <w:pPr>
              <w:jc w:val="right"/>
            </w:pPr>
            <w:r>
              <w:rPr>
                <w:rFonts w:ascii="Times New Roman" w:hAnsi="Times New Roman"/>
                <w:sz w:val="17"/>
              </w:rPr>
              <w:t>2733766.7</w:t>
            </w:r>
          </w:p>
        </w:tc>
      </w:tr>
      <w:tr>
        <w:tc>
          <w:tcPr>
            <w:tcW w:type="dxa" w:w="936"/>
          </w:tcPr>
          <w:p>
            <w:pPr>
              <w:jc w:val="left"/>
            </w:pPr>
            <w:r>
              <w:rPr>
                <w:rFonts w:ascii="Times New Roman" w:hAnsi="Times New Roman"/>
                <w:sz w:val="17"/>
              </w:rPr>
              <w:t>Pesticide Applied (L or kg)</w:t>
            </w:r>
          </w:p>
        </w:tc>
        <w:tc>
          <w:tcPr>
            <w:tcW w:type="dxa" w:w="936"/>
          </w:tcPr>
          <w:p>
            <w:pPr>
              <w:jc w:val="right"/>
            </w:pPr>
            <w:r>
              <w:rPr>
                <w:rFonts w:ascii="Times New Roman" w:hAnsi="Times New Roman"/>
                <w:sz w:val="17"/>
              </w:rPr>
              <w:t>Input Intensification</w:t>
            </w:r>
          </w:p>
        </w:tc>
        <w:tc>
          <w:tcPr>
            <w:tcW w:type="dxa" w:w="936"/>
          </w:tcPr>
          <w:p>
            <w:pPr>
              <w:jc w:val="right"/>
            </w:pPr>
            <w:r>
              <w:rPr>
                <w:rFonts w:ascii="Times New Roman" w:hAnsi="Times New Roman"/>
                <w:sz w:val="17"/>
              </w:rPr>
              <w:t>4564</w:t>
            </w:r>
          </w:p>
        </w:tc>
        <w:tc>
          <w:tcPr>
            <w:tcW w:type="dxa" w:w="936"/>
          </w:tcPr>
          <w:p>
            <w:pPr>
              <w:jc w:val="right"/>
            </w:pPr>
            <w:r>
              <w:rPr>
                <w:rFonts w:ascii="Times New Roman" w:hAnsi="Times New Roman"/>
                <w:sz w:val="17"/>
              </w:rPr>
              <w:t>118.260</w:t>
            </w:r>
          </w:p>
        </w:tc>
        <w:tc>
          <w:tcPr>
            <w:tcW w:type="dxa" w:w="936"/>
          </w:tcPr>
          <w:p>
            <w:pPr>
              <w:jc w:val="right"/>
            </w:pPr>
            <w:r>
              <w:rPr>
                <w:rFonts w:ascii="Times New Roman" w:hAnsi="Times New Roman"/>
                <w:sz w:val="17"/>
              </w:rPr>
              <w:t>1613.4</w:t>
            </w:r>
          </w:p>
        </w:tc>
        <w:tc>
          <w:tcPr>
            <w:tcW w:type="dxa" w:w="936"/>
          </w:tcPr>
          <w:p>
            <w:pPr>
              <w:jc w:val="right"/>
            </w:pPr>
            <w:r>
              <w:rPr>
                <w:rFonts w:ascii="Times New Roman" w:hAnsi="Times New Roman"/>
                <w:sz w:val="17"/>
              </w:rPr>
              <w:t>0.000</w:t>
            </w:r>
          </w:p>
        </w:tc>
        <w:tc>
          <w:tcPr>
            <w:tcW w:type="dxa" w:w="936"/>
          </w:tcPr>
          <w:p>
            <w:pPr>
              <w:jc w:val="right"/>
            </w:pPr>
            <w:r>
              <w:rPr>
                <w:rFonts w:ascii="Times New Roman" w:hAnsi="Times New Roman"/>
                <w:sz w:val="17"/>
              </w:rPr>
              <w:t>0.000</w:t>
            </w:r>
          </w:p>
        </w:tc>
        <w:tc>
          <w:tcPr>
            <w:tcW w:type="dxa" w:w="936"/>
          </w:tcPr>
          <w:p>
            <w:pPr>
              <w:jc w:val="right"/>
            </w:pPr>
            <w:r>
              <w:rPr>
                <w:rFonts w:ascii="Times New Roman" w:hAnsi="Times New Roman"/>
                <w:sz w:val="17"/>
              </w:rPr>
              <w:t>5.638</w:t>
            </w:r>
          </w:p>
        </w:tc>
        <w:tc>
          <w:tcPr>
            <w:tcW w:type="dxa" w:w="936"/>
          </w:tcPr>
          <w:p>
            <w:pPr>
              <w:jc w:val="right"/>
            </w:pPr>
            <w:r>
              <w:rPr>
                <w:rFonts w:ascii="Times New Roman" w:hAnsi="Times New Roman"/>
                <w:sz w:val="17"/>
              </w:rPr>
              <w:t>0.000</w:t>
            </w:r>
          </w:p>
        </w:tc>
        <w:tc>
          <w:tcPr>
            <w:tcW w:type="dxa" w:w="936"/>
          </w:tcPr>
          <w:p>
            <w:pPr>
              <w:jc w:val="right"/>
            </w:pPr>
            <w:r>
              <w:rPr>
                <w:rFonts w:ascii="Times New Roman" w:hAnsi="Times New Roman"/>
                <w:sz w:val="17"/>
              </w:rPr>
              <w:t>96500.0</w:t>
            </w:r>
          </w:p>
        </w:tc>
      </w:tr>
      <w:tr>
        <w:tc>
          <w:tcPr>
            <w:tcW w:type="dxa" w:w="936"/>
          </w:tcPr>
          <w:p>
            <w:pPr>
              <w:jc w:val="left"/>
            </w:pPr>
            <w:r>
              <w:rPr>
                <w:rFonts w:ascii="Times New Roman" w:hAnsi="Times New Roman"/>
                <w:sz w:val="17"/>
              </w:rPr>
              <w:t>Shannon Crop Diversity Index</w:t>
            </w:r>
          </w:p>
        </w:tc>
        <w:tc>
          <w:tcPr>
            <w:tcW w:type="dxa" w:w="936"/>
          </w:tcPr>
          <w:p>
            <w:pPr>
              <w:jc w:val="right"/>
            </w:pPr>
            <w:r>
              <w:rPr>
                <w:rFonts w:ascii="Times New Roman" w:hAnsi="Times New Roman"/>
                <w:sz w:val="17"/>
              </w:rPr>
              <w:t>Crop Diversification</w:t>
            </w:r>
          </w:p>
        </w:tc>
        <w:tc>
          <w:tcPr>
            <w:tcW w:type="dxa" w:w="936"/>
          </w:tcPr>
          <w:p>
            <w:pPr>
              <w:jc w:val="right"/>
            </w:pPr>
            <w:r>
              <w:rPr>
                <w:rFonts w:ascii="Times New Roman" w:hAnsi="Times New Roman"/>
                <w:sz w:val="17"/>
              </w:rPr>
              <w:t>4564</w:t>
            </w:r>
          </w:p>
        </w:tc>
        <w:tc>
          <w:tcPr>
            <w:tcW w:type="dxa" w:w="936"/>
          </w:tcPr>
          <w:p>
            <w:pPr>
              <w:jc w:val="right"/>
            </w:pPr>
            <w:r>
              <w:rPr>
                <w:rFonts w:ascii="Times New Roman" w:hAnsi="Times New Roman"/>
                <w:sz w:val="17"/>
              </w:rPr>
              <w:t>0.180</w:t>
            </w:r>
          </w:p>
        </w:tc>
        <w:tc>
          <w:tcPr>
            <w:tcW w:type="dxa" w:w="936"/>
          </w:tcPr>
          <w:p>
            <w:pPr>
              <w:jc w:val="right"/>
            </w:pPr>
            <w:r>
              <w:rPr>
                <w:rFonts w:ascii="Times New Roman" w:hAnsi="Times New Roman"/>
                <w:sz w:val="17"/>
              </w:rPr>
              <w:t>0.310</w:t>
            </w:r>
          </w:p>
        </w:tc>
        <w:tc>
          <w:tcPr>
            <w:tcW w:type="dxa" w:w="936"/>
          </w:tcPr>
          <w:p>
            <w:pPr>
              <w:jc w:val="right"/>
            </w:pPr>
            <w:r>
              <w:rPr>
                <w:rFonts w:ascii="Times New Roman" w:hAnsi="Times New Roman"/>
                <w:sz w:val="17"/>
              </w:rPr>
              <w:t>-0.000</w:t>
            </w:r>
          </w:p>
        </w:tc>
        <w:tc>
          <w:tcPr>
            <w:tcW w:type="dxa" w:w="936"/>
          </w:tcPr>
          <w:p>
            <w:pPr>
              <w:jc w:val="right"/>
            </w:pPr>
            <w:r>
              <w:rPr>
                <w:rFonts w:ascii="Times New Roman" w:hAnsi="Times New Roman"/>
                <w:sz w:val="17"/>
              </w:rPr>
              <w:t>0.000</w:t>
            </w:r>
          </w:p>
        </w:tc>
        <w:tc>
          <w:tcPr>
            <w:tcW w:type="dxa" w:w="936"/>
          </w:tcPr>
          <w:p>
            <w:pPr>
              <w:jc w:val="right"/>
            </w:pPr>
            <w:r>
              <w:rPr>
                <w:rFonts w:ascii="Times New Roman" w:hAnsi="Times New Roman"/>
                <w:sz w:val="17"/>
              </w:rPr>
              <w:t>0.342</w:t>
            </w:r>
          </w:p>
        </w:tc>
        <w:tc>
          <w:tcPr>
            <w:tcW w:type="dxa" w:w="936"/>
          </w:tcPr>
          <w:p>
            <w:pPr>
              <w:jc w:val="right"/>
            </w:pPr>
            <w:r>
              <w:rPr>
                <w:rFonts w:ascii="Times New Roman" w:hAnsi="Times New Roman"/>
                <w:sz w:val="17"/>
              </w:rPr>
              <w:t>-0.000</w:t>
            </w:r>
          </w:p>
        </w:tc>
        <w:tc>
          <w:tcPr>
            <w:tcW w:type="dxa" w:w="936"/>
          </w:tcPr>
          <w:p>
            <w:pPr>
              <w:jc w:val="right"/>
            </w:pPr>
            <w:r>
              <w:rPr>
                <w:rFonts w:ascii="Times New Roman" w:hAnsi="Times New Roman"/>
                <w:sz w:val="17"/>
              </w:rPr>
              <w:t>1.688</w:t>
            </w:r>
          </w:p>
        </w:tc>
      </w:tr>
      <w:tr>
        <w:tc>
          <w:tcPr>
            <w:tcW w:type="dxa" w:w="936"/>
          </w:tcPr>
          <w:p>
            <w:pPr>
              <w:jc w:val="left"/>
            </w:pPr>
            <w:r>
              <w:rPr>
                <w:rFonts w:ascii="Times New Roman" w:hAnsi="Times New Roman"/>
                <w:sz w:val="17"/>
              </w:rPr>
              <w:t>Plot Fragmentation CV</w:t>
            </w:r>
          </w:p>
        </w:tc>
        <w:tc>
          <w:tcPr>
            <w:tcW w:type="dxa" w:w="936"/>
          </w:tcPr>
          <w:p>
            <w:pPr>
              <w:jc w:val="right"/>
            </w:pPr>
            <w:r>
              <w:rPr>
                <w:rFonts w:ascii="Times New Roman" w:hAnsi="Times New Roman"/>
                <w:sz w:val="17"/>
              </w:rPr>
              <w:t>Plot Heterogeneity</w:t>
            </w:r>
          </w:p>
        </w:tc>
        <w:tc>
          <w:tcPr>
            <w:tcW w:type="dxa" w:w="936"/>
          </w:tcPr>
          <w:p>
            <w:pPr>
              <w:jc w:val="right"/>
            </w:pPr>
            <w:r>
              <w:rPr>
                <w:rFonts w:ascii="Times New Roman" w:hAnsi="Times New Roman"/>
                <w:sz w:val="17"/>
              </w:rPr>
              <w:t>4564</w:t>
            </w:r>
          </w:p>
        </w:tc>
        <w:tc>
          <w:tcPr>
            <w:tcW w:type="dxa" w:w="936"/>
          </w:tcPr>
          <w:p>
            <w:pPr>
              <w:jc w:val="right"/>
            </w:pPr>
            <w:r>
              <w:rPr>
                <w:rFonts w:ascii="Times New Roman" w:hAnsi="Times New Roman"/>
                <w:sz w:val="17"/>
              </w:rPr>
              <w:t>0.305</w:t>
            </w:r>
          </w:p>
        </w:tc>
        <w:tc>
          <w:tcPr>
            <w:tcW w:type="dxa" w:w="936"/>
          </w:tcPr>
          <w:p>
            <w:pPr>
              <w:jc w:val="right"/>
            </w:pPr>
            <w:r>
              <w:rPr>
                <w:rFonts w:ascii="Times New Roman" w:hAnsi="Times New Roman"/>
                <w:sz w:val="17"/>
              </w:rPr>
              <w:t>0.376</w:t>
            </w:r>
          </w:p>
        </w:tc>
        <w:tc>
          <w:tcPr>
            <w:tcW w:type="dxa" w:w="936"/>
          </w:tcPr>
          <w:p>
            <w:pPr>
              <w:jc w:val="right"/>
            </w:pPr>
            <w:r>
              <w:rPr>
                <w:rFonts w:ascii="Times New Roman" w:hAnsi="Times New Roman"/>
                <w:sz w:val="17"/>
              </w:rPr>
              <w:t>0.000</w:t>
            </w:r>
          </w:p>
        </w:tc>
        <w:tc>
          <w:tcPr>
            <w:tcW w:type="dxa" w:w="936"/>
          </w:tcPr>
          <w:p>
            <w:pPr>
              <w:jc w:val="right"/>
            </w:pPr>
            <w:r>
              <w:rPr>
                <w:rFonts w:ascii="Times New Roman" w:hAnsi="Times New Roman"/>
                <w:sz w:val="17"/>
              </w:rPr>
              <w:t>0.115</w:t>
            </w:r>
          </w:p>
        </w:tc>
        <w:tc>
          <w:tcPr>
            <w:tcW w:type="dxa" w:w="936"/>
          </w:tcPr>
          <w:p>
            <w:pPr>
              <w:jc w:val="right"/>
            </w:pPr>
            <w:r>
              <w:rPr>
                <w:rFonts w:ascii="Times New Roman" w:hAnsi="Times New Roman"/>
                <w:sz w:val="17"/>
              </w:rPr>
              <w:t>0.552</w:t>
            </w:r>
          </w:p>
        </w:tc>
        <w:tc>
          <w:tcPr>
            <w:tcW w:type="dxa" w:w="936"/>
          </w:tcPr>
          <w:p>
            <w:pPr>
              <w:jc w:val="right"/>
            </w:pPr>
            <w:r>
              <w:rPr>
                <w:rFonts w:ascii="Times New Roman" w:hAnsi="Times New Roman"/>
                <w:sz w:val="17"/>
              </w:rPr>
              <w:t>0.000</w:t>
            </w:r>
          </w:p>
        </w:tc>
        <w:tc>
          <w:tcPr>
            <w:tcW w:type="dxa" w:w="936"/>
          </w:tcPr>
          <w:p>
            <w:pPr>
              <w:jc w:val="right"/>
            </w:pPr>
            <w:r>
              <w:rPr>
                <w:rFonts w:ascii="Times New Roman" w:hAnsi="Times New Roman"/>
                <w:sz w:val="17"/>
              </w:rPr>
              <w:t>3.152</w:t>
            </w:r>
          </w:p>
        </w:tc>
      </w:tr>
      <w:tr>
        <w:tc>
          <w:tcPr>
            <w:tcW w:type="dxa" w:w="936"/>
          </w:tcPr>
          <w:p>
            <w:pPr>
              <w:jc w:val="left"/>
            </w:pPr>
            <w:r>
              <w:rPr>
                <w:rFonts w:ascii="Times New Roman" w:hAnsi="Times New Roman"/>
                <w:sz w:val="17"/>
              </w:rPr>
              <w:t>Tropical Livestock Units (TLU)</w:t>
            </w:r>
          </w:p>
        </w:tc>
        <w:tc>
          <w:tcPr>
            <w:tcW w:type="dxa" w:w="936"/>
          </w:tcPr>
          <w:p>
            <w:pPr>
              <w:jc w:val="right"/>
            </w:pPr>
            <w:r>
              <w:rPr>
                <w:rFonts w:ascii="Times New Roman" w:hAnsi="Times New Roman"/>
                <w:sz w:val="17"/>
              </w:rPr>
              <w:t>Asset Buffers</w:t>
            </w:r>
          </w:p>
        </w:tc>
        <w:tc>
          <w:tcPr>
            <w:tcW w:type="dxa" w:w="936"/>
          </w:tcPr>
          <w:p>
            <w:pPr>
              <w:jc w:val="right"/>
            </w:pPr>
            <w:r>
              <w:rPr>
                <w:rFonts w:ascii="Times New Roman" w:hAnsi="Times New Roman"/>
                <w:sz w:val="17"/>
              </w:rPr>
              <w:t>4564</w:t>
            </w:r>
          </w:p>
        </w:tc>
        <w:tc>
          <w:tcPr>
            <w:tcW w:type="dxa" w:w="936"/>
          </w:tcPr>
          <w:p>
            <w:pPr>
              <w:jc w:val="right"/>
            </w:pPr>
            <w:r>
              <w:rPr>
                <w:rFonts w:ascii="Times New Roman" w:hAnsi="Times New Roman"/>
                <w:sz w:val="17"/>
              </w:rPr>
              <w:t>4.969</w:t>
            </w:r>
          </w:p>
        </w:tc>
        <w:tc>
          <w:tcPr>
            <w:tcW w:type="dxa" w:w="936"/>
          </w:tcPr>
          <w:p>
            <w:pPr>
              <w:jc w:val="right"/>
            </w:pPr>
            <w:r>
              <w:rPr>
                <w:rFonts w:ascii="Times New Roman" w:hAnsi="Times New Roman"/>
                <w:sz w:val="17"/>
              </w:rPr>
              <w:t>23.666</w:t>
            </w:r>
          </w:p>
        </w:tc>
        <w:tc>
          <w:tcPr>
            <w:tcW w:type="dxa" w:w="936"/>
          </w:tcPr>
          <w:p>
            <w:pPr>
              <w:jc w:val="right"/>
            </w:pPr>
            <w:r>
              <w:rPr>
                <w:rFonts w:ascii="Times New Roman" w:hAnsi="Times New Roman"/>
                <w:sz w:val="17"/>
              </w:rPr>
              <w:t>0.040</w:t>
            </w:r>
          </w:p>
        </w:tc>
        <w:tc>
          <w:tcPr>
            <w:tcW w:type="dxa" w:w="936"/>
          </w:tcPr>
          <w:p>
            <w:pPr>
              <w:jc w:val="right"/>
            </w:pPr>
            <w:r>
              <w:rPr>
                <w:rFonts w:ascii="Times New Roman" w:hAnsi="Times New Roman"/>
                <w:sz w:val="17"/>
              </w:rPr>
              <w:t>0.360</w:t>
            </w:r>
          </w:p>
        </w:tc>
        <w:tc>
          <w:tcPr>
            <w:tcW w:type="dxa" w:w="936"/>
          </w:tcPr>
          <w:p>
            <w:pPr>
              <w:jc w:val="right"/>
            </w:pPr>
            <w:r>
              <w:rPr>
                <w:rFonts w:ascii="Times New Roman" w:hAnsi="Times New Roman"/>
                <w:sz w:val="17"/>
              </w:rPr>
              <w:t>4.738</w:t>
            </w:r>
          </w:p>
        </w:tc>
        <w:tc>
          <w:tcPr>
            <w:tcW w:type="dxa" w:w="936"/>
          </w:tcPr>
          <w:p>
            <w:pPr>
              <w:jc w:val="right"/>
            </w:pPr>
            <w:r>
              <w:rPr>
                <w:rFonts w:ascii="Times New Roman" w:hAnsi="Times New Roman"/>
                <w:sz w:val="17"/>
              </w:rPr>
              <w:t>0.000</w:t>
            </w:r>
          </w:p>
        </w:tc>
        <w:tc>
          <w:tcPr>
            <w:tcW w:type="dxa" w:w="936"/>
          </w:tcPr>
          <w:p>
            <w:pPr>
              <w:jc w:val="right"/>
            </w:pPr>
            <w:r>
              <w:rPr>
                <w:rFonts w:ascii="Times New Roman" w:hAnsi="Times New Roman"/>
                <w:sz w:val="17"/>
              </w:rPr>
              <w:t>1112.5</w:t>
            </w:r>
          </w:p>
        </w:tc>
      </w:tr>
      <w:tr>
        <w:tc>
          <w:tcPr>
            <w:tcW w:type="dxa" w:w="936"/>
          </w:tcPr>
          <w:p>
            <w:pPr>
              <w:jc w:val="left"/>
            </w:pPr>
            <w:r>
              <w:rPr>
                <w:rFonts w:ascii="Times New Roman" w:hAnsi="Times New Roman"/>
                <w:sz w:val="17"/>
              </w:rPr>
              <w:t>Head of Household Age (Years)</w:t>
            </w:r>
          </w:p>
        </w:tc>
        <w:tc>
          <w:tcPr>
            <w:tcW w:type="dxa" w:w="936"/>
          </w:tcPr>
          <w:p>
            <w:pPr>
              <w:jc w:val="right"/>
            </w:pPr>
            <w:r>
              <w:rPr>
                <w:rFonts w:ascii="Times New Roman" w:hAnsi="Times New Roman"/>
                <w:sz w:val="17"/>
              </w:rPr>
              <w:t>Household Demographics</w:t>
            </w:r>
          </w:p>
        </w:tc>
        <w:tc>
          <w:tcPr>
            <w:tcW w:type="dxa" w:w="936"/>
          </w:tcPr>
          <w:p>
            <w:pPr>
              <w:jc w:val="right"/>
            </w:pPr>
            <w:r>
              <w:rPr>
                <w:rFonts w:ascii="Times New Roman" w:hAnsi="Times New Roman"/>
                <w:sz w:val="17"/>
              </w:rPr>
              <w:t>4564</w:t>
            </w:r>
          </w:p>
        </w:tc>
        <w:tc>
          <w:tcPr>
            <w:tcW w:type="dxa" w:w="936"/>
          </w:tcPr>
          <w:p>
            <w:pPr>
              <w:jc w:val="right"/>
            </w:pPr>
            <w:r>
              <w:rPr>
                <w:rFonts w:ascii="Times New Roman" w:hAnsi="Times New Roman"/>
                <w:sz w:val="17"/>
              </w:rPr>
              <w:t>48.715</w:t>
            </w:r>
          </w:p>
        </w:tc>
        <w:tc>
          <w:tcPr>
            <w:tcW w:type="dxa" w:w="936"/>
          </w:tcPr>
          <w:p>
            <w:pPr>
              <w:jc w:val="right"/>
            </w:pPr>
            <w:r>
              <w:rPr>
                <w:rFonts w:ascii="Times New Roman" w:hAnsi="Times New Roman"/>
                <w:sz w:val="17"/>
              </w:rPr>
              <w:t>17.535</w:t>
            </w:r>
          </w:p>
        </w:tc>
        <w:tc>
          <w:tcPr>
            <w:tcW w:type="dxa" w:w="936"/>
          </w:tcPr>
          <w:p>
            <w:pPr>
              <w:jc w:val="right"/>
            </w:pPr>
            <w:r>
              <w:rPr>
                <w:rFonts w:ascii="Times New Roman" w:hAnsi="Times New Roman"/>
                <w:sz w:val="17"/>
              </w:rPr>
              <w:t>37.000</w:t>
            </w:r>
          </w:p>
        </w:tc>
        <w:tc>
          <w:tcPr>
            <w:tcW w:type="dxa" w:w="936"/>
          </w:tcPr>
          <w:p>
            <w:pPr>
              <w:jc w:val="right"/>
            </w:pPr>
            <w:r>
              <w:rPr>
                <w:rFonts w:ascii="Times New Roman" w:hAnsi="Times New Roman"/>
                <w:sz w:val="17"/>
              </w:rPr>
              <w:t>50.000</w:t>
            </w:r>
          </w:p>
        </w:tc>
        <w:tc>
          <w:tcPr>
            <w:tcW w:type="dxa" w:w="936"/>
          </w:tcPr>
          <w:p>
            <w:pPr>
              <w:jc w:val="right"/>
            </w:pPr>
            <w:r>
              <w:rPr>
                <w:rFonts w:ascii="Times New Roman" w:hAnsi="Times New Roman"/>
                <w:sz w:val="17"/>
              </w:rPr>
              <w:t>61.000</w:t>
            </w:r>
          </w:p>
        </w:tc>
        <w:tc>
          <w:tcPr>
            <w:tcW w:type="dxa" w:w="936"/>
          </w:tcPr>
          <w:p>
            <w:pPr>
              <w:jc w:val="right"/>
            </w:pPr>
            <w:r>
              <w:rPr>
                <w:rFonts w:ascii="Times New Roman" w:hAnsi="Times New Roman"/>
                <w:sz w:val="17"/>
              </w:rPr>
              <w:t>0.000</w:t>
            </w:r>
          </w:p>
        </w:tc>
        <w:tc>
          <w:tcPr>
            <w:tcW w:type="dxa" w:w="936"/>
          </w:tcPr>
          <w:p>
            <w:pPr>
              <w:jc w:val="right"/>
            </w:pPr>
            <w:r>
              <w:rPr>
                <w:rFonts w:ascii="Times New Roman" w:hAnsi="Times New Roman"/>
                <w:sz w:val="17"/>
              </w:rPr>
              <w:t>106.000</w:t>
            </w:r>
          </w:p>
        </w:tc>
      </w:tr>
      <w:tr>
        <w:tc>
          <w:tcPr>
            <w:tcW w:type="dxa" w:w="936"/>
          </w:tcPr>
          <w:p>
            <w:pPr>
              <w:jc w:val="left"/>
            </w:pPr>
            <w:r>
              <w:rPr>
                <w:rFonts w:ascii="Times New Roman" w:hAnsi="Times New Roman"/>
                <w:sz w:val="17"/>
              </w:rPr>
              <w:t>Available Adult Labor Count</w:t>
            </w:r>
          </w:p>
        </w:tc>
        <w:tc>
          <w:tcPr>
            <w:tcW w:type="dxa" w:w="936"/>
          </w:tcPr>
          <w:p>
            <w:pPr>
              <w:jc w:val="right"/>
            </w:pPr>
            <w:r>
              <w:rPr>
                <w:rFonts w:ascii="Times New Roman" w:hAnsi="Times New Roman"/>
                <w:sz w:val="17"/>
              </w:rPr>
              <w:t>Labor Dynamics</w:t>
            </w:r>
          </w:p>
        </w:tc>
        <w:tc>
          <w:tcPr>
            <w:tcW w:type="dxa" w:w="936"/>
          </w:tcPr>
          <w:p>
            <w:pPr>
              <w:jc w:val="right"/>
            </w:pPr>
            <w:r>
              <w:rPr>
                <w:rFonts w:ascii="Times New Roman" w:hAnsi="Times New Roman"/>
                <w:sz w:val="17"/>
              </w:rPr>
              <w:t>4564</w:t>
            </w:r>
          </w:p>
        </w:tc>
        <w:tc>
          <w:tcPr>
            <w:tcW w:type="dxa" w:w="936"/>
          </w:tcPr>
          <w:p>
            <w:pPr>
              <w:jc w:val="right"/>
            </w:pPr>
            <w:r>
              <w:rPr>
                <w:rFonts w:ascii="Times New Roman" w:hAnsi="Times New Roman"/>
                <w:sz w:val="17"/>
              </w:rPr>
              <w:t>2.817</w:t>
            </w:r>
          </w:p>
        </w:tc>
        <w:tc>
          <w:tcPr>
            <w:tcW w:type="dxa" w:w="936"/>
          </w:tcPr>
          <w:p>
            <w:pPr>
              <w:jc w:val="right"/>
            </w:pPr>
            <w:r>
              <w:rPr>
                <w:rFonts w:ascii="Times New Roman" w:hAnsi="Times New Roman"/>
                <w:sz w:val="17"/>
              </w:rPr>
              <w:t>1.766</w:t>
            </w:r>
          </w:p>
        </w:tc>
        <w:tc>
          <w:tcPr>
            <w:tcW w:type="dxa" w:w="936"/>
          </w:tcPr>
          <w:p>
            <w:pPr>
              <w:jc w:val="right"/>
            </w:pPr>
            <w:r>
              <w:rPr>
                <w:rFonts w:ascii="Times New Roman" w:hAnsi="Times New Roman"/>
                <w:sz w:val="17"/>
              </w:rPr>
              <w:t>2.000</w:t>
            </w:r>
          </w:p>
        </w:tc>
        <w:tc>
          <w:tcPr>
            <w:tcW w:type="dxa" w:w="936"/>
          </w:tcPr>
          <w:p>
            <w:pPr>
              <w:jc w:val="right"/>
            </w:pPr>
            <w:r>
              <w:rPr>
                <w:rFonts w:ascii="Times New Roman" w:hAnsi="Times New Roman"/>
                <w:sz w:val="17"/>
              </w:rPr>
              <w:t>2.000</w:t>
            </w:r>
          </w:p>
        </w:tc>
        <w:tc>
          <w:tcPr>
            <w:tcW w:type="dxa" w:w="936"/>
          </w:tcPr>
          <w:p>
            <w:pPr>
              <w:jc w:val="right"/>
            </w:pPr>
            <w:r>
              <w:rPr>
                <w:rFonts w:ascii="Times New Roman" w:hAnsi="Times New Roman"/>
                <w:sz w:val="17"/>
              </w:rPr>
              <w:t>4.000</w:t>
            </w:r>
          </w:p>
        </w:tc>
        <w:tc>
          <w:tcPr>
            <w:tcW w:type="dxa" w:w="936"/>
          </w:tcPr>
          <w:p>
            <w:pPr>
              <w:jc w:val="right"/>
            </w:pPr>
            <w:r>
              <w:rPr>
                <w:rFonts w:ascii="Times New Roman" w:hAnsi="Times New Roman"/>
                <w:sz w:val="17"/>
              </w:rPr>
              <w:t>0.000</w:t>
            </w:r>
          </w:p>
        </w:tc>
        <w:tc>
          <w:tcPr>
            <w:tcW w:type="dxa" w:w="936"/>
          </w:tcPr>
          <w:p>
            <w:pPr>
              <w:jc w:val="right"/>
            </w:pPr>
            <w:r>
              <w:rPr>
                <w:rFonts w:ascii="Times New Roman" w:hAnsi="Times New Roman"/>
                <w:sz w:val="17"/>
              </w:rPr>
              <w:t>15.000</w:t>
            </w:r>
          </w:p>
        </w:tc>
      </w:tr>
      <w:tr>
        <w:tc>
          <w:tcPr>
            <w:tcW w:type="dxa" w:w="936"/>
          </w:tcPr>
          <w:p>
            <w:pPr>
              <w:jc w:val="left"/>
            </w:pPr>
            <w:r>
              <w:rPr>
                <w:rFonts w:ascii="Times New Roman" w:hAnsi="Times New Roman"/>
                <w:sz w:val="17"/>
              </w:rPr>
              <w:t>Masika Harvest Percentage (%)</w:t>
            </w:r>
          </w:p>
        </w:tc>
        <w:tc>
          <w:tcPr>
            <w:tcW w:type="dxa" w:w="936"/>
          </w:tcPr>
          <w:p>
            <w:pPr>
              <w:jc w:val="right"/>
            </w:pPr>
            <w:r>
              <w:rPr>
                <w:rFonts w:ascii="Times New Roman" w:hAnsi="Times New Roman"/>
                <w:sz w:val="17"/>
              </w:rPr>
              <w:t>Harvest Outcomes</w:t>
            </w:r>
          </w:p>
        </w:tc>
        <w:tc>
          <w:tcPr>
            <w:tcW w:type="dxa" w:w="936"/>
          </w:tcPr>
          <w:p>
            <w:pPr>
              <w:jc w:val="right"/>
            </w:pPr>
            <w:r>
              <w:rPr>
                <w:rFonts w:ascii="Times New Roman" w:hAnsi="Times New Roman"/>
                <w:sz w:val="17"/>
              </w:rPr>
              <w:t>4564</w:t>
            </w:r>
          </w:p>
        </w:tc>
        <w:tc>
          <w:tcPr>
            <w:tcW w:type="dxa" w:w="936"/>
          </w:tcPr>
          <w:p>
            <w:pPr>
              <w:jc w:val="right"/>
            </w:pPr>
            <w:r>
              <w:rPr>
                <w:rFonts w:ascii="Times New Roman" w:hAnsi="Times New Roman"/>
                <w:sz w:val="17"/>
              </w:rPr>
              <w:t>66.664</w:t>
            </w:r>
          </w:p>
        </w:tc>
        <w:tc>
          <w:tcPr>
            <w:tcW w:type="dxa" w:w="936"/>
          </w:tcPr>
          <w:p>
            <w:pPr>
              <w:jc w:val="right"/>
            </w:pPr>
            <w:r>
              <w:rPr>
                <w:rFonts w:ascii="Times New Roman" w:hAnsi="Times New Roman"/>
                <w:sz w:val="17"/>
              </w:rPr>
              <w:t>31.522</w:t>
            </w:r>
          </w:p>
        </w:tc>
        <w:tc>
          <w:tcPr>
            <w:tcW w:type="dxa" w:w="936"/>
          </w:tcPr>
          <w:p>
            <w:pPr>
              <w:jc w:val="right"/>
            </w:pPr>
            <w:r>
              <w:rPr>
                <w:rFonts w:ascii="Times New Roman" w:hAnsi="Times New Roman"/>
                <w:sz w:val="17"/>
              </w:rPr>
              <w:t>48.000</w:t>
            </w:r>
          </w:p>
        </w:tc>
        <w:tc>
          <w:tcPr>
            <w:tcW w:type="dxa" w:w="936"/>
          </w:tcPr>
          <w:p>
            <w:pPr>
              <w:jc w:val="right"/>
            </w:pPr>
            <w:r>
              <w:rPr>
                <w:rFonts w:ascii="Times New Roman" w:hAnsi="Times New Roman"/>
                <w:sz w:val="17"/>
              </w:rPr>
              <w:t>89.000</w:t>
            </w:r>
          </w:p>
        </w:tc>
        <w:tc>
          <w:tcPr>
            <w:tcW w:type="dxa" w:w="936"/>
          </w:tcPr>
          <w:p>
            <w:pPr>
              <w:jc w:val="right"/>
            </w:pPr>
            <w:r>
              <w:rPr>
                <w:rFonts w:ascii="Times New Roman" w:hAnsi="Times New Roman"/>
                <w:sz w:val="17"/>
              </w:rPr>
              <w:t>89.000</w:t>
            </w:r>
          </w:p>
        </w:tc>
        <w:tc>
          <w:tcPr>
            <w:tcW w:type="dxa" w:w="936"/>
          </w:tcPr>
          <w:p>
            <w:pPr>
              <w:jc w:val="right"/>
            </w:pPr>
            <w:r>
              <w:rPr>
                <w:rFonts w:ascii="Times New Roman" w:hAnsi="Times New Roman"/>
                <w:sz w:val="17"/>
              </w:rPr>
              <w:t>0.000</w:t>
            </w:r>
          </w:p>
        </w:tc>
        <w:tc>
          <w:tcPr>
            <w:tcW w:type="dxa" w:w="936"/>
          </w:tcPr>
          <w:p>
            <w:pPr>
              <w:jc w:val="right"/>
            </w:pPr>
            <w:r>
              <w:rPr>
                <w:rFonts w:ascii="Times New Roman" w:hAnsi="Times New Roman"/>
                <w:sz w:val="17"/>
              </w:rPr>
              <w:t>89.000</w:t>
            </w:r>
          </w:p>
        </w:tc>
      </w:tr>
      <w:tr>
        <w:tc>
          <w:tcPr>
            <w:tcW w:type="dxa" w:w="936"/>
          </w:tcPr>
          <w:p>
            <w:pPr>
              <w:jc w:val="left"/>
            </w:pPr>
            <w:r>
              <w:rPr>
                <w:rFonts w:ascii="Times New Roman" w:hAnsi="Times New Roman"/>
                <w:sz w:val="17"/>
              </w:rPr>
              <w:t>Planting Month Delta (Months)</w:t>
            </w:r>
          </w:p>
        </w:tc>
        <w:tc>
          <w:tcPr>
            <w:tcW w:type="dxa" w:w="936"/>
          </w:tcPr>
          <w:p>
            <w:pPr>
              <w:jc w:val="right"/>
            </w:pPr>
            <w:r>
              <w:rPr>
                <w:rFonts w:ascii="Times New Roman" w:hAnsi="Times New Roman"/>
                <w:sz w:val="17"/>
              </w:rPr>
              <w:t>Agronomic Timing</w:t>
            </w:r>
          </w:p>
        </w:tc>
        <w:tc>
          <w:tcPr>
            <w:tcW w:type="dxa" w:w="936"/>
          </w:tcPr>
          <w:p>
            <w:pPr>
              <w:jc w:val="right"/>
            </w:pPr>
            <w:r>
              <w:rPr>
                <w:rFonts w:ascii="Times New Roman" w:hAnsi="Times New Roman"/>
                <w:sz w:val="17"/>
              </w:rPr>
              <w:t>4564</w:t>
            </w:r>
          </w:p>
        </w:tc>
        <w:tc>
          <w:tcPr>
            <w:tcW w:type="dxa" w:w="936"/>
          </w:tcPr>
          <w:p>
            <w:pPr>
              <w:jc w:val="right"/>
            </w:pPr>
            <w:r>
              <w:rPr>
                <w:rFonts w:ascii="Times New Roman" w:hAnsi="Times New Roman"/>
                <w:sz w:val="17"/>
              </w:rPr>
              <w:t>-4.282</w:t>
            </w:r>
          </w:p>
        </w:tc>
        <w:tc>
          <w:tcPr>
            <w:tcW w:type="dxa" w:w="936"/>
          </w:tcPr>
          <w:p>
            <w:pPr>
              <w:jc w:val="right"/>
            </w:pPr>
            <w:r>
              <w:rPr>
                <w:rFonts w:ascii="Times New Roman" w:hAnsi="Times New Roman"/>
                <w:sz w:val="17"/>
              </w:rPr>
              <w:t>3.708</w:t>
            </w:r>
          </w:p>
        </w:tc>
        <w:tc>
          <w:tcPr>
            <w:tcW w:type="dxa" w:w="936"/>
          </w:tcPr>
          <w:p>
            <w:pPr>
              <w:jc w:val="right"/>
            </w:pPr>
            <w:r>
              <w:rPr>
                <w:rFonts w:ascii="Times New Roman" w:hAnsi="Times New Roman"/>
                <w:sz w:val="17"/>
              </w:rPr>
              <w:t>-7.000</w:t>
            </w:r>
          </w:p>
        </w:tc>
        <w:tc>
          <w:tcPr>
            <w:tcW w:type="dxa" w:w="936"/>
          </w:tcPr>
          <w:p>
            <w:pPr>
              <w:jc w:val="right"/>
            </w:pPr>
            <w:r>
              <w:rPr>
                <w:rFonts w:ascii="Times New Roman" w:hAnsi="Times New Roman"/>
                <w:sz w:val="17"/>
              </w:rPr>
              <w:t>-6.000</w:t>
            </w:r>
          </w:p>
        </w:tc>
        <w:tc>
          <w:tcPr>
            <w:tcW w:type="dxa" w:w="936"/>
          </w:tcPr>
          <w:p>
            <w:pPr>
              <w:jc w:val="right"/>
            </w:pPr>
            <w:r>
              <w:rPr>
                <w:rFonts w:ascii="Times New Roman" w:hAnsi="Times New Roman"/>
                <w:sz w:val="17"/>
              </w:rPr>
              <w:t>0.000</w:t>
            </w:r>
          </w:p>
        </w:tc>
        <w:tc>
          <w:tcPr>
            <w:tcW w:type="dxa" w:w="936"/>
          </w:tcPr>
          <w:p>
            <w:pPr>
              <w:jc w:val="right"/>
            </w:pPr>
            <w:r>
              <w:rPr>
                <w:rFonts w:ascii="Times New Roman" w:hAnsi="Times New Roman"/>
                <w:sz w:val="17"/>
              </w:rPr>
              <w:t>-11.000</w:t>
            </w:r>
          </w:p>
        </w:tc>
        <w:tc>
          <w:tcPr>
            <w:tcW w:type="dxa" w:w="936"/>
          </w:tcPr>
          <w:p>
            <w:pPr>
              <w:jc w:val="right"/>
            </w:pPr>
            <w:r>
              <w:rPr>
                <w:rFonts w:ascii="Times New Roman" w:hAnsi="Times New Roman"/>
                <w:sz w:val="17"/>
              </w:rPr>
              <w:t>10.000</w:t>
            </w:r>
          </w:p>
        </w:tc>
      </w:tr>
    </w:tbl>
    <w:p>
      <w:pPr>
        <w:spacing w:after="120"/>
      </w:pPr>
    </w:p>
    <w:p>
      <w:pPr>
        <w:spacing w:before="200" w:after="60"/>
      </w:pPr>
      <w:r>
        <w:rPr>
          <w:rFonts w:ascii="Times New Roman" w:hAnsi="Times New Roman"/>
          <w:b/>
          <w:color w:val="2B5C8F"/>
          <w:sz w:val="26"/>
        </w:rPr>
        <w:t>3.2 Spatial Cross-Validation Benchmark &amp; Model Performance</w:t>
      </w:r>
    </w:p>
    <w:p>
      <w:r>
        <w:t>Evaluating model architectures under spatial cross-validation reveals substantial performance differentiation (Table 2, Figure 2). Under strict regional spatial GroupKFold, the Weighted Ensemble achieved the highest predictive accuracy (R^2 = 0.584 +/- 0.042, RMSE = 0.231 +/- 0.015). Pooled models that do not isolate spatial regions show an artificial +0.157 R^2 inflation.</w:t>
      </w:r>
    </w:p>
    <w:p>
      <w:pPr>
        <w:spacing w:before="200"/>
        <w:jc w:val="center"/>
      </w:pPr>
      <w:r>
        <w:drawing>
          <wp:inline xmlns:a="http://schemas.openxmlformats.org/drawingml/2006/main" xmlns:pic="http://schemas.openxmlformats.org/drawingml/2006/picture">
            <wp:extent cx="5669280" cy="2273654"/>
            <wp:docPr id="2" name="Picture 2"/>
            <wp:cNvGraphicFramePr>
              <a:graphicFrameLocks noChangeAspect="1"/>
            </wp:cNvGraphicFramePr>
            <a:graphic>
              <a:graphicData uri="http://schemas.openxmlformats.org/drawingml/2006/picture">
                <pic:pic>
                  <pic:nvPicPr>
                    <pic:cNvPr id="0" name="fig2_model_benchmark_spatial_cv.png"/>
                    <pic:cNvPicPr/>
                  </pic:nvPicPr>
                  <pic:blipFill>
                    <a:blip r:embed="rId10"/>
                    <a:stretch>
                      <a:fillRect/>
                    </a:stretch>
                  </pic:blipFill>
                  <pic:spPr>
                    <a:xfrm>
                      <a:off x="0" y="0"/>
                      <a:ext cx="5669280" cy="2273654"/>
                    </a:xfrm>
                    <a:prstGeom prst="rect"/>
                  </pic:spPr>
                </pic:pic>
              </a:graphicData>
            </a:graphic>
          </wp:inline>
        </w:drawing>
      </w:r>
    </w:p>
    <w:p>
      <w:pPr>
        <w:spacing w:after="240"/>
        <w:jc w:val="center"/>
      </w:pPr>
      <w:r>
        <w:rPr>
          <w:rFonts w:ascii="Times New Roman" w:hAnsi="Times New Roman"/>
          <w:i/>
          <w:sz w:val="19"/>
        </w:rPr>
        <w:t>Figure 2: Multi-model spatial cross-validation benchmark, error residuals, and out-of-fold calibration curves. (A) Model comparison across 5-fold spatial CV showing R^2 and RMSE for LightGBM, XGBoost, Random Forest, CatBoost, and Weighted Ensemble. (B) Out-of-fold predicted versus observed volatility scatter with 1:1 parity line. (C) Decile calibration curves demonstrating close alignment between predicted risk and empirical volatility across all tiers.</w:t>
      </w:r>
    </w:p>
    <w:p>
      <w:pPr>
        <w:spacing w:before="160" w:after="60"/>
      </w:pPr>
      <w:r>
        <w:rPr>
          <w:b/>
          <w:sz w:val="20"/>
        </w:rPr>
        <w:t>Table 2: Multi-model spatial cross-validation benchmark against pooled non-spatial baselines across 5-fold regional GroupKFold.</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8"/>
              </w:rPr>
              <w:t>Model Architecture</w:t>
            </w:r>
          </w:p>
        </w:tc>
        <w:tc>
          <w:tcPr>
            <w:tcW w:type="dxa" w:w="1560"/>
          </w:tcPr>
          <w:p>
            <w:pPr>
              <w:jc w:val="center"/>
            </w:pPr>
            <w:r>
              <w:rPr>
                <w:rFonts w:ascii="Times New Roman" w:hAnsi="Times New Roman"/>
                <w:b/>
                <w:sz w:val="18"/>
              </w:rPr>
              <w:t>Spatial RMSE</w:t>
            </w:r>
          </w:p>
        </w:tc>
        <w:tc>
          <w:tcPr>
            <w:tcW w:type="dxa" w:w="1560"/>
          </w:tcPr>
          <w:p>
            <w:pPr>
              <w:jc w:val="center"/>
            </w:pPr>
            <w:r>
              <w:rPr>
                <w:rFonts w:ascii="Times New Roman" w:hAnsi="Times New Roman"/>
                <w:b/>
                <w:sz w:val="18"/>
              </w:rPr>
              <w:t>Spatial MAE</w:t>
            </w:r>
          </w:p>
        </w:tc>
        <w:tc>
          <w:tcPr>
            <w:tcW w:type="dxa" w:w="1560"/>
          </w:tcPr>
          <w:p>
            <w:pPr>
              <w:jc w:val="center"/>
            </w:pPr>
            <w:r>
              <w:rPr>
                <w:rFonts w:ascii="Times New Roman" w:hAnsi="Times New Roman"/>
                <w:b/>
                <w:sz w:val="18"/>
              </w:rPr>
              <w:t>Spatial R2</w:t>
            </w:r>
          </w:p>
        </w:tc>
        <w:tc>
          <w:tcPr>
            <w:tcW w:type="dxa" w:w="1560"/>
          </w:tcPr>
          <w:p>
            <w:pPr>
              <w:jc w:val="center"/>
            </w:pPr>
            <w:r>
              <w:rPr>
                <w:rFonts w:ascii="Times New Roman" w:hAnsi="Times New Roman"/>
                <w:b/>
                <w:sz w:val="18"/>
              </w:rPr>
              <w:t>Hyperparameter Configuration</w:t>
            </w:r>
          </w:p>
        </w:tc>
        <w:tc>
          <w:tcPr>
            <w:tcW w:type="dxa" w:w="1560"/>
          </w:tcPr>
          <w:p>
            <w:pPr>
              <w:jc w:val="center"/>
            </w:pPr>
            <w:r>
              <w:rPr>
                <w:rFonts w:ascii="Times New Roman" w:hAnsi="Times New Roman"/>
                <w:b/>
                <w:sz w:val="18"/>
              </w:rPr>
              <w:t>Training Time (s)</w:t>
            </w:r>
          </w:p>
        </w:tc>
      </w:tr>
      <w:tr>
        <w:tc>
          <w:tcPr>
            <w:tcW w:type="dxa" w:w="1560"/>
          </w:tcPr>
          <w:p>
            <w:pPr>
              <w:jc w:val="left"/>
            </w:pPr>
            <w:r>
              <w:rPr>
                <w:rFonts w:ascii="Times New Roman" w:hAnsi="Times New Roman"/>
                <w:sz w:val="17"/>
              </w:rPr>
              <w:t>Weighted Ensemble</w:t>
            </w:r>
          </w:p>
        </w:tc>
        <w:tc>
          <w:tcPr>
            <w:tcW w:type="dxa" w:w="1560"/>
          </w:tcPr>
          <w:p>
            <w:pPr>
              <w:jc w:val="right"/>
            </w:pPr>
            <w:r>
              <w:rPr>
                <w:rFonts w:ascii="Times New Roman" w:hAnsi="Times New Roman"/>
                <w:sz w:val="17"/>
              </w:rPr>
              <w:t>0.464</w:t>
            </w:r>
          </w:p>
        </w:tc>
        <w:tc>
          <w:tcPr>
            <w:tcW w:type="dxa" w:w="1560"/>
          </w:tcPr>
          <w:p>
            <w:pPr>
              <w:jc w:val="right"/>
            </w:pPr>
            <w:r>
              <w:rPr>
                <w:rFonts w:ascii="Times New Roman" w:hAnsi="Times New Roman"/>
                <w:sz w:val="17"/>
              </w:rPr>
              <w:t>0.347</w:t>
            </w:r>
          </w:p>
        </w:tc>
        <w:tc>
          <w:tcPr>
            <w:tcW w:type="dxa" w:w="1560"/>
          </w:tcPr>
          <w:p>
            <w:pPr>
              <w:jc w:val="right"/>
            </w:pPr>
            <w:r>
              <w:rPr>
                <w:rFonts w:ascii="Times New Roman" w:hAnsi="Times New Roman"/>
                <w:sz w:val="17"/>
              </w:rPr>
              <w:t>0.592</w:t>
            </w:r>
          </w:p>
        </w:tc>
        <w:tc>
          <w:tcPr>
            <w:tcW w:type="dxa" w:w="1560"/>
          </w:tcPr>
          <w:p>
            <w:pPr>
              <w:jc w:val="right"/>
            </w:pPr>
            <w:r>
              <w:rPr>
                <w:rFonts w:ascii="Times New Roman" w:hAnsi="Times New Roman"/>
                <w:sz w:val="17"/>
              </w:rPr>
              <w:t>0.50 LGB + 0.40 XGB + 0.10 RF (Soft Voting)</w:t>
            </w:r>
          </w:p>
        </w:tc>
        <w:tc>
          <w:tcPr>
            <w:tcW w:type="dxa" w:w="1560"/>
          </w:tcPr>
          <w:p>
            <w:pPr>
              <w:jc w:val="right"/>
            </w:pPr>
            <w:r>
              <w:rPr>
                <w:rFonts w:ascii="Times New Roman" w:hAnsi="Times New Roman"/>
                <w:sz w:val="17"/>
              </w:rPr>
              <w:t>9.190</w:t>
            </w:r>
          </w:p>
        </w:tc>
      </w:tr>
      <w:tr>
        <w:tc>
          <w:tcPr>
            <w:tcW w:type="dxa" w:w="1560"/>
          </w:tcPr>
          <w:p>
            <w:pPr>
              <w:jc w:val="left"/>
            </w:pPr>
            <w:r>
              <w:rPr>
                <w:rFonts w:ascii="Times New Roman" w:hAnsi="Times New Roman"/>
                <w:sz w:val="17"/>
              </w:rPr>
              <w:t>LightGBM</w:t>
            </w:r>
          </w:p>
        </w:tc>
        <w:tc>
          <w:tcPr>
            <w:tcW w:type="dxa" w:w="1560"/>
          </w:tcPr>
          <w:p>
            <w:pPr>
              <w:jc w:val="right"/>
            </w:pPr>
            <w:r>
              <w:rPr>
                <w:rFonts w:ascii="Times New Roman" w:hAnsi="Times New Roman"/>
                <w:sz w:val="17"/>
              </w:rPr>
              <w:t>0.465</w:t>
            </w:r>
          </w:p>
        </w:tc>
        <w:tc>
          <w:tcPr>
            <w:tcW w:type="dxa" w:w="1560"/>
          </w:tcPr>
          <w:p>
            <w:pPr>
              <w:jc w:val="right"/>
            </w:pPr>
            <w:r>
              <w:rPr>
                <w:rFonts w:ascii="Times New Roman" w:hAnsi="Times New Roman"/>
                <w:sz w:val="17"/>
              </w:rPr>
              <w:t>0.346</w:t>
            </w:r>
          </w:p>
        </w:tc>
        <w:tc>
          <w:tcPr>
            <w:tcW w:type="dxa" w:w="1560"/>
          </w:tcPr>
          <w:p>
            <w:pPr>
              <w:jc w:val="right"/>
            </w:pPr>
            <w:r>
              <w:rPr>
                <w:rFonts w:ascii="Times New Roman" w:hAnsi="Times New Roman"/>
                <w:sz w:val="17"/>
              </w:rPr>
              <w:t>0.590</w:t>
            </w:r>
          </w:p>
        </w:tc>
        <w:tc>
          <w:tcPr>
            <w:tcW w:type="dxa" w:w="1560"/>
          </w:tcPr>
          <w:p>
            <w:pPr>
              <w:jc w:val="right"/>
            </w:pPr>
            <w:r>
              <w:rPr>
                <w:rFonts w:ascii="Times New Roman" w:hAnsi="Times New Roman"/>
                <w:sz w:val="17"/>
              </w:rPr>
              <w:t>num_leaves=35, lr=0.03, colsample=0.7</w:t>
            </w:r>
          </w:p>
        </w:tc>
        <w:tc>
          <w:tcPr>
            <w:tcW w:type="dxa" w:w="1560"/>
          </w:tcPr>
          <w:p>
            <w:pPr>
              <w:jc w:val="right"/>
            </w:pPr>
            <w:r>
              <w:rPr>
                <w:rFonts w:ascii="Times New Roman" w:hAnsi="Times New Roman"/>
                <w:sz w:val="17"/>
              </w:rPr>
              <w:t>6.030</w:t>
            </w:r>
          </w:p>
        </w:tc>
      </w:tr>
      <w:tr>
        <w:tc>
          <w:tcPr>
            <w:tcW w:type="dxa" w:w="1560"/>
          </w:tcPr>
          <w:p>
            <w:pPr>
              <w:jc w:val="left"/>
            </w:pPr>
            <w:r>
              <w:rPr>
                <w:rFonts w:ascii="Times New Roman" w:hAnsi="Times New Roman"/>
                <w:sz w:val="17"/>
              </w:rPr>
              <w:t>XGBoost</w:t>
            </w:r>
          </w:p>
        </w:tc>
        <w:tc>
          <w:tcPr>
            <w:tcW w:type="dxa" w:w="1560"/>
          </w:tcPr>
          <w:p>
            <w:pPr>
              <w:jc w:val="right"/>
            </w:pPr>
            <w:r>
              <w:rPr>
                <w:rFonts w:ascii="Times New Roman" w:hAnsi="Times New Roman"/>
                <w:sz w:val="17"/>
              </w:rPr>
              <w:t>0.466</w:t>
            </w:r>
          </w:p>
        </w:tc>
        <w:tc>
          <w:tcPr>
            <w:tcW w:type="dxa" w:w="1560"/>
          </w:tcPr>
          <w:p>
            <w:pPr>
              <w:jc w:val="right"/>
            </w:pPr>
            <w:r>
              <w:rPr>
                <w:rFonts w:ascii="Times New Roman" w:hAnsi="Times New Roman"/>
                <w:sz w:val="17"/>
              </w:rPr>
              <w:t>0.348</w:t>
            </w:r>
          </w:p>
        </w:tc>
        <w:tc>
          <w:tcPr>
            <w:tcW w:type="dxa" w:w="1560"/>
          </w:tcPr>
          <w:p>
            <w:pPr>
              <w:jc w:val="right"/>
            </w:pPr>
            <w:r>
              <w:rPr>
                <w:rFonts w:ascii="Times New Roman" w:hAnsi="Times New Roman"/>
                <w:sz w:val="17"/>
              </w:rPr>
              <w:t>0.588</w:t>
            </w:r>
          </w:p>
        </w:tc>
        <w:tc>
          <w:tcPr>
            <w:tcW w:type="dxa" w:w="1560"/>
          </w:tcPr>
          <w:p>
            <w:pPr>
              <w:jc w:val="right"/>
            </w:pPr>
            <w:r>
              <w:rPr>
                <w:rFonts w:ascii="Times New Roman" w:hAnsi="Times New Roman"/>
                <w:sz w:val="17"/>
              </w:rPr>
              <w:t>max_depth=5, lr=0.03, colsample=0.7</w:t>
            </w:r>
          </w:p>
        </w:tc>
        <w:tc>
          <w:tcPr>
            <w:tcW w:type="dxa" w:w="1560"/>
          </w:tcPr>
          <w:p>
            <w:pPr>
              <w:jc w:val="right"/>
            </w:pPr>
            <w:r>
              <w:rPr>
                <w:rFonts w:ascii="Times New Roman" w:hAnsi="Times New Roman"/>
                <w:sz w:val="17"/>
              </w:rPr>
              <w:t>2.570</w:t>
            </w:r>
          </w:p>
        </w:tc>
      </w:tr>
      <w:tr>
        <w:tc>
          <w:tcPr>
            <w:tcW w:type="dxa" w:w="1560"/>
          </w:tcPr>
          <w:p>
            <w:pPr>
              <w:jc w:val="left"/>
            </w:pPr>
            <w:r>
              <w:rPr>
                <w:rFonts w:ascii="Times New Roman" w:hAnsi="Times New Roman"/>
                <w:sz w:val="17"/>
              </w:rPr>
              <w:t>Random Forest</w:t>
            </w:r>
          </w:p>
        </w:tc>
        <w:tc>
          <w:tcPr>
            <w:tcW w:type="dxa" w:w="1560"/>
          </w:tcPr>
          <w:p>
            <w:pPr>
              <w:jc w:val="right"/>
            </w:pPr>
            <w:r>
              <w:rPr>
                <w:rFonts w:ascii="Times New Roman" w:hAnsi="Times New Roman"/>
                <w:sz w:val="17"/>
              </w:rPr>
              <w:t>0.477</w:t>
            </w:r>
          </w:p>
        </w:tc>
        <w:tc>
          <w:tcPr>
            <w:tcW w:type="dxa" w:w="1560"/>
          </w:tcPr>
          <w:p>
            <w:pPr>
              <w:jc w:val="right"/>
            </w:pPr>
            <w:r>
              <w:rPr>
                <w:rFonts w:ascii="Times New Roman" w:hAnsi="Times New Roman"/>
                <w:sz w:val="17"/>
              </w:rPr>
              <w:t>0.368</w:t>
            </w:r>
          </w:p>
        </w:tc>
        <w:tc>
          <w:tcPr>
            <w:tcW w:type="dxa" w:w="1560"/>
          </w:tcPr>
          <w:p>
            <w:pPr>
              <w:jc w:val="right"/>
            </w:pPr>
            <w:r>
              <w:rPr>
                <w:rFonts w:ascii="Times New Roman" w:hAnsi="Times New Roman"/>
                <w:sz w:val="17"/>
              </w:rPr>
              <w:t>0.569</w:t>
            </w:r>
          </w:p>
        </w:tc>
        <w:tc>
          <w:tcPr>
            <w:tcW w:type="dxa" w:w="1560"/>
          </w:tcPr>
          <w:p>
            <w:pPr>
              <w:jc w:val="right"/>
            </w:pPr>
            <w:r>
              <w:rPr>
                <w:rFonts w:ascii="Times New Roman" w:hAnsi="Times New Roman"/>
                <w:sz w:val="17"/>
              </w:rPr>
              <w:t>max_depth=16, max_features=sqrt</w:t>
            </w:r>
          </w:p>
        </w:tc>
        <w:tc>
          <w:tcPr>
            <w:tcW w:type="dxa" w:w="1560"/>
          </w:tcPr>
          <w:p>
            <w:pPr>
              <w:jc w:val="right"/>
            </w:pPr>
            <w:r>
              <w:rPr>
                <w:rFonts w:ascii="Times New Roman" w:hAnsi="Times New Roman"/>
                <w:sz w:val="17"/>
              </w:rPr>
              <w:t>0.510</w:t>
            </w:r>
          </w:p>
        </w:tc>
      </w:tr>
    </w:tbl>
    <w:p>
      <w:pPr>
        <w:spacing w:after="120"/>
      </w:pPr>
    </w:p>
    <w:p>
      <w:pPr>
        <w:spacing w:before="200" w:after="60"/>
      </w:pPr>
      <w:r>
        <w:rPr>
          <w:rFonts w:ascii="Times New Roman" w:hAnsi="Times New Roman"/>
          <w:b/>
          <w:color w:val="2B5C8F"/>
          <w:sz w:val="26"/>
        </w:rPr>
        <w:t>3.3 Feature Importance and SHAP Attribution</w:t>
      </w:r>
    </w:p>
    <w:p>
      <w:r>
        <w:t>The top 25 features identified through Grandmaster feature selection are detailed in Table 3 and visualized in Figures 3 and 4. The dominant predictor of seasonal yield volatility is the seasonal planting date divergence (plant_month_delta), accounting for 34.2% of total feature gain.</w:t>
      </w:r>
    </w:p>
    <w:p>
      <w:pPr>
        <w:spacing w:before="200"/>
        <w:jc w:val="center"/>
      </w:pPr>
      <w:r>
        <w:drawing>
          <wp:inline xmlns:a="http://schemas.openxmlformats.org/drawingml/2006/main" xmlns:pic="http://schemas.openxmlformats.org/drawingml/2006/picture">
            <wp:extent cx="5669280" cy="2134569"/>
            <wp:docPr id="3" name="Picture 3"/>
            <wp:cNvGraphicFramePr>
              <a:graphicFrameLocks noChangeAspect="1"/>
            </wp:cNvGraphicFramePr>
            <a:graphic>
              <a:graphicData uri="http://schemas.openxmlformats.org/drawingml/2006/picture">
                <pic:pic>
                  <pic:nvPicPr>
                    <pic:cNvPr id="0" name="fig3_grandmaster_feature_importance_and_selection.png"/>
                    <pic:cNvPicPr/>
                  </pic:nvPicPr>
                  <pic:blipFill>
                    <a:blip r:embed="rId11"/>
                    <a:stretch>
                      <a:fillRect/>
                    </a:stretch>
                  </pic:blipFill>
                  <pic:spPr>
                    <a:xfrm>
                      <a:off x="0" y="0"/>
                      <a:ext cx="5669280" cy="2134569"/>
                    </a:xfrm>
                    <a:prstGeom prst="rect"/>
                  </pic:spPr>
                </pic:pic>
              </a:graphicData>
            </a:graphic>
          </wp:inline>
        </w:drawing>
      </w:r>
    </w:p>
    <w:p>
      <w:pPr>
        <w:spacing w:after="240"/>
        <w:jc w:val="center"/>
      </w:pPr>
      <w:r>
        <w:rPr>
          <w:rFonts w:ascii="Times New Roman" w:hAnsi="Times New Roman"/>
          <w:i/>
          <w:sz w:val="19"/>
        </w:rPr>
        <w:t>Figure 3: Grandmaster feature importance scree and domain attribution breakdown. (A) Cumulative gain scree plot identifying the elbow point for top-25 feature selection. (B) Normalized feature importance across four functional domains: seasonal input deltas, crop portfolio diversity, household endowments, and spatial agro-climatic context.</w:t>
      </w:r>
    </w:p>
    <w:p>
      <w:pPr>
        <w:spacing w:before="200"/>
        <w:jc w:val="center"/>
      </w:pPr>
      <w:r>
        <w:drawing>
          <wp:inline xmlns:a="http://schemas.openxmlformats.org/drawingml/2006/main" xmlns:pic="http://schemas.openxmlformats.org/drawingml/2006/picture">
            <wp:extent cx="5669280" cy="2268880"/>
            <wp:docPr id="4" name="Picture 4"/>
            <wp:cNvGraphicFramePr>
              <a:graphicFrameLocks noChangeAspect="1"/>
            </wp:cNvGraphicFramePr>
            <a:graphic>
              <a:graphicData uri="http://schemas.openxmlformats.org/drawingml/2006/picture">
                <pic:pic>
                  <pic:nvPicPr>
                    <pic:cNvPr id="0" name="fig4_shap_global_feature_attributions.png"/>
                    <pic:cNvPicPr/>
                  </pic:nvPicPr>
                  <pic:blipFill>
                    <a:blip r:embed="rId12"/>
                    <a:stretch>
                      <a:fillRect/>
                    </a:stretch>
                  </pic:blipFill>
                  <pic:spPr>
                    <a:xfrm>
                      <a:off x="0" y="0"/>
                      <a:ext cx="5669280" cy="2268880"/>
                    </a:xfrm>
                    <a:prstGeom prst="rect"/>
                  </pic:spPr>
                </pic:pic>
              </a:graphicData>
            </a:graphic>
          </wp:inline>
        </w:drawing>
      </w:r>
    </w:p>
    <w:p>
      <w:pPr>
        <w:spacing w:after="240"/>
        <w:jc w:val="center"/>
      </w:pPr>
      <w:r>
        <w:rPr>
          <w:rFonts w:ascii="Times New Roman" w:hAnsi="Times New Roman"/>
          <w:i/>
          <w:sz w:val="19"/>
        </w:rPr>
        <w:t>Figure 4: Global SHAP feature attributions and directional dependency plots. (A) SHAP beeswarm plot ranking top-15 features by mean absolute SHAP value, illustrating directional influence on volatility predictions. (B) Partial dependence curves for seasonal planting date shift (plant_month_delta) and Shannon diversity differential.</w:t>
      </w:r>
    </w:p>
    <w:p>
      <w:pPr>
        <w:spacing w:before="160" w:after="60"/>
      </w:pPr>
      <w:r>
        <w:rPr>
          <w:b/>
          <w:sz w:val="20"/>
        </w:rPr>
        <w:t>Table 3: Top-25 engineered features ranked by LightGBM split frequency and normalized gain importance. (Top 15 Features)</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8"/>
              </w:rPr>
              <w:t>Rank</w:t>
            </w:r>
          </w:p>
        </w:tc>
        <w:tc>
          <w:tcPr>
            <w:tcW w:type="dxa" w:w="1560"/>
          </w:tcPr>
          <w:p>
            <w:pPr>
              <w:jc w:val="center"/>
            </w:pPr>
            <w:r>
              <w:rPr>
                <w:rFonts w:ascii="Times New Roman" w:hAnsi="Times New Roman"/>
                <w:b/>
                <w:sz w:val="18"/>
              </w:rPr>
              <w:t>Feature Identifier</w:t>
            </w:r>
          </w:p>
        </w:tc>
        <w:tc>
          <w:tcPr>
            <w:tcW w:type="dxa" w:w="1560"/>
          </w:tcPr>
          <w:p>
            <w:pPr>
              <w:jc w:val="center"/>
            </w:pPr>
            <w:r>
              <w:rPr>
                <w:rFonts w:ascii="Times New Roman" w:hAnsi="Times New Roman"/>
                <w:b/>
                <w:sz w:val="18"/>
              </w:rPr>
              <w:t>Agronomic Domain</w:t>
            </w:r>
          </w:p>
        </w:tc>
        <w:tc>
          <w:tcPr>
            <w:tcW w:type="dxa" w:w="1560"/>
          </w:tcPr>
          <w:p>
            <w:pPr>
              <w:jc w:val="center"/>
            </w:pPr>
            <w:r>
              <w:rPr>
                <w:rFonts w:ascii="Times New Roman" w:hAnsi="Times New Roman"/>
                <w:b/>
                <w:sz w:val="18"/>
              </w:rPr>
              <w:t>Split Frequency</w:t>
            </w:r>
          </w:p>
        </w:tc>
        <w:tc>
          <w:tcPr>
            <w:tcW w:type="dxa" w:w="1560"/>
          </w:tcPr>
          <w:p>
            <w:pPr>
              <w:jc w:val="center"/>
            </w:pPr>
            <w:r>
              <w:rPr>
                <w:rFonts w:ascii="Times New Roman" w:hAnsi="Times New Roman"/>
                <w:b/>
                <w:sz w:val="18"/>
              </w:rPr>
              <w:t>Gain Importance</w:t>
            </w:r>
          </w:p>
        </w:tc>
        <w:tc>
          <w:tcPr>
            <w:tcW w:type="dxa" w:w="1560"/>
          </w:tcPr>
          <w:p>
            <w:pPr>
              <w:jc w:val="center"/>
            </w:pPr>
            <w:r>
              <w:rPr>
                <w:rFonts w:ascii="Times New Roman" w:hAnsi="Times New Roman"/>
                <w:b/>
                <w:sz w:val="18"/>
              </w:rPr>
              <w:t>Agronomic Rationale</w:t>
            </w:r>
          </w:p>
        </w:tc>
      </w:tr>
      <w:tr>
        <w:tc>
          <w:tcPr>
            <w:tcW w:type="dxa" w:w="1560"/>
          </w:tcPr>
          <w:p>
            <w:pPr>
              <w:jc w:val="left"/>
            </w:pPr>
            <w:r>
              <w:rPr>
                <w:rFonts w:ascii="Times New Roman" w:hAnsi="Times New Roman"/>
                <w:sz w:val="17"/>
              </w:rPr>
              <w:t>1</w:t>
            </w:r>
          </w:p>
        </w:tc>
        <w:tc>
          <w:tcPr>
            <w:tcW w:type="dxa" w:w="1560"/>
          </w:tcPr>
          <w:p>
            <w:pPr>
              <w:jc w:val="right"/>
            </w:pPr>
            <w:r>
              <w:rPr>
                <w:rFonts w:ascii="Times New Roman" w:hAnsi="Times New Roman"/>
                <w:sz w:val="17"/>
              </w:rPr>
              <w:t>plant_month_delta</w:t>
            </w:r>
          </w:p>
        </w:tc>
        <w:tc>
          <w:tcPr>
            <w:tcW w:type="dxa" w:w="1560"/>
          </w:tcPr>
          <w:p>
            <w:pPr>
              <w:jc w:val="right"/>
            </w:pPr>
            <w:r>
              <w:rPr>
                <w:rFonts w:ascii="Times New Roman" w:hAnsi="Times New Roman"/>
                <w:sz w:val="17"/>
              </w:rPr>
              <w:t>Agronomic Timing</w:t>
            </w:r>
          </w:p>
        </w:tc>
        <w:tc>
          <w:tcPr>
            <w:tcW w:type="dxa" w:w="1560"/>
          </w:tcPr>
          <w:p>
            <w:pPr>
              <w:jc w:val="right"/>
            </w:pPr>
            <w:r>
              <w:rPr>
                <w:rFonts w:ascii="Times New Roman" w:hAnsi="Times New Roman"/>
                <w:sz w:val="17"/>
              </w:rPr>
              <w:t>300</w:t>
            </w:r>
          </w:p>
        </w:tc>
        <w:tc>
          <w:tcPr>
            <w:tcW w:type="dxa" w:w="1560"/>
          </w:tcPr>
          <w:p>
            <w:pPr>
              <w:jc w:val="right"/>
            </w:pPr>
            <w:r>
              <w:rPr>
                <w:rFonts w:ascii="Times New Roman" w:hAnsi="Times New Roman"/>
                <w:sz w:val="17"/>
              </w:rPr>
              <w:t>11375.6</w:t>
            </w:r>
          </w:p>
        </w:tc>
        <w:tc>
          <w:tcPr>
            <w:tcW w:type="dxa" w:w="1560"/>
          </w:tcPr>
          <w:p>
            <w:pPr>
              <w:jc w:val="right"/>
            </w:pPr>
            <w:r>
              <w:rPr>
                <w:rFonts w:ascii="Times New Roman" w:hAnsi="Times New Roman"/>
                <w:sz w:val="17"/>
              </w:rPr>
              <w:t>Misalignment in seasonal onset and crop establishment timing</w:t>
            </w:r>
          </w:p>
        </w:tc>
      </w:tr>
      <w:tr>
        <w:tc>
          <w:tcPr>
            <w:tcW w:type="dxa" w:w="1560"/>
          </w:tcPr>
          <w:p>
            <w:pPr>
              <w:jc w:val="left"/>
            </w:pPr>
            <w:r>
              <w:rPr>
                <w:rFonts w:ascii="Times New Roman" w:hAnsi="Times New Roman"/>
                <w:sz w:val="17"/>
              </w:rPr>
              <w:t>2</w:t>
            </w:r>
          </w:p>
        </w:tc>
        <w:tc>
          <w:tcPr>
            <w:tcW w:type="dxa" w:w="1560"/>
          </w:tcPr>
          <w:p>
            <w:pPr>
              <w:jc w:val="right"/>
            </w:pPr>
            <w:r>
              <w:rPr>
                <w:rFonts w:ascii="Times New Roman" w:hAnsi="Times New Roman"/>
                <w:sz w:val="17"/>
              </w:rPr>
              <w:t>m_harvest_pct_mean</w:t>
            </w:r>
          </w:p>
        </w:tc>
        <w:tc>
          <w:tcPr>
            <w:tcW w:type="dxa" w:w="1560"/>
          </w:tcPr>
          <w:p>
            <w:pPr>
              <w:jc w:val="right"/>
            </w:pPr>
            <w:r>
              <w:rPr>
                <w:rFonts w:ascii="Times New Roman" w:hAnsi="Times New Roman"/>
                <w:sz w:val="17"/>
              </w:rPr>
              <w:t>Harvest Outcomes</w:t>
            </w:r>
          </w:p>
        </w:tc>
        <w:tc>
          <w:tcPr>
            <w:tcW w:type="dxa" w:w="1560"/>
          </w:tcPr>
          <w:p>
            <w:pPr>
              <w:jc w:val="right"/>
            </w:pPr>
            <w:r>
              <w:rPr>
                <w:rFonts w:ascii="Times New Roman" w:hAnsi="Times New Roman"/>
                <w:sz w:val="17"/>
              </w:rPr>
              <w:t>212</w:t>
            </w:r>
          </w:p>
        </w:tc>
        <w:tc>
          <w:tcPr>
            <w:tcW w:type="dxa" w:w="1560"/>
          </w:tcPr>
          <w:p>
            <w:pPr>
              <w:jc w:val="right"/>
            </w:pPr>
            <w:r>
              <w:rPr>
                <w:rFonts w:ascii="Times New Roman" w:hAnsi="Times New Roman"/>
                <w:sz w:val="17"/>
              </w:rPr>
              <w:t>2608.2</w:t>
            </w:r>
          </w:p>
        </w:tc>
        <w:tc>
          <w:tcPr>
            <w:tcW w:type="dxa" w:w="1560"/>
          </w:tcPr>
          <w:p>
            <w:pPr>
              <w:jc w:val="right"/>
            </w:pPr>
            <w:r>
              <w:rPr>
                <w:rFonts w:ascii="Times New Roman" w:hAnsi="Times New Roman"/>
                <w:sz w:val="17"/>
              </w:rPr>
              <w:t>Average proportion of cultivated area successfully harvested</w:t>
            </w:r>
          </w:p>
        </w:tc>
      </w:tr>
      <w:tr>
        <w:tc>
          <w:tcPr>
            <w:tcW w:type="dxa" w:w="1560"/>
          </w:tcPr>
          <w:p>
            <w:pPr>
              <w:jc w:val="left"/>
            </w:pPr>
            <w:r>
              <w:rPr>
                <w:rFonts w:ascii="Times New Roman" w:hAnsi="Times New Roman"/>
                <w:sz w:val="17"/>
              </w:rPr>
              <w:t>3</w:t>
            </w:r>
          </w:p>
        </w:tc>
        <w:tc>
          <w:tcPr>
            <w:tcW w:type="dxa" w:w="1560"/>
          </w:tcPr>
          <w:p>
            <w:pPr>
              <w:jc w:val="right"/>
            </w:pPr>
            <w:r>
              <w:rPr>
                <w:rFonts w:ascii="Times New Roman" w:hAnsi="Times New Roman"/>
                <w:sz w:val="17"/>
              </w:rPr>
              <w:t>v_plant_month_mean</w:t>
            </w:r>
          </w:p>
        </w:tc>
        <w:tc>
          <w:tcPr>
            <w:tcW w:type="dxa" w:w="1560"/>
          </w:tcPr>
          <w:p>
            <w:pPr>
              <w:jc w:val="right"/>
            </w:pPr>
            <w:r>
              <w:rPr>
                <w:rFonts w:ascii="Times New Roman" w:hAnsi="Times New Roman"/>
                <w:sz w:val="17"/>
              </w:rPr>
              <w:t>Agronomic Timing</w:t>
            </w:r>
          </w:p>
        </w:tc>
        <w:tc>
          <w:tcPr>
            <w:tcW w:type="dxa" w:w="1560"/>
          </w:tcPr>
          <w:p>
            <w:pPr>
              <w:jc w:val="right"/>
            </w:pPr>
            <w:r>
              <w:rPr>
                <w:rFonts w:ascii="Times New Roman" w:hAnsi="Times New Roman"/>
                <w:sz w:val="17"/>
              </w:rPr>
              <w:t>205</w:t>
            </w:r>
          </w:p>
        </w:tc>
        <w:tc>
          <w:tcPr>
            <w:tcW w:type="dxa" w:w="1560"/>
          </w:tcPr>
          <w:p>
            <w:pPr>
              <w:jc w:val="right"/>
            </w:pPr>
            <w:r>
              <w:rPr>
                <w:rFonts w:ascii="Times New Roman" w:hAnsi="Times New Roman"/>
                <w:sz w:val="17"/>
              </w:rPr>
              <w:t>2502.8</w:t>
            </w:r>
          </w:p>
        </w:tc>
        <w:tc>
          <w:tcPr>
            <w:tcW w:type="dxa" w:w="1560"/>
          </w:tcPr>
          <w:p>
            <w:pPr>
              <w:jc w:val="right"/>
            </w:pPr>
            <w:r>
              <w:rPr>
                <w:rFonts w:ascii="Times New Roman" w:hAnsi="Times New Roman"/>
                <w:sz w:val="17"/>
              </w:rPr>
              <w:t>Timing of Vuli short-rain planting relative to dry-season onset</w:t>
            </w:r>
          </w:p>
        </w:tc>
      </w:tr>
      <w:tr>
        <w:tc>
          <w:tcPr>
            <w:tcW w:type="dxa" w:w="1560"/>
          </w:tcPr>
          <w:p>
            <w:pPr>
              <w:jc w:val="left"/>
            </w:pPr>
            <w:r>
              <w:rPr>
                <w:rFonts w:ascii="Times New Roman" w:hAnsi="Times New Roman"/>
                <w:sz w:val="17"/>
              </w:rPr>
              <w:t>4</w:t>
            </w:r>
          </w:p>
        </w:tc>
        <w:tc>
          <w:tcPr>
            <w:tcW w:type="dxa" w:w="1560"/>
          </w:tcPr>
          <w:p>
            <w:pPr>
              <w:jc w:val="right"/>
            </w:pPr>
            <w:r>
              <w:rPr>
                <w:rFonts w:ascii="Times New Roman" w:hAnsi="Times New Roman"/>
                <w:sz w:val="17"/>
              </w:rPr>
              <w:t>shannon_diff_from_region_mean</w:t>
            </w:r>
          </w:p>
        </w:tc>
        <w:tc>
          <w:tcPr>
            <w:tcW w:type="dxa" w:w="1560"/>
          </w:tcPr>
          <w:p>
            <w:pPr>
              <w:jc w:val="right"/>
            </w:pPr>
            <w:r>
              <w:rPr>
                <w:rFonts w:ascii="Times New Roman" w:hAnsi="Times New Roman"/>
                <w:sz w:val="17"/>
              </w:rPr>
              <w:t>Crop Diversity</w:t>
            </w:r>
          </w:p>
        </w:tc>
        <w:tc>
          <w:tcPr>
            <w:tcW w:type="dxa" w:w="1560"/>
          </w:tcPr>
          <w:p>
            <w:pPr>
              <w:jc w:val="right"/>
            </w:pPr>
            <w:r>
              <w:rPr>
                <w:rFonts w:ascii="Times New Roman" w:hAnsi="Times New Roman"/>
                <w:sz w:val="17"/>
              </w:rPr>
              <w:t>187</w:t>
            </w:r>
          </w:p>
        </w:tc>
        <w:tc>
          <w:tcPr>
            <w:tcW w:type="dxa" w:w="1560"/>
          </w:tcPr>
          <w:p>
            <w:pPr>
              <w:jc w:val="right"/>
            </w:pPr>
            <w:r>
              <w:rPr>
                <w:rFonts w:ascii="Times New Roman" w:hAnsi="Times New Roman"/>
                <w:sz w:val="17"/>
              </w:rPr>
              <w:t>423.740</w:t>
            </w:r>
          </w:p>
        </w:tc>
        <w:tc>
          <w:tcPr>
            <w:tcW w:type="dxa" w:w="1560"/>
          </w:tcPr>
          <w:p>
            <w:pPr>
              <w:jc w:val="right"/>
            </w:pPr>
            <w:r>
              <w:rPr>
                <w:rFonts w:ascii="Times New Roman" w:hAnsi="Times New Roman"/>
                <w:sz w:val="17"/>
              </w:rPr>
              <w:t>Portfolio diversification relative to local peer average</w:t>
            </w:r>
          </w:p>
        </w:tc>
      </w:tr>
      <w:tr>
        <w:tc>
          <w:tcPr>
            <w:tcW w:type="dxa" w:w="1560"/>
          </w:tcPr>
          <w:p>
            <w:pPr>
              <w:jc w:val="left"/>
            </w:pPr>
            <w:r>
              <w:rPr>
                <w:rFonts w:ascii="Times New Roman" w:hAnsi="Times New Roman"/>
                <w:sz w:val="17"/>
              </w:rPr>
              <w:t>5</w:t>
            </w:r>
          </w:p>
        </w:tc>
        <w:tc>
          <w:tcPr>
            <w:tcW w:type="dxa" w:w="1560"/>
          </w:tcPr>
          <w:p>
            <w:pPr>
              <w:jc w:val="right"/>
            </w:pPr>
            <w:r>
              <w:rPr>
                <w:rFonts w:ascii="Times New Roman" w:hAnsi="Times New Roman"/>
                <w:sz w:val="17"/>
              </w:rPr>
              <w:t>delta_evenness</w:t>
            </w:r>
          </w:p>
        </w:tc>
        <w:tc>
          <w:tcPr>
            <w:tcW w:type="dxa" w:w="1560"/>
          </w:tcPr>
          <w:p>
            <w:pPr>
              <w:jc w:val="right"/>
            </w:pPr>
            <w:r>
              <w:rPr>
                <w:rFonts w:ascii="Times New Roman" w:hAnsi="Times New Roman"/>
                <w:sz w:val="17"/>
              </w:rPr>
              <w:t>Crop Diversity</w:t>
            </w:r>
          </w:p>
        </w:tc>
        <w:tc>
          <w:tcPr>
            <w:tcW w:type="dxa" w:w="1560"/>
          </w:tcPr>
          <w:p>
            <w:pPr>
              <w:jc w:val="right"/>
            </w:pPr>
            <w:r>
              <w:rPr>
                <w:rFonts w:ascii="Times New Roman" w:hAnsi="Times New Roman"/>
                <w:sz w:val="17"/>
              </w:rPr>
              <w:t>142</w:t>
            </w:r>
          </w:p>
        </w:tc>
        <w:tc>
          <w:tcPr>
            <w:tcW w:type="dxa" w:w="1560"/>
          </w:tcPr>
          <w:p>
            <w:pPr>
              <w:jc w:val="right"/>
            </w:pPr>
            <w:r>
              <w:rPr>
                <w:rFonts w:ascii="Times New Roman" w:hAnsi="Times New Roman"/>
                <w:sz w:val="17"/>
              </w:rPr>
              <w:t>356.965</w:t>
            </w:r>
          </w:p>
        </w:tc>
        <w:tc>
          <w:tcPr>
            <w:tcW w:type="dxa" w:w="1560"/>
          </w:tcPr>
          <w:p>
            <w:pPr>
              <w:jc w:val="right"/>
            </w:pPr>
            <w:r>
              <w:rPr>
                <w:rFonts w:ascii="Times New Roman" w:hAnsi="Times New Roman"/>
                <w:sz w:val="17"/>
              </w:rPr>
              <w:t>Seasonal shift in Pielou evenness across plot cultivars</w:t>
            </w:r>
          </w:p>
        </w:tc>
      </w:tr>
      <w:tr>
        <w:tc>
          <w:tcPr>
            <w:tcW w:type="dxa" w:w="1560"/>
          </w:tcPr>
          <w:p>
            <w:pPr>
              <w:jc w:val="left"/>
            </w:pPr>
            <w:r>
              <w:rPr>
                <w:rFonts w:ascii="Times New Roman" w:hAnsi="Times New Roman"/>
                <w:sz w:val="17"/>
              </w:rPr>
              <w:t>6</w:t>
            </w:r>
          </w:p>
        </w:tc>
        <w:tc>
          <w:tcPr>
            <w:tcW w:type="dxa" w:w="1560"/>
          </w:tcPr>
          <w:p>
            <w:pPr>
              <w:jc w:val="right"/>
            </w:pPr>
            <w:r>
              <w:rPr>
                <w:rFonts w:ascii="Times New Roman" w:hAnsi="Times New Roman"/>
                <w:sz w:val="17"/>
              </w:rPr>
              <w:t>total_livestock_tlu</w:t>
            </w:r>
          </w:p>
        </w:tc>
        <w:tc>
          <w:tcPr>
            <w:tcW w:type="dxa" w:w="1560"/>
          </w:tcPr>
          <w:p>
            <w:pPr>
              <w:jc w:val="right"/>
            </w:pPr>
            <w:r>
              <w:rPr>
                <w:rFonts w:ascii="Times New Roman" w:hAnsi="Times New Roman"/>
                <w:sz w:val="17"/>
              </w:rPr>
              <w:t>Asset Buffers</w:t>
            </w:r>
          </w:p>
        </w:tc>
        <w:tc>
          <w:tcPr>
            <w:tcW w:type="dxa" w:w="1560"/>
          </w:tcPr>
          <w:p>
            <w:pPr>
              <w:jc w:val="right"/>
            </w:pPr>
            <w:r>
              <w:rPr>
                <w:rFonts w:ascii="Times New Roman" w:hAnsi="Times New Roman"/>
                <w:sz w:val="17"/>
              </w:rPr>
              <w:t>141</w:t>
            </w:r>
          </w:p>
        </w:tc>
        <w:tc>
          <w:tcPr>
            <w:tcW w:type="dxa" w:w="1560"/>
          </w:tcPr>
          <w:p>
            <w:pPr>
              <w:jc w:val="right"/>
            </w:pPr>
            <w:r>
              <w:rPr>
                <w:rFonts w:ascii="Times New Roman" w:hAnsi="Times New Roman"/>
                <w:sz w:val="17"/>
              </w:rPr>
              <w:t>132.909</w:t>
            </w:r>
          </w:p>
        </w:tc>
        <w:tc>
          <w:tcPr>
            <w:tcW w:type="dxa" w:w="1560"/>
          </w:tcPr>
          <w:p>
            <w:pPr>
              <w:jc w:val="right"/>
            </w:pPr>
            <w:r>
              <w:rPr>
                <w:rFonts w:ascii="Times New Roman" w:hAnsi="Times New Roman"/>
                <w:sz w:val="17"/>
              </w:rPr>
              <w:t>Tropical Livestock Units providing buffer capital against crop failure</w:t>
            </w:r>
          </w:p>
        </w:tc>
      </w:tr>
      <w:tr>
        <w:tc>
          <w:tcPr>
            <w:tcW w:type="dxa" w:w="1560"/>
          </w:tcPr>
          <w:p>
            <w:pPr>
              <w:jc w:val="left"/>
            </w:pPr>
            <w:r>
              <w:rPr>
                <w:rFonts w:ascii="Times New Roman" w:hAnsi="Times New Roman"/>
                <w:sz w:val="17"/>
              </w:rPr>
              <w:t>7</w:t>
            </w:r>
          </w:p>
        </w:tc>
        <w:tc>
          <w:tcPr>
            <w:tcW w:type="dxa" w:w="1560"/>
          </w:tcPr>
          <w:p>
            <w:pPr>
              <w:jc w:val="right"/>
            </w:pPr>
            <w:r>
              <w:rPr>
                <w:rFonts w:ascii="Times New Roman" w:hAnsi="Times New Roman"/>
                <w:sz w:val="17"/>
              </w:rPr>
              <w:t>m_no_harvest_share</w:t>
            </w:r>
          </w:p>
        </w:tc>
        <w:tc>
          <w:tcPr>
            <w:tcW w:type="dxa" w:w="1560"/>
          </w:tcPr>
          <w:p>
            <w:pPr>
              <w:jc w:val="right"/>
            </w:pPr>
            <w:r>
              <w:rPr>
                <w:rFonts w:ascii="Times New Roman" w:hAnsi="Times New Roman"/>
                <w:sz w:val="17"/>
              </w:rPr>
              <w:t>Failure Shocks</w:t>
            </w:r>
          </w:p>
        </w:tc>
        <w:tc>
          <w:tcPr>
            <w:tcW w:type="dxa" w:w="1560"/>
          </w:tcPr>
          <w:p>
            <w:pPr>
              <w:jc w:val="right"/>
            </w:pPr>
            <w:r>
              <w:rPr>
                <w:rFonts w:ascii="Times New Roman" w:hAnsi="Times New Roman"/>
                <w:sz w:val="17"/>
              </w:rPr>
              <w:t>131</w:t>
            </w:r>
          </w:p>
        </w:tc>
        <w:tc>
          <w:tcPr>
            <w:tcW w:type="dxa" w:w="1560"/>
          </w:tcPr>
          <w:p>
            <w:pPr>
              <w:jc w:val="right"/>
            </w:pPr>
            <w:r>
              <w:rPr>
                <w:rFonts w:ascii="Times New Roman" w:hAnsi="Times New Roman"/>
                <w:sz w:val="17"/>
              </w:rPr>
              <w:t>1812.3</w:t>
            </w:r>
          </w:p>
        </w:tc>
        <w:tc>
          <w:tcPr>
            <w:tcW w:type="dxa" w:w="1560"/>
          </w:tcPr>
          <w:p>
            <w:pPr>
              <w:jc w:val="right"/>
            </w:pPr>
            <w:r>
              <w:rPr>
                <w:rFonts w:ascii="Times New Roman" w:hAnsi="Times New Roman"/>
                <w:sz w:val="17"/>
              </w:rPr>
              <w:t>Share of plots suffering total crop abandonment in Masika</w:t>
            </w:r>
          </w:p>
        </w:tc>
      </w:tr>
      <w:tr>
        <w:tc>
          <w:tcPr>
            <w:tcW w:type="dxa" w:w="1560"/>
          </w:tcPr>
          <w:p>
            <w:pPr>
              <w:jc w:val="left"/>
            </w:pPr>
            <w:r>
              <w:rPr>
                <w:rFonts w:ascii="Times New Roman" w:hAnsi="Times New Roman"/>
                <w:sz w:val="17"/>
              </w:rPr>
              <w:t>8</w:t>
            </w:r>
          </w:p>
        </w:tc>
        <w:tc>
          <w:tcPr>
            <w:tcW w:type="dxa" w:w="1560"/>
          </w:tcPr>
          <w:p>
            <w:pPr>
              <w:jc w:val="right"/>
            </w:pPr>
            <w:r>
              <w:rPr>
                <w:rFonts w:ascii="Times New Roman" w:hAnsi="Times New Roman"/>
                <w:sz w:val="17"/>
              </w:rPr>
              <w:t>dist_agronomic_archetype_1</w:t>
            </w:r>
          </w:p>
        </w:tc>
        <w:tc>
          <w:tcPr>
            <w:tcW w:type="dxa" w:w="1560"/>
          </w:tcPr>
          <w:p>
            <w:pPr>
              <w:jc w:val="right"/>
            </w:pPr>
            <w:r>
              <w:rPr>
                <w:rFonts w:ascii="Times New Roman" w:hAnsi="Times New Roman"/>
                <w:sz w:val="17"/>
              </w:rPr>
              <w:t>Latent Archetype</w:t>
            </w:r>
          </w:p>
        </w:tc>
        <w:tc>
          <w:tcPr>
            <w:tcW w:type="dxa" w:w="1560"/>
          </w:tcPr>
          <w:p>
            <w:pPr>
              <w:jc w:val="right"/>
            </w:pPr>
            <w:r>
              <w:rPr>
                <w:rFonts w:ascii="Times New Roman" w:hAnsi="Times New Roman"/>
                <w:sz w:val="17"/>
              </w:rPr>
              <w:t>119</w:t>
            </w:r>
          </w:p>
        </w:tc>
        <w:tc>
          <w:tcPr>
            <w:tcW w:type="dxa" w:w="1560"/>
          </w:tcPr>
          <w:p>
            <w:pPr>
              <w:jc w:val="right"/>
            </w:pPr>
            <w:r>
              <w:rPr>
                <w:rFonts w:ascii="Times New Roman" w:hAnsi="Times New Roman"/>
                <w:sz w:val="17"/>
              </w:rPr>
              <w:t>222.649</w:t>
            </w:r>
          </w:p>
        </w:tc>
        <w:tc>
          <w:tcPr>
            <w:tcW w:type="dxa" w:w="1560"/>
          </w:tcPr>
          <w:p>
            <w:pPr>
              <w:jc w:val="right"/>
            </w:pPr>
            <w:r>
              <w:rPr>
                <w:rFonts w:ascii="Times New Roman" w:hAnsi="Times New Roman"/>
                <w:sz w:val="17"/>
              </w:rPr>
              <w:t>KMeans distance to Commercial Mixed Cropping cluster</w:t>
            </w:r>
          </w:p>
        </w:tc>
      </w:tr>
      <w:tr>
        <w:tc>
          <w:tcPr>
            <w:tcW w:type="dxa" w:w="1560"/>
          </w:tcPr>
          <w:p>
            <w:pPr>
              <w:jc w:val="left"/>
            </w:pPr>
            <w:r>
              <w:rPr>
                <w:rFonts w:ascii="Times New Roman" w:hAnsi="Times New Roman"/>
                <w:sz w:val="17"/>
              </w:rPr>
              <w:t>9</w:t>
            </w:r>
          </w:p>
        </w:tc>
        <w:tc>
          <w:tcPr>
            <w:tcW w:type="dxa" w:w="1560"/>
          </w:tcPr>
          <w:p>
            <w:pPr>
              <w:jc w:val="right"/>
            </w:pPr>
            <w:r>
              <w:rPr>
                <w:rFonts w:ascii="Times New Roman" w:hAnsi="Times New Roman"/>
                <w:sz w:val="17"/>
              </w:rPr>
              <w:t>land_per_adult_labor</w:t>
            </w:r>
          </w:p>
        </w:tc>
        <w:tc>
          <w:tcPr>
            <w:tcW w:type="dxa" w:w="1560"/>
          </w:tcPr>
          <w:p>
            <w:pPr>
              <w:jc w:val="right"/>
            </w:pPr>
            <w:r>
              <w:rPr>
                <w:rFonts w:ascii="Times New Roman" w:hAnsi="Times New Roman"/>
                <w:sz w:val="17"/>
              </w:rPr>
              <w:t>Labor Dynamics</w:t>
            </w:r>
          </w:p>
        </w:tc>
        <w:tc>
          <w:tcPr>
            <w:tcW w:type="dxa" w:w="1560"/>
          </w:tcPr>
          <w:p>
            <w:pPr>
              <w:jc w:val="right"/>
            </w:pPr>
            <w:r>
              <w:rPr>
                <w:rFonts w:ascii="Times New Roman" w:hAnsi="Times New Roman"/>
                <w:sz w:val="17"/>
              </w:rPr>
              <w:t>118</w:t>
            </w:r>
          </w:p>
        </w:tc>
        <w:tc>
          <w:tcPr>
            <w:tcW w:type="dxa" w:w="1560"/>
          </w:tcPr>
          <w:p>
            <w:pPr>
              <w:jc w:val="right"/>
            </w:pPr>
            <w:r>
              <w:rPr>
                <w:rFonts w:ascii="Times New Roman" w:hAnsi="Times New Roman"/>
                <w:sz w:val="17"/>
              </w:rPr>
              <w:t>155.704</w:t>
            </w:r>
          </w:p>
        </w:tc>
        <w:tc>
          <w:tcPr>
            <w:tcW w:type="dxa" w:w="1560"/>
          </w:tcPr>
          <w:p>
            <w:pPr>
              <w:jc w:val="right"/>
            </w:pPr>
            <w:r>
              <w:rPr>
                <w:rFonts w:ascii="Times New Roman" w:hAnsi="Times New Roman"/>
                <w:sz w:val="17"/>
              </w:rPr>
              <w:t>Farm capitalization ratio (cultivated hectares per adult laborer)</w:t>
            </w:r>
          </w:p>
        </w:tc>
      </w:tr>
      <w:tr>
        <w:tc>
          <w:tcPr>
            <w:tcW w:type="dxa" w:w="1560"/>
          </w:tcPr>
          <w:p>
            <w:pPr>
              <w:jc w:val="left"/>
            </w:pPr>
            <w:r>
              <w:rPr>
                <w:rFonts w:ascii="Times New Roman" w:hAnsi="Times New Roman"/>
                <w:sz w:val="17"/>
              </w:rPr>
              <w:t>10</w:t>
            </w:r>
          </w:p>
        </w:tc>
        <w:tc>
          <w:tcPr>
            <w:tcW w:type="dxa" w:w="1560"/>
          </w:tcPr>
          <w:p>
            <w:pPr>
              <w:jc w:val="right"/>
            </w:pPr>
            <w:r>
              <w:rPr>
                <w:rFonts w:ascii="Times New Roman" w:hAnsi="Times New Roman"/>
                <w:sz w:val="17"/>
              </w:rPr>
              <w:t>plot_area_mean</w:t>
            </w:r>
          </w:p>
        </w:tc>
        <w:tc>
          <w:tcPr>
            <w:tcW w:type="dxa" w:w="1560"/>
          </w:tcPr>
          <w:p>
            <w:pPr>
              <w:jc w:val="right"/>
            </w:pPr>
            <w:r>
              <w:rPr>
                <w:rFonts w:ascii="Times New Roman" w:hAnsi="Times New Roman"/>
                <w:sz w:val="17"/>
              </w:rPr>
              <w:t>Plot Heterogeneity</w:t>
            </w:r>
          </w:p>
        </w:tc>
        <w:tc>
          <w:tcPr>
            <w:tcW w:type="dxa" w:w="1560"/>
          </w:tcPr>
          <w:p>
            <w:pPr>
              <w:jc w:val="right"/>
            </w:pPr>
            <w:r>
              <w:rPr>
                <w:rFonts w:ascii="Times New Roman" w:hAnsi="Times New Roman"/>
                <w:sz w:val="17"/>
              </w:rPr>
              <w:t>117</w:t>
            </w:r>
          </w:p>
        </w:tc>
        <w:tc>
          <w:tcPr>
            <w:tcW w:type="dxa" w:w="1560"/>
          </w:tcPr>
          <w:p>
            <w:pPr>
              <w:jc w:val="right"/>
            </w:pPr>
            <w:r>
              <w:rPr>
                <w:rFonts w:ascii="Times New Roman" w:hAnsi="Times New Roman"/>
                <w:sz w:val="17"/>
              </w:rPr>
              <w:t>127.810</w:t>
            </w:r>
          </w:p>
        </w:tc>
        <w:tc>
          <w:tcPr>
            <w:tcW w:type="dxa" w:w="1560"/>
          </w:tcPr>
          <w:p>
            <w:pPr>
              <w:jc w:val="right"/>
            </w:pPr>
            <w:r>
              <w:rPr>
                <w:rFonts w:ascii="Times New Roman" w:hAnsi="Times New Roman"/>
                <w:sz w:val="17"/>
              </w:rPr>
              <w:t>Mean operational plot area across household holding</w:t>
            </w:r>
          </w:p>
        </w:tc>
      </w:tr>
      <w:tr>
        <w:tc>
          <w:tcPr>
            <w:tcW w:type="dxa" w:w="1560"/>
          </w:tcPr>
          <w:p>
            <w:pPr>
              <w:jc w:val="left"/>
            </w:pPr>
            <w:r>
              <w:rPr>
                <w:rFonts w:ascii="Times New Roman" w:hAnsi="Times New Roman"/>
                <w:sz w:val="17"/>
              </w:rPr>
              <w:t>11</w:t>
            </w:r>
          </w:p>
        </w:tc>
        <w:tc>
          <w:tcPr>
            <w:tcW w:type="dxa" w:w="1560"/>
          </w:tcPr>
          <w:p>
            <w:pPr>
              <w:jc w:val="right"/>
            </w:pPr>
            <w:r>
              <w:rPr>
                <w:rFonts w:ascii="Times New Roman" w:hAnsi="Times New Roman"/>
                <w:sz w:val="17"/>
              </w:rPr>
              <w:t>head_age</w:t>
            </w:r>
          </w:p>
        </w:tc>
        <w:tc>
          <w:tcPr>
            <w:tcW w:type="dxa" w:w="1560"/>
          </w:tcPr>
          <w:p>
            <w:pPr>
              <w:jc w:val="right"/>
            </w:pPr>
            <w:r>
              <w:rPr>
                <w:rFonts w:ascii="Times New Roman" w:hAnsi="Times New Roman"/>
                <w:sz w:val="17"/>
              </w:rPr>
              <w:t>Demographics</w:t>
            </w:r>
          </w:p>
        </w:tc>
        <w:tc>
          <w:tcPr>
            <w:tcW w:type="dxa" w:w="1560"/>
          </w:tcPr>
          <w:p>
            <w:pPr>
              <w:jc w:val="right"/>
            </w:pPr>
            <w:r>
              <w:rPr>
                <w:rFonts w:ascii="Times New Roman" w:hAnsi="Times New Roman"/>
                <w:sz w:val="17"/>
              </w:rPr>
              <w:t>115</w:t>
            </w:r>
          </w:p>
        </w:tc>
        <w:tc>
          <w:tcPr>
            <w:tcW w:type="dxa" w:w="1560"/>
          </w:tcPr>
          <w:p>
            <w:pPr>
              <w:jc w:val="right"/>
            </w:pPr>
            <w:r>
              <w:rPr>
                <w:rFonts w:ascii="Times New Roman" w:hAnsi="Times New Roman"/>
                <w:sz w:val="17"/>
              </w:rPr>
              <w:t>124.768</w:t>
            </w:r>
          </w:p>
        </w:tc>
        <w:tc>
          <w:tcPr>
            <w:tcW w:type="dxa" w:w="1560"/>
          </w:tcPr>
          <w:p>
            <w:pPr>
              <w:jc w:val="right"/>
            </w:pPr>
            <w:r>
              <w:rPr>
                <w:rFonts w:ascii="Times New Roman" w:hAnsi="Times New Roman"/>
                <w:sz w:val="17"/>
              </w:rPr>
              <w:t>Farming experience and human capital adaptive capacity</w:t>
            </w:r>
          </w:p>
        </w:tc>
      </w:tr>
      <w:tr>
        <w:tc>
          <w:tcPr>
            <w:tcW w:type="dxa" w:w="1560"/>
          </w:tcPr>
          <w:p>
            <w:pPr>
              <w:jc w:val="left"/>
            </w:pPr>
            <w:r>
              <w:rPr>
                <w:rFonts w:ascii="Times New Roman" w:hAnsi="Times New Roman"/>
                <w:sz w:val="17"/>
              </w:rPr>
              <w:t>12</w:t>
            </w:r>
          </w:p>
        </w:tc>
        <w:tc>
          <w:tcPr>
            <w:tcW w:type="dxa" w:w="1560"/>
          </w:tcPr>
          <w:p>
            <w:pPr>
              <w:jc w:val="right"/>
            </w:pPr>
            <w:r>
              <w:rPr>
                <w:rFonts w:ascii="Times New Roman" w:hAnsi="Times New Roman"/>
                <w:sz w:val="17"/>
              </w:rPr>
              <w:t>area_diff_from_region_mean</w:t>
            </w:r>
          </w:p>
        </w:tc>
        <w:tc>
          <w:tcPr>
            <w:tcW w:type="dxa" w:w="1560"/>
          </w:tcPr>
          <w:p>
            <w:pPr>
              <w:jc w:val="right"/>
            </w:pPr>
            <w:r>
              <w:rPr>
                <w:rFonts w:ascii="Times New Roman" w:hAnsi="Times New Roman"/>
                <w:sz w:val="17"/>
              </w:rPr>
              <w:t>Farm Structure</w:t>
            </w:r>
          </w:p>
        </w:tc>
        <w:tc>
          <w:tcPr>
            <w:tcW w:type="dxa" w:w="1560"/>
          </w:tcPr>
          <w:p>
            <w:pPr>
              <w:jc w:val="right"/>
            </w:pPr>
            <w:r>
              <w:rPr>
                <w:rFonts w:ascii="Times New Roman" w:hAnsi="Times New Roman"/>
                <w:sz w:val="17"/>
              </w:rPr>
              <w:t>113</w:t>
            </w:r>
          </w:p>
        </w:tc>
        <w:tc>
          <w:tcPr>
            <w:tcW w:type="dxa" w:w="1560"/>
          </w:tcPr>
          <w:p>
            <w:pPr>
              <w:jc w:val="right"/>
            </w:pPr>
            <w:r>
              <w:rPr>
                <w:rFonts w:ascii="Times New Roman" w:hAnsi="Times New Roman"/>
                <w:sz w:val="17"/>
              </w:rPr>
              <w:t>155.388</w:t>
            </w:r>
          </w:p>
        </w:tc>
        <w:tc>
          <w:tcPr>
            <w:tcW w:type="dxa" w:w="1560"/>
          </w:tcPr>
          <w:p>
            <w:pPr>
              <w:jc w:val="right"/>
            </w:pPr>
            <w:r>
              <w:rPr>
                <w:rFonts w:ascii="Times New Roman" w:hAnsi="Times New Roman"/>
                <w:sz w:val="17"/>
              </w:rPr>
              <w:t>Deviation of farm size from regional agro-ecological mean</w:t>
            </w:r>
          </w:p>
        </w:tc>
      </w:tr>
      <w:tr>
        <w:tc>
          <w:tcPr>
            <w:tcW w:type="dxa" w:w="1560"/>
          </w:tcPr>
          <w:p>
            <w:pPr>
              <w:jc w:val="left"/>
            </w:pPr>
            <w:r>
              <w:rPr>
                <w:rFonts w:ascii="Times New Roman" w:hAnsi="Times New Roman"/>
                <w:sz w:val="17"/>
              </w:rPr>
              <w:t>13</w:t>
            </w:r>
          </w:p>
        </w:tc>
        <w:tc>
          <w:tcPr>
            <w:tcW w:type="dxa" w:w="1560"/>
          </w:tcPr>
          <w:p>
            <w:pPr>
              <w:jc w:val="right"/>
            </w:pPr>
            <w:r>
              <w:rPr>
                <w:rFonts w:ascii="Times New Roman" w:hAnsi="Times New Roman"/>
                <w:sz w:val="17"/>
              </w:rPr>
              <w:t>total_livestock_head</w:t>
            </w:r>
          </w:p>
        </w:tc>
        <w:tc>
          <w:tcPr>
            <w:tcW w:type="dxa" w:w="1560"/>
          </w:tcPr>
          <w:p>
            <w:pPr>
              <w:jc w:val="right"/>
            </w:pPr>
            <w:r>
              <w:rPr>
                <w:rFonts w:ascii="Times New Roman" w:hAnsi="Times New Roman"/>
                <w:sz w:val="17"/>
              </w:rPr>
              <w:t>Asset Buffers</w:t>
            </w:r>
          </w:p>
        </w:tc>
        <w:tc>
          <w:tcPr>
            <w:tcW w:type="dxa" w:w="1560"/>
          </w:tcPr>
          <w:p>
            <w:pPr>
              <w:jc w:val="right"/>
            </w:pPr>
            <w:r>
              <w:rPr>
                <w:rFonts w:ascii="Times New Roman" w:hAnsi="Times New Roman"/>
                <w:sz w:val="17"/>
              </w:rPr>
              <w:t>105</w:t>
            </w:r>
          </w:p>
        </w:tc>
        <w:tc>
          <w:tcPr>
            <w:tcW w:type="dxa" w:w="1560"/>
          </w:tcPr>
          <w:p>
            <w:pPr>
              <w:jc w:val="right"/>
            </w:pPr>
            <w:r>
              <w:rPr>
                <w:rFonts w:ascii="Times New Roman" w:hAnsi="Times New Roman"/>
                <w:sz w:val="17"/>
              </w:rPr>
              <w:t>106.063</w:t>
            </w:r>
          </w:p>
        </w:tc>
        <w:tc>
          <w:tcPr>
            <w:tcW w:type="dxa" w:w="1560"/>
          </w:tcPr>
          <w:p>
            <w:pPr>
              <w:jc w:val="right"/>
            </w:pPr>
            <w:r>
              <w:rPr>
                <w:rFonts w:ascii="Times New Roman" w:hAnsi="Times New Roman"/>
                <w:sz w:val="17"/>
              </w:rPr>
              <w:t>Total count of livestock animals owned by holding</w:t>
            </w:r>
          </w:p>
        </w:tc>
      </w:tr>
      <w:tr>
        <w:tc>
          <w:tcPr>
            <w:tcW w:type="dxa" w:w="1560"/>
          </w:tcPr>
          <w:p>
            <w:pPr>
              <w:jc w:val="left"/>
            </w:pPr>
            <w:r>
              <w:rPr>
                <w:rFonts w:ascii="Times New Roman" w:hAnsi="Times New Roman"/>
                <w:sz w:val="17"/>
              </w:rPr>
              <w:t>14</w:t>
            </w:r>
          </w:p>
        </w:tc>
        <w:tc>
          <w:tcPr>
            <w:tcW w:type="dxa" w:w="1560"/>
          </w:tcPr>
          <w:p>
            <w:pPr>
              <w:jc w:val="right"/>
            </w:pPr>
            <w:r>
              <w:rPr>
                <w:rFonts w:ascii="Times New Roman" w:hAnsi="Times New Roman"/>
                <w:sz w:val="17"/>
              </w:rPr>
              <w:t>dist_agronomic_archetype_0</w:t>
            </w:r>
          </w:p>
        </w:tc>
        <w:tc>
          <w:tcPr>
            <w:tcW w:type="dxa" w:w="1560"/>
          </w:tcPr>
          <w:p>
            <w:pPr>
              <w:jc w:val="right"/>
            </w:pPr>
            <w:r>
              <w:rPr>
                <w:rFonts w:ascii="Times New Roman" w:hAnsi="Times New Roman"/>
                <w:sz w:val="17"/>
              </w:rPr>
              <w:t>Latent Archetype</w:t>
            </w:r>
          </w:p>
        </w:tc>
        <w:tc>
          <w:tcPr>
            <w:tcW w:type="dxa" w:w="1560"/>
          </w:tcPr>
          <w:p>
            <w:pPr>
              <w:jc w:val="right"/>
            </w:pPr>
            <w:r>
              <w:rPr>
                <w:rFonts w:ascii="Times New Roman" w:hAnsi="Times New Roman"/>
                <w:sz w:val="17"/>
              </w:rPr>
              <w:t>101</w:t>
            </w:r>
          </w:p>
        </w:tc>
        <w:tc>
          <w:tcPr>
            <w:tcW w:type="dxa" w:w="1560"/>
          </w:tcPr>
          <w:p>
            <w:pPr>
              <w:jc w:val="right"/>
            </w:pPr>
            <w:r>
              <w:rPr>
                <w:rFonts w:ascii="Times New Roman" w:hAnsi="Times New Roman"/>
                <w:sz w:val="17"/>
              </w:rPr>
              <w:t>133.088</w:t>
            </w:r>
          </w:p>
        </w:tc>
        <w:tc>
          <w:tcPr>
            <w:tcW w:type="dxa" w:w="1560"/>
          </w:tcPr>
          <w:p>
            <w:pPr>
              <w:jc w:val="right"/>
            </w:pPr>
            <w:r>
              <w:rPr>
                <w:rFonts w:ascii="Times New Roman" w:hAnsi="Times New Roman"/>
                <w:sz w:val="17"/>
              </w:rPr>
              <w:t>KMeans distance to Subsistence Cereals cluster</w:t>
            </w:r>
          </w:p>
        </w:tc>
      </w:tr>
      <w:tr>
        <w:tc>
          <w:tcPr>
            <w:tcW w:type="dxa" w:w="1560"/>
          </w:tcPr>
          <w:p>
            <w:pPr>
              <w:jc w:val="left"/>
            </w:pPr>
            <w:r>
              <w:rPr>
                <w:rFonts w:ascii="Times New Roman" w:hAnsi="Times New Roman"/>
                <w:sz w:val="17"/>
              </w:rPr>
              <w:t>15</w:t>
            </w:r>
          </w:p>
        </w:tc>
        <w:tc>
          <w:tcPr>
            <w:tcW w:type="dxa" w:w="1560"/>
          </w:tcPr>
          <w:p>
            <w:pPr>
              <w:jc w:val="right"/>
            </w:pPr>
            <w:r>
              <w:rPr>
                <w:rFonts w:ascii="Times New Roman" w:hAnsi="Times New Roman"/>
                <w:sz w:val="17"/>
              </w:rPr>
              <w:t>v_drought_fail</w:t>
            </w:r>
          </w:p>
        </w:tc>
        <w:tc>
          <w:tcPr>
            <w:tcW w:type="dxa" w:w="1560"/>
          </w:tcPr>
          <w:p>
            <w:pPr>
              <w:jc w:val="right"/>
            </w:pPr>
            <w:r>
              <w:rPr>
                <w:rFonts w:ascii="Times New Roman" w:hAnsi="Times New Roman"/>
                <w:sz w:val="17"/>
              </w:rPr>
              <w:t>Climatic Shocks</w:t>
            </w:r>
          </w:p>
        </w:tc>
        <w:tc>
          <w:tcPr>
            <w:tcW w:type="dxa" w:w="1560"/>
          </w:tcPr>
          <w:p>
            <w:pPr>
              <w:jc w:val="right"/>
            </w:pPr>
            <w:r>
              <w:rPr>
                <w:rFonts w:ascii="Times New Roman" w:hAnsi="Times New Roman"/>
                <w:sz w:val="17"/>
              </w:rPr>
              <w:t>98</w:t>
            </w:r>
          </w:p>
        </w:tc>
        <w:tc>
          <w:tcPr>
            <w:tcW w:type="dxa" w:w="1560"/>
          </w:tcPr>
          <w:p>
            <w:pPr>
              <w:jc w:val="right"/>
            </w:pPr>
            <w:r>
              <w:rPr>
                <w:rFonts w:ascii="Times New Roman" w:hAnsi="Times New Roman"/>
                <w:sz w:val="17"/>
              </w:rPr>
              <w:t>1689.6</w:t>
            </w:r>
          </w:p>
        </w:tc>
        <w:tc>
          <w:tcPr>
            <w:tcW w:type="dxa" w:w="1560"/>
          </w:tcPr>
          <w:p>
            <w:pPr>
              <w:jc w:val="right"/>
            </w:pPr>
            <w:r>
              <w:rPr>
                <w:rFonts w:ascii="Times New Roman" w:hAnsi="Times New Roman"/>
                <w:sz w:val="17"/>
              </w:rPr>
              <w:t>Reported severe drought failure during Vuli season</w:t>
            </w:r>
          </w:p>
        </w:tc>
      </w:tr>
    </w:tbl>
    <w:p>
      <w:pPr>
        <w:spacing w:after="120"/>
      </w:pPr>
    </w:p>
    <w:p>
      <w:pPr>
        <w:spacing w:before="200" w:after="60"/>
      </w:pPr>
      <w:r>
        <w:rPr>
          <w:rFonts w:ascii="Times New Roman" w:hAnsi="Times New Roman"/>
          <w:b/>
          <w:color w:val="2B5C8F"/>
          <w:sz w:val="26"/>
        </w:rPr>
        <w:t>3.4 Regional Heterogeneity &amp; Transferability Advantage</w:t>
      </w:r>
    </w:p>
    <w:p>
      <w:r>
        <w:t>Model accuracy varies across Tanzania's diverse agro-ecological zones (Table 4, Figure 5, Figure 8). Spatial transferability is highest in the Northern and Southern Highlands, while central semi-arid zones face higher climate-driven volatility.</w:t>
      </w:r>
    </w:p>
    <w:p>
      <w:pPr>
        <w:spacing w:before="200"/>
        <w:jc w:val="center"/>
      </w:pPr>
      <w:r>
        <w:drawing>
          <wp:inline xmlns:a="http://schemas.openxmlformats.org/drawingml/2006/main" xmlns:pic="http://schemas.openxmlformats.org/drawingml/2006/picture">
            <wp:extent cx="5669280" cy="2762085"/>
            <wp:docPr id="5" name="Picture 5"/>
            <wp:cNvGraphicFramePr>
              <a:graphicFrameLocks noChangeAspect="1"/>
            </wp:cNvGraphicFramePr>
            <a:graphic>
              <a:graphicData uri="http://schemas.openxmlformats.org/drawingml/2006/picture">
                <pic:pic>
                  <pic:nvPicPr>
                    <pic:cNvPr id="0" name="fig5_regional_heterogeneity_and_spatial_transferability.png"/>
                    <pic:cNvPicPr/>
                  </pic:nvPicPr>
                  <pic:blipFill>
                    <a:blip r:embed="rId13"/>
                    <a:stretch>
                      <a:fillRect/>
                    </a:stretch>
                  </pic:blipFill>
                  <pic:spPr>
                    <a:xfrm>
                      <a:off x="0" y="0"/>
                      <a:ext cx="5669280" cy="2762085"/>
                    </a:xfrm>
                    <a:prstGeom prst="rect"/>
                  </pic:spPr>
                </pic:pic>
              </a:graphicData>
            </a:graphic>
          </wp:inline>
        </w:drawing>
      </w:r>
    </w:p>
    <w:p>
      <w:pPr>
        <w:spacing w:after="240"/>
        <w:jc w:val="center"/>
      </w:pPr>
      <w:r>
        <w:rPr>
          <w:rFonts w:ascii="Times New Roman" w:hAnsi="Times New Roman"/>
          <w:i/>
          <w:sz w:val="19"/>
        </w:rPr>
        <w:t>Figure 5: Regional heterogeneity and spatial transferability advantage across 27 administrative regions. (A) Spatial distribution of model R^2 across Tanzania regions. (B) Out-of-fold performance comparison between the Weighted Ensemble and baseline models by region, demonstrating consistent transferability improvements across both high-potential and semi-arid zones.</w:t>
      </w:r>
    </w:p>
    <w:p>
      <w:pPr>
        <w:spacing w:before="200"/>
        <w:jc w:val="center"/>
      </w:pPr>
      <w:r>
        <w:drawing>
          <wp:inline xmlns:a="http://schemas.openxmlformats.org/drawingml/2006/main" xmlns:pic="http://schemas.openxmlformats.org/drawingml/2006/picture">
            <wp:extent cx="5669280" cy="2051374"/>
            <wp:docPr id="6" name="Picture 6"/>
            <wp:cNvGraphicFramePr>
              <a:graphicFrameLocks noChangeAspect="1"/>
            </wp:cNvGraphicFramePr>
            <a:graphic>
              <a:graphicData uri="http://schemas.openxmlformats.org/drawingml/2006/picture">
                <pic:pic>
                  <pic:nvPicPr>
                    <pic:cNvPr id="0" name="fig8_spatial_hotspots_and_agroecological_zones.png"/>
                    <pic:cNvPicPr/>
                  </pic:nvPicPr>
                  <pic:blipFill>
                    <a:blip r:embed="rId14"/>
                    <a:stretch>
                      <a:fillRect/>
                    </a:stretch>
                  </pic:blipFill>
                  <pic:spPr>
                    <a:xfrm>
                      <a:off x="0" y="0"/>
                      <a:ext cx="5669280" cy="2051374"/>
                    </a:xfrm>
                    <a:prstGeom prst="rect"/>
                  </pic:spPr>
                </pic:pic>
              </a:graphicData>
            </a:graphic>
          </wp:inline>
        </w:drawing>
      </w:r>
    </w:p>
    <w:p>
      <w:pPr>
        <w:spacing w:after="240"/>
        <w:jc w:val="center"/>
      </w:pPr>
      <w:r>
        <w:rPr>
          <w:rFonts w:ascii="Times New Roman" w:hAnsi="Times New Roman"/>
          <w:i/>
          <w:sz w:val="19"/>
        </w:rPr>
        <w:t>Figure 8: Spatial distribution of smallholder yield volatility hotspots and agro-ecological zone vulnerability map. Highlights high-risk clusters in semi-arid central regions (Dodoma, Singida) versus stable high-altitude clusters in the Southern and Northern Highlands.</w:t>
      </w:r>
    </w:p>
    <w:p>
      <w:pPr>
        <w:spacing w:before="160" w:after="60"/>
      </w:pPr>
      <w:r>
        <w:rPr>
          <w:b/>
          <w:sz w:val="20"/>
        </w:rPr>
        <w:t>Table 4: Regional performance breakdown, mean volatility indices, and sample sizes across 27 administrative regions.</w:t>
      </w:r>
    </w:p>
    <w:tbl>
      <w:tblPr>
        <w:tblStyle w:val="LightShading-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Pr>
                <w:rFonts w:ascii="Times New Roman" w:hAnsi="Times New Roman"/>
                <w:b/>
                <w:sz w:val="18"/>
              </w:rPr>
              <w:t>Region ID</w:t>
            </w:r>
          </w:p>
        </w:tc>
        <w:tc>
          <w:tcPr>
            <w:tcW w:type="dxa" w:w="1170"/>
          </w:tcPr>
          <w:p>
            <w:pPr>
              <w:jc w:val="center"/>
            </w:pPr>
            <w:r>
              <w:rPr>
                <w:rFonts w:ascii="Times New Roman" w:hAnsi="Times New Roman"/>
                <w:b/>
                <w:sz w:val="18"/>
              </w:rPr>
              <w:t>Region Name</w:t>
            </w:r>
          </w:p>
        </w:tc>
        <w:tc>
          <w:tcPr>
            <w:tcW w:type="dxa" w:w="1170"/>
          </w:tcPr>
          <w:p>
            <w:pPr>
              <w:jc w:val="center"/>
            </w:pPr>
            <w:r>
              <w:rPr>
                <w:rFonts w:ascii="Times New Roman" w:hAnsi="Times New Roman"/>
                <w:b/>
                <w:sz w:val="18"/>
              </w:rPr>
              <w:t>Holdings (N)</w:t>
            </w:r>
          </w:p>
        </w:tc>
        <w:tc>
          <w:tcPr>
            <w:tcW w:type="dxa" w:w="1170"/>
          </w:tcPr>
          <w:p>
            <w:pPr>
              <w:jc w:val="center"/>
            </w:pPr>
            <w:r>
              <w:rPr>
                <w:rFonts w:ascii="Times New Roman" w:hAnsi="Times New Roman"/>
                <w:b/>
                <w:sz w:val="18"/>
              </w:rPr>
              <w:t>Regional Model RMSE</w:t>
            </w:r>
          </w:p>
        </w:tc>
        <w:tc>
          <w:tcPr>
            <w:tcW w:type="dxa" w:w="1170"/>
          </w:tcPr>
          <w:p>
            <w:pPr>
              <w:jc w:val="center"/>
            </w:pPr>
            <w:r>
              <w:rPr>
                <w:rFonts w:ascii="Times New Roman" w:hAnsi="Times New Roman"/>
                <w:b/>
                <w:sz w:val="18"/>
              </w:rPr>
              <w:t>Regional Model R2</w:t>
            </w:r>
          </w:p>
        </w:tc>
        <w:tc>
          <w:tcPr>
            <w:tcW w:type="dxa" w:w="1170"/>
          </w:tcPr>
          <w:p>
            <w:pPr>
              <w:jc w:val="center"/>
            </w:pPr>
            <w:r>
              <w:rPr>
                <w:rFonts w:ascii="Times New Roman" w:hAnsi="Times New Roman"/>
                <w:b/>
                <w:sz w:val="18"/>
              </w:rPr>
              <w:t>National Model RMSE</w:t>
            </w:r>
          </w:p>
        </w:tc>
        <w:tc>
          <w:tcPr>
            <w:tcW w:type="dxa" w:w="1170"/>
          </w:tcPr>
          <w:p>
            <w:pPr>
              <w:jc w:val="center"/>
            </w:pPr>
            <w:r>
              <w:rPr>
                <w:rFonts w:ascii="Times New Roman" w:hAnsi="Times New Roman"/>
                <w:b/>
                <w:sz w:val="18"/>
              </w:rPr>
              <w:t>National Model R2</w:t>
            </w:r>
          </w:p>
        </w:tc>
        <w:tc>
          <w:tcPr>
            <w:tcW w:type="dxa" w:w="1170"/>
          </w:tcPr>
          <w:p>
            <w:pPr>
              <w:jc w:val="center"/>
            </w:pPr>
            <w:r>
              <w:rPr>
                <w:rFonts w:ascii="Times New Roman" w:hAnsi="Times New Roman"/>
                <w:b/>
                <w:sz w:val="18"/>
              </w:rPr>
              <w:t>National Advantage (Delta R2)</w:t>
            </w:r>
          </w:p>
        </w:tc>
      </w:tr>
      <w:tr>
        <w:tc>
          <w:tcPr>
            <w:tcW w:type="dxa" w:w="1170"/>
          </w:tcPr>
          <w:p>
            <w:pPr>
              <w:jc w:val="left"/>
            </w:pPr>
            <w:r>
              <w:rPr>
                <w:rFonts w:ascii="Times New Roman" w:hAnsi="Times New Roman"/>
                <w:sz w:val="17"/>
              </w:rPr>
              <w:t>4</w:t>
            </w:r>
          </w:p>
        </w:tc>
        <w:tc>
          <w:tcPr>
            <w:tcW w:type="dxa" w:w="1170"/>
          </w:tcPr>
          <w:p>
            <w:pPr>
              <w:jc w:val="right"/>
            </w:pPr>
            <w:r>
              <w:rPr>
                <w:rFonts w:ascii="Times New Roman" w:hAnsi="Times New Roman"/>
                <w:sz w:val="17"/>
              </w:rPr>
              <w:t>Tanga</w:t>
            </w:r>
          </w:p>
        </w:tc>
        <w:tc>
          <w:tcPr>
            <w:tcW w:type="dxa" w:w="1170"/>
          </w:tcPr>
          <w:p>
            <w:pPr>
              <w:jc w:val="right"/>
            </w:pPr>
            <w:r>
              <w:rPr>
                <w:rFonts w:ascii="Times New Roman" w:hAnsi="Times New Roman"/>
                <w:sz w:val="17"/>
              </w:rPr>
              <w:t>650</w:t>
            </w:r>
          </w:p>
        </w:tc>
        <w:tc>
          <w:tcPr>
            <w:tcW w:type="dxa" w:w="1170"/>
          </w:tcPr>
          <w:p>
            <w:pPr>
              <w:jc w:val="right"/>
            </w:pPr>
            <w:r>
              <w:rPr>
                <w:rFonts w:ascii="Times New Roman" w:hAnsi="Times New Roman"/>
                <w:sz w:val="17"/>
              </w:rPr>
              <w:t>0.623</w:t>
            </w:r>
          </w:p>
        </w:tc>
        <w:tc>
          <w:tcPr>
            <w:tcW w:type="dxa" w:w="1170"/>
          </w:tcPr>
          <w:p>
            <w:pPr>
              <w:jc w:val="right"/>
            </w:pPr>
            <w:r>
              <w:rPr>
                <w:rFonts w:ascii="Times New Roman" w:hAnsi="Times New Roman"/>
                <w:sz w:val="17"/>
              </w:rPr>
              <w:t>0.202</w:t>
            </w:r>
          </w:p>
        </w:tc>
        <w:tc>
          <w:tcPr>
            <w:tcW w:type="dxa" w:w="1170"/>
          </w:tcPr>
          <w:p>
            <w:pPr>
              <w:jc w:val="right"/>
            </w:pPr>
            <w:r>
              <w:rPr>
                <w:rFonts w:ascii="Times New Roman" w:hAnsi="Times New Roman"/>
                <w:sz w:val="17"/>
              </w:rPr>
              <w:t>0.467</w:t>
            </w:r>
          </w:p>
        </w:tc>
        <w:tc>
          <w:tcPr>
            <w:tcW w:type="dxa" w:w="1170"/>
          </w:tcPr>
          <w:p>
            <w:pPr>
              <w:jc w:val="right"/>
            </w:pPr>
            <w:r>
              <w:rPr>
                <w:rFonts w:ascii="Times New Roman" w:hAnsi="Times New Roman"/>
                <w:sz w:val="17"/>
              </w:rPr>
              <w:t>0.551</w:t>
            </w:r>
          </w:p>
        </w:tc>
        <w:tc>
          <w:tcPr>
            <w:tcW w:type="dxa" w:w="1170"/>
          </w:tcPr>
          <w:p>
            <w:pPr>
              <w:jc w:val="right"/>
            </w:pPr>
            <w:r>
              <w:rPr>
                <w:rFonts w:ascii="Times New Roman" w:hAnsi="Times New Roman"/>
                <w:sz w:val="17"/>
              </w:rPr>
              <w:t>0.349</w:t>
            </w:r>
          </w:p>
        </w:tc>
      </w:tr>
      <w:tr>
        <w:tc>
          <w:tcPr>
            <w:tcW w:type="dxa" w:w="1170"/>
          </w:tcPr>
          <w:p>
            <w:pPr>
              <w:jc w:val="left"/>
            </w:pPr>
            <w:r>
              <w:rPr>
                <w:rFonts w:ascii="Times New Roman" w:hAnsi="Times New Roman"/>
                <w:sz w:val="17"/>
              </w:rPr>
              <w:t>20</w:t>
            </w:r>
          </w:p>
        </w:tc>
        <w:tc>
          <w:tcPr>
            <w:tcW w:type="dxa" w:w="1170"/>
          </w:tcPr>
          <w:p>
            <w:pPr>
              <w:jc w:val="right"/>
            </w:pPr>
            <w:r>
              <w:rPr>
                <w:rFonts w:ascii="Times New Roman" w:hAnsi="Times New Roman"/>
                <w:sz w:val="17"/>
              </w:rPr>
              <w:t>Mara</w:t>
            </w:r>
          </w:p>
        </w:tc>
        <w:tc>
          <w:tcPr>
            <w:tcW w:type="dxa" w:w="1170"/>
          </w:tcPr>
          <w:p>
            <w:pPr>
              <w:jc w:val="right"/>
            </w:pPr>
            <w:r>
              <w:rPr>
                <w:rFonts w:ascii="Times New Roman" w:hAnsi="Times New Roman"/>
                <w:sz w:val="17"/>
              </w:rPr>
              <w:t>476</w:t>
            </w:r>
          </w:p>
        </w:tc>
        <w:tc>
          <w:tcPr>
            <w:tcW w:type="dxa" w:w="1170"/>
          </w:tcPr>
          <w:p>
            <w:pPr>
              <w:jc w:val="right"/>
            </w:pPr>
            <w:r>
              <w:rPr>
                <w:rFonts w:ascii="Times New Roman" w:hAnsi="Times New Roman"/>
                <w:sz w:val="17"/>
              </w:rPr>
              <w:t>0.534</w:t>
            </w:r>
          </w:p>
        </w:tc>
        <w:tc>
          <w:tcPr>
            <w:tcW w:type="dxa" w:w="1170"/>
          </w:tcPr>
          <w:p>
            <w:pPr>
              <w:jc w:val="right"/>
            </w:pPr>
            <w:r>
              <w:rPr>
                <w:rFonts w:ascii="Times New Roman" w:hAnsi="Times New Roman"/>
                <w:sz w:val="17"/>
              </w:rPr>
              <w:t>0.462</w:t>
            </w:r>
          </w:p>
        </w:tc>
        <w:tc>
          <w:tcPr>
            <w:tcW w:type="dxa" w:w="1170"/>
          </w:tcPr>
          <w:p>
            <w:pPr>
              <w:jc w:val="right"/>
            </w:pPr>
            <w:r>
              <w:rPr>
                <w:rFonts w:ascii="Times New Roman" w:hAnsi="Times New Roman"/>
                <w:sz w:val="17"/>
              </w:rPr>
              <w:t>0.431</w:t>
            </w:r>
          </w:p>
        </w:tc>
        <w:tc>
          <w:tcPr>
            <w:tcW w:type="dxa" w:w="1170"/>
          </w:tcPr>
          <w:p>
            <w:pPr>
              <w:jc w:val="right"/>
            </w:pPr>
            <w:r>
              <w:rPr>
                <w:rFonts w:ascii="Times New Roman" w:hAnsi="Times New Roman"/>
                <w:sz w:val="17"/>
              </w:rPr>
              <w:t>0.649</w:t>
            </w:r>
          </w:p>
        </w:tc>
        <w:tc>
          <w:tcPr>
            <w:tcW w:type="dxa" w:w="1170"/>
          </w:tcPr>
          <w:p>
            <w:pPr>
              <w:jc w:val="right"/>
            </w:pPr>
            <w:r>
              <w:rPr>
                <w:rFonts w:ascii="Times New Roman" w:hAnsi="Times New Roman"/>
                <w:sz w:val="17"/>
              </w:rPr>
              <w:t>0.187</w:t>
            </w:r>
          </w:p>
        </w:tc>
      </w:tr>
      <w:tr>
        <w:tc>
          <w:tcPr>
            <w:tcW w:type="dxa" w:w="1170"/>
          </w:tcPr>
          <w:p>
            <w:pPr>
              <w:jc w:val="left"/>
            </w:pPr>
            <w:r>
              <w:rPr>
                <w:rFonts w:ascii="Times New Roman" w:hAnsi="Times New Roman"/>
                <w:sz w:val="17"/>
              </w:rPr>
              <w:t>3</w:t>
            </w:r>
          </w:p>
        </w:tc>
        <w:tc>
          <w:tcPr>
            <w:tcW w:type="dxa" w:w="1170"/>
          </w:tcPr>
          <w:p>
            <w:pPr>
              <w:jc w:val="right"/>
            </w:pPr>
            <w:r>
              <w:rPr>
                <w:rFonts w:ascii="Times New Roman" w:hAnsi="Times New Roman"/>
                <w:sz w:val="17"/>
              </w:rPr>
              <w:t>Kilimanjaro</w:t>
            </w:r>
          </w:p>
        </w:tc>
        <w:tc>
          <w:tcPr>
            <w:tcW w:type="dxa" w:w="1170"/>
          </w:tcPr>
          <w:p>
            <w:pPr>
              <w:jc w:val="right"/>
            </w:pPr>
            <w:r>
              <w:rPr>
                <w:rFonts w:ascii="Times New Roman" w:hAnsi="Times New Roman"/>
                <w:sz w:val="17"/>
              </w:rPr>
              <w:t>375</w:t>
            </w:r>
          </w:p>
        </w:tc>
        <w:tc>
          <w:tcPr>
            <w:tcW w:type="dxa" w:w="1170"/>
          </w:tcPr>
          <w:p>
            <w:pPr>
              <w:jc w:val="right"/>
            </w:pPr>
            <w:r>
              <w:rPr>
                <w:rFonts w:ascii="Times New Roman" w:hAnsi="Times New Roman"/>
                <w:sz w:val="17"/>
              </w:rPr>
              <w:t>0.607</w:t>
            </w:r>
          </w:p>
        </w:tc>
        <w:tc>
          <w:tcPr>
            <w:tcW w:type="dxa" w:w="1170"/>
          </w:tcPr>
          <w:p>
            <w:pPr>
              <w:jc w:val="right"/>
            </w:pPr>
            <w:r>
              <w:rPr>
                <w:rFonts w:ascii="Times New Roman" w:hAnsi="Times New Roman"/>
                <w:sz w:val="17"/>
              </w:rPr>
              <w:t>0.345</w:t>
            </w:r>
          </w:p>
        </w:tc>
        <w:tc>
          <w:tcPr>
            <w:tcW w:type="dxa" w:w="1170"/>
          </w:tcPr>
          <w:p>
            <w:pPr>
              <w:jc w:val="right"/>
            </w:pPr>
            <w:r>
              <w:rPr>
                <w:rFonts w:ascii="Times New Roman" w:hAnsi="Times New Roman"/>
                <w:sz w:val="17"/>
              </w:rPr>
              <w:t>0.460</w:t>
            </w:r>
          </w:p>
        </w:tc>
        <w:tc>
          <w:tcPr>
            <w:tcW w:type="dxa" w:w="1170"/>
          </w:tcPr>
          <w:p>
            <w:pPr>
              <w:jc w:val="right"/>
            </w:pPr>
            <w:r>
              <w:rPr>
                <w:rFonts w:ascii="Times New Roman" w:hAnsi="Times New Roman"/>
                <w:sz w:val="17"/>
              </w:rPr>
              <w:t>0.624</w:t>
            </w:r>
          </w:p>
        </w:tc>
        <w:tc>
          <w:tcPr>
            <w:tcW w:type="dxa" w:w="1170"/>
          </w:tcPr>
          <w:p>
            <w:pPr>
              <w:jc w:val="right"/>
            </w:pPr>
            <w:r>
              <w:rPr>
                <w:rFonts w:ascii="Times New Roman" w:hAnsi="Times New Roman"/>
                <w:sz w:val="17"/>
              </w:rPr>
              <w:t>0.278</w:t>
            </w:r>
          </w:p>
        </w:tc>
      </w:tr>
      <w:tr>
        <w:tc>
          <w:tcPr>
            <w:tcW w:type="dxa" w:w="1170"/>
          </w:tcPr>
          <w:p>
            <w:pPr>
              <w:jc w:val="left"/>
            </w:pPr>
            <w:r>
              <w:rPr>
                <w:rFonts w:ascii="Times New Roman" w:hAnsi="Times New Roman"/>
                <w:sz w:val="17"/>
              </w:rPr>
              <w:t>18</w:t>
            </w:r>
          </w:p>
        </w:tc>
        <w:tc>
          <w:tcPr>
            <w:tcW w:type="dxa" w:w="1170"/>
          </w:tcPr>
          <w:p>
            <w:pPr>
              <w:jc w:val="right"/>
            </w:pPr>
            <w:r>
              <w:rPr>
                <w:rFonts w:ascii="Times New Roman" w:hAnsi="Times New Roman"/>
                <w:sz w:val="17"/>
              </w:rPr>
              <w:t>Kagera</w:t>
            </w:r>
          </w:p>
        </w:tc>
        <w:tc>
          <w:tcPr>
            <w:tcW w:type="dxa" w:w="1170"/>
          </w:tcPr>
          <w:p>
            <w:pPr>
              <w:jc w:val="right"/>
            </w:pPr>
            <w:r>
              <w:rPr>
                <w:rFonts w:ascii="Times New Roman" w:hAnsi="Times New Roman"/>
                <w:sz w:val="17"/>
              </w:rPr>
              <w:t>296</w:t>
            </w:r>
          </w:p>
        </w:tc>
        <w:tc>
          <w:tcPr>
            <w:tcW w:type="dxa" w:w="1170"/>
          </w:tcPr>
          <w:p>
            <w:pPr>
              <w:jc w:val="right"/>
            </w:pPr>
            <w:r>
              <w:rPr>
                <w:rFonts w:ascii="Times New Roman" w:hAnsi="Times New Roman"/>
                <w:sz w:val="17"/>
              </w:rPr>
              <w:t>0.404</w:t>
            </w:r>
          </w:p>
        </w:tc>
        <w:tc>
          <w:tcPr>
            <w:tcW w:type="dxa" w:w="1170"/>
          </w:tcPr>
          <w:p>
            <w:pPr>
              <w:jc w:val="right"/>
            </w:pPr>
            <w:r>
              <w:rPr>
                <w:rFonts w:ascii="Times New Roman" w:hAnsi="Times New Roman"/>
                <w:sz w:val="17"/>
              </w:rPr>
              <w:t>0.688</w:t>
            </w:r>
          </w:p>
        </w:tc>
        <w:tc>
          <w:tcPr>
            <w:tcW w:type="dxa" w:w="1170"/>
          </w:tcPr>
          <w:p>
            <w:pPr>
              <w:jc w:val="right"/>
            </w:pPr>
            <w:r>
              <w:rPr>
                <w:rFonts w:ascii="Times New Roman" w:hAnsi="Times New Roman"/>
                <w:sz w:val="17"/>
              </w:rPr>
              <w:t>0.363</w:t>
            </w:r>
          </w:p>
        </w:tc>
        <w:tc>
          <w:tcPr>
            <w:tcW w:type="dxa" w:w="1170"/>
          </w:tcPr>
          <w:p>
            <w:pPr>
              <w:jc w:val="right"/>
            </w:pPr>
            <w:r>
              <w:rPr>
                <w:rFonts w:ascii="Times New Roman" w:hAnsi="Times New Roman"/>
                <w:sz w:val="17"/>
              </w:rPr>
              <w:t>0.748</w:t>
            </w:r>
          </w:p>
        </w:tc>
        <w:tc>
          <w:tcPr>
            <w:tcW w:type="dxa" w:w="1170"/>
          </w:tcPr>
          <w:p>
            <w:pPr>
              <w:jc w:val="right"/>
            </w:pPr>
            <w:r>
              <w:rPr>
                <w:rFonts w:ascii="Times New Roman" w:hAnsi="Times New Roman"/>
                <w:sz w:val="17"/>
              </w:rPr>
              <w:t>0.060</w:t>
            </w:r>
          </w:p>
        </w:tc>
      </w:tr>
      <w:tr>
        <w:tc>
          <w:tcPr>
            <w:tcW w:type="dxa" w:w="1170"/>
          </w:tcPr>
          <w:p>
            <w:pPr>
              <w:jc w:val="left"/>
            </w:pPr>
            <w:r>
              <w:rPr>
                <w:rFonts w:ascii="Times New Roman" w:hAnsi="Times New Roman"/>
                <w:sz w:val="17"/>
              </w:rPr>
              <w:t>5</w:t>
            </w:r>
          </w:p>
        </w:tc>
        <w:tc>
          <w:tcPr>
            <w:tcW w:type="dxa" w:w="1170"/>
          </w:tcPr>
          <w:p>
            <w:pPr>
              <w:jc w:val="right"/>
            </w:pPr>
            <w:r>
              <w:rPr>
                <w:rFonts w:ascii="Times New Roman" w:hAnsi="Times New Roman"/>
                <w:sz w:val="17"/>
              </w:rPr>
              <w:t>Morogoro</w:t>
            </w:r>
          </w:p>
        </w:tc>
        <w:tc>
          <w:tcPr>
            <w:tcW w:type="dxa" w:w="1170"/>
          </w:tcPr>
          <w:p>
            <w:pPr>
              <w:jc w:val="right"/>
            </w:pPr>
            <w:r>
              <w:rPr>
                <w:rFonts w:ascii="Times New Roman" w:hAnsi="Times New Roman"/>
                <w:sz w:val="17"/>
              </w:rPr>
              <w:t>257</w:t>
            </w:r>
          </w:p>
        </w:tc>
        <w:tc>
          <w:tcPr>
            <w:tcW w:type="dxa" w:w="1170"/>
          </w:tcPr>
          <w:p>
            <w:pPr>
              <w:jc w:val="right"/>
            </w:pPr>
            <w:r>
              <w:rPr>
                <w:rFonts w:ascii="Times New Roman" w:hAnsi="Times New Roman"/>
                <w:sz w:val="17"/>
              </w:rPr>
              <w:t>0.671</w:t>
            </w:r>
          </w:p>
        </w:tc>
        <w:tc>
          <w:tcPr>
            <w:tcW w:type="dxa" w:w="1170"/>
          </w:tcPr>
          <w:p>
            <w:pPr>
              <w:jc w:val="right"/>
            </w:pPr>
            <w:r>
              <w:rPr>
                <w:rFonts w:ascii="Times New Roman" w:hAnsi="Times New Roman"/>
                <w:sz w:val="17"/>
              </w:rPr>
              <w:t>0.062</w:t>
            </w:r>
          </w:p>
        </w:tc>
        <w:tc>
          <w:tcPr>
            <w:tcW w:type="dxa" w:w="1170"/>
          </w:tcPr>
          <w:p>
            <w:pPr>
              <w:jc w:val="right"/>
            </w:pPr>
            <w:r>
              <w:rPr>
                <w:rFonts w:ascii="Times New Roman" w:hAnsi="Times New Roman"/>
                <w:sz w:val="17"/>
              </w:rPr>
              <w:t>0.517</w:t>
            </w:r>
          </w:p>
        </w:tc>
        <w:tc>
          <w:tcPr>
            <w:tcW w:type="dxa" w:w="1170"/>
          </w:tcPr>
          <w:p>
            <w:pPr>
              <w:jc w:val="right"/>
            </w:pPr>
            <w:r>
              <w:rPr>
                <w:rFonts w:ascii="Times New Roman" w:hAnsi="Times New Roman"/>
                <w:sz w:val="17"/>
              </w:rPr>
              <w:t>0.441</w:t>
            </w:r>
          </w:p>
        </w:tc>
        <w:tc>
          <w:tcPr>
            <w:tcW w:type="dxa" w:w="1170"/>
          </w:tcPr>
          <w:p>
            <w:pPr>
              <w:jc w:val="right"/>
            </w:pPr>
            <w:r>
              <w:rPr>
                <w:rFonts w:ascii="Times New Roman" w:hAnsi="Times New Roman"/>
                <w:sz w:val="17"/>
              </w:rPr>
              <w:t>0.379</w:t>
            </w:r>
          </w:p>
        </w:tc>
      </w:tr>
      <w:tr>
        <w:tc>
          <w:tcPr>
            <w:tcW w:type="dxa" w:w="1170"/>
          </w:tcPr>
          <w:p>
            <w:pPr>
              <w:jc w:val="left"/>
            </w:pPr>
            <w:r>
              <w:rPr>
                <w:rFonts w:ascii="Times New Roman" w:hAnsi="Times New Roman"/>
                <w:sz w:val="17"/>
              </w:rPr>
              <w:t>6</w:t>
            </w:r>
          </w:p>
        </w:tc>
        <w:tc>
          <w:tcPr>
            <w:tcW w:type="dxa" w:w="1170"/>
          </w:tcPr>
          <w:p>
            <w:pPr>
              <w:jc w:val="right"/>
            </w:pPr>
            <w:r>
              <w:rPr>
                <w:rFonts w:ascii="Times New Roman" w:hAnsi="Times New Roman"/>
                <w:sz w:val="17"/>
              </w:rPr>
              <w:t>Pwani</w:t>
            </w:r>
          </w:p>
        </w:tc>
        <w:tc>
          <w:tcPr>
            <w:tcW w:type="dxa" w:w="1170"/>
          </w:tcPr>
          <w:p>
            <w:pPr>
              <w:jc w:val="right"/>
            </w:pPr>
            <w:r>
              <w:rPr>
                <w:rFonts w:ascii="Times New Roman" w:hAnsi="Times New Roman"/>
                <w:sz w:val="17"/>
              </w:rPr>
              <w:t>252</w:t>
            </w:r>
          </w:p>
        </w:tc>
        <w:tc>
          <w:tcPr>
            <w:tcW w:type="dxa" w:w="1170"/>
          </w:tcPr>
          <w:p>
            <w:pPr>
              <w:jc w:val="right"/>
            </w:pPr>
            <w:r>
              <w:rPr>
                <w:rFonts w:ascii="Times New Roman" w:hAnsi="Times New Roman"/>
                <w:sz w:val="17"/>
              </w:rPr>
              <w:t>0.620</w:t>
            </w:r>
          </w:p>
        </w:tc>
        <w:tc>
          <w:tcPr>
            <w:tcW w:type="dxa" w:w="1170"/>
          </w:tcPr>
          <w:p>
            <w:pPr>
              <w:jc w:val="right"/>
            </w:pPr>
            <w:r>
              <w:rPr>
                <w:rFonts w:ascii="Times New Roman" w:hAnsi="Times New Roman"/>
                <w:sz w:val="17"/>
              </w:rPr>
              <w:t>0.271</w:t>
            </w:r>
          </w:p>
        </w:tc>
        <w:tc>
          <w:tcPr>
            <w:tcW w:type="dxa" w:w="1170"/>
          </w:tcPr>
          <w:p>
            <w:pPr>
              <w:jc w:val="right"/>
            </w:pPr>
            <w:r>
              <w:rPr>
                <w:rFonts w:ascii="Times New Roman" w:hAnsi="Times New Roman"/>
                <w:sz w:val="17"/>
              </w:rPr>
              <w:t>0.442</w:t>
            </w:r>
          </w:p>
        </w:tc>
        <w:tc>
          <w:tcPr>
            <w:tcW w:type="dxa" w:w="1170"/>
          </w:tcPr>
          <w:p>
            <w:pPr>
              <w:jc w:val="right"/>
            </w:pPr>
            <w:r>
              <w:rPr>
                <w:rFonts w:ascii="Times New Roman" w:hAnsi="Times New Roman"/>
                <w:sz w:val="17"/>
              </w:rPr>
              <w:t>0.629</w:t>
            </w:r>
          </w:p>
        </w:tc>
        <w:tc>
          <w:tcPr>
            <w:tcW w:type="dxa" w:w="1170"/>
          </w:tcPr>
          <w:p>
            <w:pPr>
              <w:jc w:val="right"/>
            </w:pPr>
            <w:r>
              <w:rPr>
                <w:rFonts w:ascii="Times New Roman" w:hAnsi="Times New Roman"/>
                <w:sz w:val="17"/>
              </w:rPr>
              <w:t>0.359</w:t>
            </w:r>
          </w:p>
        </w:tc>
      </w:tr>
      <w:tr>
        <w:tc>
          <w:tcPr>
            <w:tcW w:type="dxa" w:w="1170"/>
          </w:tcPr>
          <w:p>
            <w:pPr>
              <w:jc w:val="left"/>
            </w:pPr>
            <w:r>
              <w:rPr>
                <w:rFonts w:ascii="Times New Roman" w:hAnsi="Times New Roman"/>
                <w:sz w:val="17"/>
              </w:rPr>
              <w:t>12</w:t>
            </w:r>
          </w:p>
        </w:tc>
        <w:tc>
          <w:tcPr>
            <w:tcW w:type="dxa" w:w="1170"/>
          </w:tcPr>
          <w:p>
            <w:pPr>
              <w:jc w:val="right"/>
            </w:pPr>
            <w:r>
              <w:rPr>
                <w:rFonts w:ascii="Times New Roman" w:hAnsi="Times New Roman"/>
                <w:sz w:val="17"/>
              </w:rPr>
              <w:t>Mbeya</w:t>
            </w:r>
          </w:p>
        </w:tc>
        <w:tc>
          <w:tcPr>
            <w:tcW w:type="dxa" w:w="1170"/>
          </w:tcPr>
          <w:p>
            <w:pPr>
              <w:jc w:val="right"/>
            </w:pPr>
            <w:r>
              <w:rPr>
                <w:rFonts w:ascii="Times New Roman" w:hAnsi="Times New Roman"/>
                <w:sz w:val="17"/>
              </w:rPr>
              <w:t>227</w:t>
            </w:r>
          </w:p>
        </w:tc>
        <w:tc>
          <w:tcPr>
            <w:tcW w:type="dxa" w:w="1170"/>
          </w:tcPr>
          <w:p>
            <w:pPr>
              <w:jc w:val="right"/>
            </w:pPr>
            <w:r>
              <w:rPr>
                <w:rFonts w:ascii="Times New Roman" w:hAnsi="Times New Roman"/>
                <w:sz w:val="17"/>
              </w:rPr>
              <w:t>0.601</w:t>
            </w:r>
          </w:p>
        </w:tc>
        <w:tc>
          <w:tcPr>
            <w:tcW w:type="dxa" w:w="1170"/>
          </w:tcPr>
          <w:p>
            <w:pPr>
              <w:jc w:val="right"/>
            </w:pPr>
            <w:r>
              <w:rPr>
                <w:rFonts w:ascii="Times New Roman" w:hAnsi="Times New Roman"/>
                <w:sz w:val="17"/>
              </w:rPr>
              <w:t>0.272</w:t>
            </w:r>
          </w:p>
        </w:tc>
        <w:tc>
          <w:tcPr>
            <w:tcW w:type="dxa" w:w="1170"/>
          </w:tcPr>
          <w:p>
            <w:pPr>
              <w:jc w:val="right"/>
            </w:pPr>
            <w:r>
              <w:rPr>
                <w:rFonts w:ascii="Times New Roman" w:hAnsi="Times New Roman"/>
                <w:sz w:val="17"/>
              </w:rPr>
              <w:t>0.505</w:t>
            </w:r>
          </w:p>
        </w:tc>
        <w:tc>
          <w:tcPr>
            <w:tcW w:type="dxa" w:w="1170"/>
          </w:tcPr>
          <w:p>
            <w:pPr>
              <w:jc w:val="right"/>
            </w:pPr>
            <w:r>
              <w:rPr>
                <w:rFonts w:ascii="Times New Roman" w:hAnsi="Times New Roman"/>
                <w:sz w:val="17"/>
              </w:rPr>
              <w:t>0.487</w:t>
            </w:r>
          </w:p>
        </w:tc>
        <w:tc>
          <w:tcPr>
            <w:tcW w:type="dxa" w:w="1170"/>
          </w:tcPr>
          <w:p>
            <w:pPr>
              <w:jc w:val="right"/>
            </w:pPr>
            <w:r>
              <w:rPr>
                <w:rFonts w:ascii="Times New Roman" w:hAnsi="Times New Roman"/>
                <w:sz w:val="17"/>
              </w:rPr>
              <w:t>0.214</w:t>
            </w:r>
          </w:p>
        </w:tc>
      </w:tr>
      <w:tr>
        <w:tc>
          <w:tcPr>
            <w:tcW w:type="dxa" w:w="1170"/>
          </w:tcPr>
          <w:p>
            <w:pPr>
              <w:jc w:val="left"/>
            </w:pPr>
            <w:r>
              <w:rPr>
                <w:rFonts w:ascii="Times New Roman" w:hAnsi="Times New Roman"/>
                <w:sz w:val="17"/>
              </w:rPr>
              <w:t>19</w:t>
            </w:r>
          </w:p>
        </w:tc>
        <w:tc>
          <w:tcPr>
            <w:tcW w:type="dxa" w:w="1170"/>
          </w:tcPr>
          <w:p>
            <w:pPr>
              <w:jc w:val="right"/>
            </w:pPr>
            <w:r>
              <w:rPr>
                <w:rFonts w:ascii="Times New Roman" w:hAnsi="Times New Roman"/>
                <w:sz w:val="17"/>
              </w:rPr>
              <w:t>Mwanza</w:t>
            </w:r>
          </w:p>
        </w:tc>
        <w:tc>
          <w:tcPr>
            <w:tcW w:type="dxa" w:w="1170"/>
          </w:tcPr>
          <w:p>
            <w:pPr>
              <w:jc w:val="right"/>
            </w:pPr>
            <w:r>
              <w:rPr>
                <w:rFonts w:ascii="Times New Roman" w:hAnsi="Times New Roman"/>
                <w:sz w:val="17"/>
              </w:rPr>
              <w:t>215</w:t>
            </w:r>
          </w:p>
        </w:tc>
        <w:tc>
          <w:tcPr>
            <w:tcW w:type="dxa" w:w="1170"/>
          </w:tcPr>
          <w:p>
            <w:pPr>
              <w:jc w:val="right"/>
            </w:pPr>
            <w:r>
              <w:rPr>
                <w:rFonts w:ascii="Times New Roman" w:hAnsi="Times New Roman"/>
                <w:sz w:val="17"/>
              </w:rPr>
              <w:t>0.589</w:t>
            </w:r>
          </w:p>
        </w:tc>
        <w:tc>
          <w:tcPr>
            <w:tcW w:type="dxa" w:w="1170"/>
          </w:tcPr>
          <w:p>
            <w:pPr>
              <w:jc w:val="right"/>
            </w:pPr>
            <w:r>
              <w:rPr>
                <w:rFonts w:ascii="Times New Roman" w:hAnsi="Times New Roman"/>
                <w:sz w:val="17"/>
              </w:rPr>
              <w:t>0.279</w:t>
            </w:r>
          </w:p>
        </w:tc>
        <w:tc>
          <w:tcPr>
            <w:tcW w:type="dxa" w:w="1170"/>
          </w:tcPr>
          <w:p>
            <w:pPr>
              <w:jc w:val="right"/>
            </w:pPr>
            <w:r>
              <w:rPr>
                <w:rFonts w:ascii="Times New Roman" w:hAnsi="Times New Roman"/>
                <w:sz w:val="17"/>
              </w:rPr>
              <w:t>0.505</w:t>
            </w:r>
          </w:p>
        </w:tc>
        <w:tc>
          <w:tcPr>
            <w:tcW w:type="dxa" w:w="1170"/>
          </w:tcPr>
          <w:p>
            <w:pPr>
              <w:jc w:val="right"/>
            </w:pPr>
            <w:r>
              <w:rPr>
                <w:rFonts w:ascii="Times New Roman" w:hAnsi="Times New Roman"/>
                <w:sz w:val="17"/>
              </w:rPr>
              <w:t>0.470</w:t>
            </w:r>
          </w:p>
        </w:tc>
        <w:tc>
          <w:tcPr>
            <w:tcW w:type="dxa" w:w="1170"/>
          </w:tcPr>
          <w:p>
            <w:pPr>
              <w:jc w:val="right"/>
            </w:pPr>
            <w:r>
              <w:rPr>
                <w:rFonts w:ascii="Times New Roman" w:hAnsi="Times New Roman"/>
                <w:sz w:val="17"/>
              </w:rPr>
              <w:t>0.190</w:t>
            </w:r>
          </w:p>
        </w:tc>
      </w:tr>
      <w:tr>
        <w:tc>
          <w:tcPr>
            <w:tcW w:type="dxa" w:w="1170"/>
          </w:tcPr>
          <w:p>
            <w:pPr>
              <w:jc w:val="left"/>
            </w:pPr>
            <w:r>
              <w:rPr>
                <w:rFonts w:ascii="Times New Roman" w:hAnsi="Times New Roman"/>
                <w:sz w:val="17"/>
              </w:rPr>
              <w:t>2</w:t>
            </w:r>
          </w:p>
        </w:tc>
        <w:tc>
          <w:tcPr>
            <w:tcW w:type="dxa" w:w="1170"/>
          </w:tcPr>
          <w:p>
            <w:pPr>
              <w:jc w:val="right"/>
            </w:pPr>
            <w:r>
              <w:rPr>
                <w:rFonts w:ascii="Times New Roman" w:hAnsi="Times New Roman"/>
                <w:sz w:val="17"/>
              </w:rPr>
              <w:t>Arusha</w:t>
            </w:r>
          </w:p>
        </w:tc>
        <w:tc>
          <w:tcPr>
            <w:tcW w:type="dxa" w:w="1170"/>
          </w:tcPr>
          <w:p>
            <w:pPr>
              <w:jc w:val="right"/>
            </w:pPr>
            <w:r>
              <w:rPr>
                <w:rFonts w:ascii="Times New Roman" w:hAnsi="Times New Roman"/>
                <w:sz w:val="17"/>
              </w:rPr>
              <w:t>215</w:t>
            </w:r>
          </w:p>
        </w:tc>
        <w:tc>
          <w:tcPr>
            <w:tcW w:type="dxa" w:w="1170"/>
          </w:tcPr>
          <w:p>
            <w:pPr>
              <w:jc w:val="right"/>
            </w:pPr>
            <w:r>
              <w:rPr>
                <w:rFonts w:ascii="Times New Roman" w:hAnsi="Times New Roman"/>
                <w:sz w:val="17"/>
              </w:rPr>
              <w:t>0.591</w:t>
            </w:r>
          </w:p>
        </w:tc>
        <w:tc>
          <w:tcPr>
            <w:tcW w:type="dxa" w:w="1170"/>
          </w:tcPr>
          <w:p>
            <w:pPr>
              <w:jc w:val="right"/>
            </w:pPr>
            <w:r>
              <w:rPr>
                <w:rFonts w:ascii="Times New Roman" w:hAnsi="Times New Roman"/>
                <w:sz w:val="17"/>
              </w:rPr>
              <w:t>0.297</w:t>
            </w:r>
          </w:p>
        </w:tc>
        <w:tc>
          <w:tcPr>
            <w:tcW w:type="dxa" w:w="1170"/>
          </w:tcPr>
          <w:p>
            <w:pPr>
              <w:jc w:val="right"/>
            </w:pPr>
            <w:r>
              <w:rPr>
                <w:rFonts w:ascii="Times New Roman" w:hAnsi="Times New Roman"/>
                <w:sz w:val="17"/>
              </w:rPr>
              <w:t>0.459</w:t>
            </w:r>
          </w:p>
        </w:tc>
        <w:tc>
          <w:tcPr>
            <w:tcW w:type="dxa" w:w="1170"/>
          </w:tcPr>
          <w:p>
            <w:pPr>
              <w:jc w:val="right"/>
            </w:pPr>
            <w:r>
              <w:rPr>
                <w:rFonts w:ascii="Times New Roman" w:hAnsi="Times New Roman"/>
                <w:sz w:val="17"/>
              </w:rPr>
              <w:t>0.576</w:t>
            </w:r>
          </w:p>
        </w:tc>
        <w:tc>
          <w:tcPr>
            <w:tcW w:type="dxa" w:w="1170"/>
          </w:tcPr>
          <w:p>
            <w:pPr>
              <w:jc w:val="right"/>
            </w:pPr>
            <w:r>
              <w:rPr>
                <w:rFonts w:ascii="Times New Roman" w:hAnsi="Times New Roman"/>
                <w:sz w:val="17"/>
              </w:rPr>
              <w:t>0.279</w:t>
            </w:r>
          </w:p>
        </w:tc>
      </w:tr>
      <w:tr>
        <w:tc>
          <w:tcPr>
            <w:tcW w:type="dxa" w:w="1170"/>
          </w:tcPr>
          <w:p>
            <w:pPr>
              <w:jc w:val="left"/>
            </w:pPr>
            <w:r>
              <w:rPr>
                <w:rFonts w:ascii="Times New Roman" w:hAnsi="Times New Roman"/>
                <w:sz w:val="17"/>
              </w:rPr>
              <w:t>21</w:t>
            </w:r>
          </w:p>
        </w:tc>
        <w:tc>
          <w:tcPr>
            <w:tcW w:type="dxa" w:w="1170"/>
          </w:tcPr>
          <w:p>
            <w:pPr>
              <w:jc w:val="right"/>
            </w:pPr>
            <w:r>
              <w:rPr>
                <w:rFonts w:ascii="Times New Roman" w:hAnsi="Times New Roman"/>
                <w:sz w:val="17"/>
              </w:rPr>
              <w:t>Manyara</w:t>
            </w:r>
          </w:p>
        </w:tc>
        <w:tc>
          <w:tcPr>
            <w:tcW w:type="dxa" w:w="1170"/>
          </w:tcPr>
          <w:p>
            <w:pPr>
              <w:jc w:val="right"/>
            </w:pPr>
            <w:r>
              <w:rPr>
                <w:rFonts w:ascii="Times New Roman" w:hAnsi="Times New Roman"/>
                <w:sz w:val="17"/>
              </w:rPr>
              <w:t>209</w:t>
            </w:r>
          </w:p>
        </w:tc>
        <w:tc>
          <w:tcPr>
            <w:tcW w:type="dxa" w:w="1170"/>
          </w:tcPr>
          <w:p>
            <w:pPr>
              <w:jc w:val="right"/>
            </w:pPr>
            <w:r>
              <w:rPr>
                <w:rFonts w:ascii="Times New Roman" w:hAnsi="Times New Roman"/>
                <w:sz w:val="17"/>
              </w:rPr>
              <w:t>0.592</w:t>
            </w:r>
          </w:p>
        </w:tc>
        <w:tc>
          <w:tcPr>
            <w:tcW w:type="dxa" w:w="1170"/>
          </w:tcPr>
          <w:p>
            <w:pPr>
              <w:jc w:val="right"/>
            </w:pPr>
            <w:r>
              <w:rPr>
                <w:rFonts w:ascii="Times New Roman" w:hAnsi="Times New Roman"/>
                <w:sz w:val="17"/>
              </w:rPr>
              <w:t>0.278</w:t>
            </w:r>
          </w:p>
        </w:tc>
        <w:tc>
          <w:tcPr>
            <w:tcW w:type="dxa" w:w="1170"/>
          </w:tcPr>
          <w:p>
            <w:pPr>
              <w:jc w:val="right"/>
            </w:pPr>
            <w:r>
              <w:rPr>
                <w:rFonts w:ascii="Times New Roman" w:hAnsi="Times New Roman"/>
                <w:sz w:val="17"/>
              </w:rPr>
              <w:t>0.496</w:t>
            </w:r>
          </w:p>
        </w:tc>
        <w:tc>
          <w:tcPr>
            <w:tcW w:type="dxa" w:w="1170"/>
          </w:tcPr>
          <w:p>
            <w:pPr>
              <w:jc w:val="right"/>
            </w:pPr>
            <w:r>
              <w:rPr>
                <w:rFonts w:ascii="Times New Roman" w:hAnsi="Times New Roman"/>
                <w:sz w:val="17"/>
              </w:rPr>
              <w:t>0.492</w:t>
            </w:r>
          </w:p>
        </w:tc>
        <w:tc>
          <w:tcPr>
            <w:tcW w:type="dxa" w:w="1170"/>
          </w:tcPr>
          <w:p>
            <w:pPr>
              <w:jc w:val="right"/>
            </w:pPr>
            <w:r>
              <w:rPr>
                <w:rFonts w:ascii="Times New Roman" w:hAnsi="Times New Roman"/>
                <w:sz w:val="17"/>
              </w:rPr>
              <w:t>0.214</w:t>
            </w:r>
          </w:p>
        </w:tc>
      </w:tr>
      <w:tr>
        <w:tc>
          <w:tcPr>
            <w:tcW w:type="dxa" w:w="1170"/>
          </w:tcPr>
          <w:p>
            <w:pPr>
              <w:jc w:val="left"/>
            </w:pPr>
            <w:r>
              <w:rPr>
                <w:rFonts w:ascii="Times New Roman" w:hAnsi="Times New Roman"/>
                <w:sz w:val="17"/>
              </w:rPr>
              <w:t>24</w:t>
            </w:r>
          </w:p>
        </w:tc>
        <w:tc>
          <w:tcPr>
            <w:tcW w:type="dxa" w:w="1170"/>
          </w:tcPr>
          <w:p>
            <w:pPr>
              <w:jc w:val="right"/>
            </w:pPr>
            <w:r>
              <w:rPr>
                <w:rFonts w:ascii="Times New Roman" w:hAnsi="Times New Roman"/>
                <w:sz w:val="17"/>
              </w:rPr>
              <w:t>Simiyu</w:t>
            </w:r>
          </w:p>
        </w:tc>
        <w:tc>
          <w:tcPr>
            <w:tcW w:type="dxa" w:w="1170"/>
          </w:tcPr>
          <w:p>
            <w:pPr>
              <w:jc w:val="right"/>
            </w:pPr>
            <w:r>
              <w:rPr>
                <w:rFonts w:ascii="Times New Roman" w:hAnsi="Times New Roman"/>
                <w:sz w:val="17"/>
              </w:rPr>
              <w:t>202</w:t>
            </w:r>
          </w:p>
        </w:tc>
        <w:tc>
          <w:tcPr>
            <w:tcW w:type="dxa" w:w="1170"/>
          </w:tcPr>
          <w:p>
            <w:pPr>
              <w:jc w:val="right"/>
            </w:pPr>
            <w:r>
              <w:rPr>
                <w:rFonts w:ascii="Times New Roman" w:hAnsi="Times New Roman"/>
                <w:sz w:val="17"/>
              </w:rPr>
              <w:t>0.467</w:t>
            </w:r>
          </w:p>
        </w:tc>
        <w:tc>
          <w:tcPr>
            <w:tcW w:type="dxa" w:w="1170"/>
          </w:tcPr>
          <w:p>
            <w:pPr>
              <w:jc w:val="right"/>
            </w:pPr>
            <w:r>
              <w:rPr>
                <w:rFonts w:ascii="Times New Roman" w:hAnsi="Times New Roman"/>
                <w:sz w:val="17"/>
              </w:rPr>
              <w:t>0.437</w:t>
            </w:r>
          </w:p>
        </w:tc>
        <w:tc>
          <w:tcPr>
            <w:tcW w:type="dxa" w:w="1170"/>
          </w:tcPr>
          <w:p>
            <w:pPr>
              <w:jc w:val="right"/>
            </w:pPr>
            <w:r>
              <w:rPr>
                <w:rFonts w:ascii="Times New Roman" w:hAnsi="Times New Roman"/>
                <w:sz w:val="17"/>
              </w:rPr>
              <w:t>0.458</w:t>
            </w:r>
          </w:p>
        </w:tc>
        <w:tc>
          <w:tcPr>
            <w:tcW w:type="dxa" w:w="1170"/>
          </w:tcPr>
          <w:p>
            <w:pPr>
              <w:jc w:val="right"/>
            </w:pPr>
            <w:r>
              <w:rPr>
                <w:rFonts w:ascii="Times New Roman" w:hAnsi="Times New Roman"/>
                <w:sz w:val="17"/>
              </w:rPr>
              <w:t>0.458</w:t>
            </w:r>
          </w:p>
        </w:tc>
        <w:tc>
          <w:tcPr>
            <w:tcW w:type="dxa" w:w="1170"/>
          </w:tcPr>
          <w:p>
            <w:pPr>
              <w:jc w:val="right"/>
            </w:pPr>
            <w:r>
              <w:rPr>
                <w:rFonts w:ascii="Times New Roman" w:hAnsi="Times New Roman"/>
                <w:sz w:val="17"/>
              </w:rPr>
              <w:t>0.021</w:t>
            </w:r>
          </w:p>
        </w:tc>
      </w:tr>
      <w:tr>
        <w:tc>
          <w:tcPr>
            <w:tcW w:type="dxa" w:w="1170"/>
          </w:tcPr>
          <w:p>
            <w:pPr>
              <w:jc w:val="left"/>
            </w:pPr>
            <w:r>
              <w:rPr>
                <w:rFonts w:ascii="Times New Roman" w:hAnsi="Times New Roman"/>
                <w:sz w:val="17"/>
              </w:rPr>
              <w:t>30</w:t>
            </w:r>
          </w:p>
        </w:tc>
        <w:tc>
          <w:tcPr>
            <w:tcW w:type="dxa" w:w="1170"/>
          </w:tcPr>
          <w:p>
            <w:pPr>
              <w:jc w:val="right"/>
            </w:pPr>
            <w:r>
              <w:rPr>
                <w:rFonts w:ascii="Times New Roman" w:hAnsi="Times New Roman"/>
                <w:sz w:val="17"/>
              </w:rPr>
              <w:t>Kaskazini Pemba</w:t>
            </w:r>
          </w:p>
        </w:tc>
        <w:tc>
          <w:tcPr>
            <w:tcW w:type="dxa" w:w="1170"/>
          </w:tcPr>
          <w:p>
            <w:pPr>
              <w:jc w:val="right"/>
            </w:pPr>
            <w:r>
              <w:rPr>
                <w:rFonts w:ascii="Times New Roman" w:hAnsi="Times New Roman"/>
                <w:sz w:val="17"/>
              </w:rPr>
              <w:t>195</w:t>
            </w:r>
          </w:p>
        </w:tc>
        <w:tc>
          <w:tcPr>
            <w:tcW w:type="dxa" w:w="1170"/>
          </w:tcPr>
          <w:p>
            <w:pPr>
              <w:jc w:val="right"/>
            </w:pPr>
            <w:r>
              <w:rPr>
                <w:rFonts w:ascii="Times New Roman" w:hAnsi="Times New Roman"/>
                <w:sz w:val="17"/>
              </w:rPr>
              <w:t>0.560</w:t>
            </w:r>
          </w:p>
        </w:tc>
        <w:tc>
          <w:tcPr>
            <w:tcW w:type="dxa" w:w="1170"/>
          </w:tcPr>
          <w:p>
            <w:pPr>
              <w:jc w:val="right"/>
            </w:pPr>
            <w:r>
              <w:rPr>
                <w:rFonts w:ascii="Times New Roman" w:hAnsi="Times New Roman"/>
                <w:sz w:val="17"/>
              </w:rPr>
              <w:t>0.353</w:t>
            </w:r>
          </w:p>
        </w:tc>
        <w:tc>
          <w:tcPr>
            <w:tcW w:type="dxa" w:w="1170"/>
          </w:tcPr>
          <w:p>
            <w:pPr>
              <w:jc w:val="right"/>
            </w:pPr>
            <w:r>
              <w:rPr>
                <w:rFonts w:ascii="Times New Roman" w:hAnsi="Times New Roman"/>
                <w:sz w:val="17"/>
              </w:rPr>
              <w:t>0.371</w:t>
            </w:r>
          </w:p>
        </w:tc>
        <w:tc>
          <w:tcPr>
            <w:tcW w:type="dxa" w:w="1170"/>
          </w:tcPr>
          <w:p>
            <w:pPr>
              <w:jc w:val="right"/>
            </w:pPr>
            <w:r>
              <w:rPr>
                <w:rFonts w:ascii="Times New Roman" w:hAnsi="Times New Roman"/>
                <w:sz w:val="17"/>
              </w:rPr>
              <w:t>0.716</w:t>
            </w:r>
          </w:p>
        </w:tc>
        <w:tc>
          <w:tcPr>
            <w:tcW w:type="dxa" w:w="1170"/>
          </w:tcPr>
          <w:p>
            <w:pPr>
              <w:jc w:val="right"/>
            </w:pPr>
            <w:r>
              <w:rPr>
                <w:rFonts w:ascii="Times New Roman" w:hAnsi="Times New Roman"/>
                <w:sz w:val="17"/>
              </w:rPr>
              <w:t>0.363</w:t>
            </w:r>
          </w:p>
        </w:tc>
      </w:tr>
      <w:tr>
        <w:tc>
          <w:tcPr>
            <w:tcW w:type="dxa" w:w="1170"/>
          </w:tcPr>
          <w:p>
            <w:pPr>
              <w:jc w:val="left"/>
            </w:pPr>
            <w:r>
              <w:rPr>
                <w:rFonts w:ascii="Times New Roman" w:hAnsi="Times New Roman"/>
                <w:sz w:val="17"/>
              </w:rPr>
              <w:t>27</w:t>
            </w:r>
          </w:p>
        </w:tc>
        <w:tc>
          <w:tcPr>
            <w:tcW w:type="dxa" w:w="1170"/>
          </w:tcPr>
          <w:p>
            <w:pPr>
              <w:jc w:val="right"/>
            </w:pPr>
            <w:r>
              <w:rPr>
                <w:rFonts w:ascii="Times New Roman" w:hAnsi="Times New Roman"/>
                <w:sz w:val="17"/>
              </w:rPr>
              <w:t>Kaskazini Unguja</w:t>
            </w:r>
          </w:p>
        </w:tc>
        <w:tc>
          <w:tcPr>
            <w:tcW w:type="dxa" w:w="1170"/>
          </w:tcPr>
          <w:p>
            <w:pPr>
              <w:jc w:val="right"/>
            </w:pPr>
            <w:r>
              <w:rPr>
                <w:rFonts w:ascii="Times New Roman" w:hAnsi="Times New Roman"/>
                <w:sz w:val="17"/>
              </w:rPr>
              <w:t>151</w:t>
            </w:r>
          </w:p>
        </w:tc>
        <w:tc>
          <w:tcPr>
            <w:tcW w:type="dxa" w:w="1170"/>
          </w:tcPr>
          <w:p>
            <w:pPr>
              <w:jc w:val="right"/>
            </w:pPr>
            <w:r>
              <w:rPr>
                <w:rFonts w:ascii="Times New Roman" w:hAnsi="Times New Roman"/>
                <w:sz w:val="17"/>
              </w:rPr>
              <w:t>0.598</w:t>
            </w:r>
          </w:p>
        </w:tc>
        <w:tc>
          <w:tcPr>
            <w:tcW w:type="dxa" w:w="1170"/>
          </w:tcPr>
          <w:p>
            <w:pPr>
              <w:jc w:val="right"/>
            </w:pPr>
            <w:r>
              <w:rPr>
                <w:rFonts w:ascii="Times New Roman" w:hAnsi="Times New Roman"/>
                <w:sz w:val="17"/>
              </w:rPr>
              <w:t>0.310</w:t>
            </w:r>
          </w:p>
        </w:tc>
        <w:tc>
          <w:tcPr>
            <w:tcW w:type="dxa" w:w="1170"/>
          </w:tcPr>
          <w:p>
            <w:pPr>
              <w:jc w:val="right"/>
            </w:pPr>
            <w:r>
              <w:rPr>
                <w:rFonts w:ascii="Times New Roman" w:hAnsi="Times New Roman"/>
                <w:sz w:val="17"/>
              </w:rPr>
              <w:t>0.473</w:t>
            </w:r>
          </w:p>
        </w:tc>
        <w:tc>
          <w:tcPr>
            <w:tcW w:type="dxa" w:w="1170"/>
          </w:tcPr>
          <w:p>
            <w:pPr>
              <w:jc w:val="right"/>
            </w:pPr>
            <w:r>
              <w:rPr>
                <w:rFonts w:ascii="Times New Roman" w:hAnsi="Times New Roman"/>
                <w:sz w:val="17"/>
              </w:rPr>
              <w:t>0.569</w:t>
            </w:r>
          </w:p>
        </w:tc>
        <w:tc>
          <w:tcPr>
            <w:tcW w:type="dxa" w:w="1170"/>
          </w:tcPr>
          <w:p>
            <w:pPr>
              <w:jc w:val="right"/>
            </w:pPr>
            <w:r>
              <w:rPr>
                <w:rFonts w:ascii="Times New Roman" w:hAnsi="Times New Roman"/>
                <w:sz w:val="17"/>
              </w:rPr>
              <w:t>0.258</w:t>
            </w:r>
          </w:p>
        </w:tc>
      </w:tr>
      <w:tr>
        <w:tc>
          <w:tcPr>
            <w:tcW w:type="dxa" w:w="1170"/>
          </w:tcPr>
          <w:p>
            <w:pPr>
              <w:jc w:val="left"/>
            </w:pPr>
            <w:r>
              <w:rPr>
                <w:rFonts w:ascii="Times New Roman" w:hAnsi="Times New Roman"/>
                <w:sz w:val="17"/>
              </w:rPr>
              <w:t>25</w:t>
            </w:r>
          </w:p>
        </w:tc>
        <w:tc>
          <w:tcPr>
            <w:tcW w:type="dxa" w:w="1170"/>
          </w:tcPr>
          <w:p>
            <w:pPr>
              <w:jc w:val="right"/>
            </w:pPr>
            <w:r>
              <w:rPr>
                <w:rFonts w:ascii="Times New Roman" w:hAnsi="Times New Roman"/>
                <w:sz w:val="17"/>
              </w:rPr>
              <w:t>Geita</w:t>
            </w:r>
          </w:p>
        </w:tc>
        <w:tc>
          <w:tcPr>
            <w:tcW w:type="dxa" w:w="1170"/>
          </w:tcPr>
          <w:p>
            <w:pPr>
              <w:jc w:val="right"/>
            </w:pPr>
            <w:r>
              <w:rPr>
                <w:rFonts w:ascii="Times New Roman" w:hAnsi="Times New Roman"/>
                <w:sz w:val="17"/>
              </w:rPr>
              <w:t>147</w:t>
            </w:r>
          </w:p>
        </w:tc>
        <w:tc>
          <w:tcPr>
            <w:tcW w:type="dxa" w:w="1170"/>
          </w:tcPr>
          <w:p>
            <w:pPr>
              <w:jc w:val="right"/>
            </w:pPr>
            <w:r>
              <w:rPr>
                <w:rFonts w:ascii="Times New Roman" w:hAnsi="Times New Roman"/>
                <w:sz w:val="17"/>
              </w:rPr>
              <w:t>0.613</w:t>
            </w:r>
          </w:p>
        </w:tc>
        <w:tc>
          <w:tcPr>
            <w:tcW w:type="dxa" w:w="1170"/>
          </w:tcPr>
          <w:p>
            <w:pPr>
              <w:jc w:val="right"/>
            </w:pPr>
            <w:r>
              <w:rPr>
                <w:rFonts w:ascii="Times New Roman" w:hAnsi="Times New Roman"/>
                <w:sz w:val="17"/>
              </w:rPr>
              <w:t>0.050</w:t>
            </w:r>
          </w:p>
        </w:tc>
        <w:tc>
          <w:tcPr>
            <w:tcW w:type="dxa" w:w="1170"/>
          </w:tcPr>
          <w:p>
            <w:pPr>
              <w:jc w:val="right"/>
            </w:pPr>
            <w:r>
              <w:rPr>
                <w:rFonts w:ascii="Times New Roman" w:hAnsi="Times New Roman"/>
                <w:sz w:val="17"/>
              </w:rPr>
              <w:t>0.501</w:t>
            </w:r>
          </w:p>
        </w:tc>
        <w:tc>
          <w:tcPr>
            <w:tcW w:type="dxa" w:w="1170"/>
          </w:tcPr>
          <w:p>
            <w:pPr>
              <w:jc w:val="right"/>
            </w:pPr>
            <w:r>
              <w:rPr>
                <w:rFonts w:ascii="Times New Roman" w:hAnsi="Times New Roman"/>
                <w:sz w:val="17"/>
              </w:rPr>
              <w:t>0.366</w:t>
            </w:r>
          </w:p>
        </w:tc>
        <w:tc>
          <w:tcPr>
            <w:tcW w:type="dxa" w:w="1170"/>
          </w:tcPr>
          <w:p>
            <w:pPr>
              <w:jc w:val="right"/>
            </w:pPr>
            <w:r>
              <w:rPr>
                <w:rFonts w:ascii="Times New Roman" w:hAnsi="Times New Roman"/>
                <w:sz w:val="17"/>
              </w:rPr>
              <w:t>0.316</w:t>
            </w:r>
          </w:p>
        </w:tc>
      </w:tr>
      <w:tr>
        <w:tc>
          <w:tcPr>
            <w:tcW w:type="dxa" w:w="1170"/>
          </w:tcPr>
          <w:p>
            <w:pPr>
              <w:jc w:val="left"/>
            </w:pPr>
            <w:r>
              <w:rPr>
                <w:rFonts w:ascii="Times New Roman" w:hAnsi="Times New Roman"/>
                <w:sz w:val="17"/>
              </w:rPr>
              <w:t>31</w:t>
            </w:r>
          </w:p>
        </w:tc>
        <w:tc>
          <w:tcPr>
            <w:tcW w:type="dxa" w:w="1170"/>
          </w:tcPr>
          <w:p>
            <w:pPr>
              <w:jc w:val="right"/>
            </w:pPr>
            <w:r>
              <w:rPr>
                <w:rFonts w:ascii="Times New Roman" w:hAnsi="Times New Roman"/>
                <w:sz w:val="17"/>
              </w:rPr>
              <w:t>Kusini Pemba</w:t>
            </w:r>
          </w:p>
        </w:tc>
        <w:tc>
          <w:tcPr>
            <w:tcW w:type="dxa" w:w="1170"/>
          </w:tcPr>
          <w:p>
            <w:pPr>
              <w:jc w:val="right"/>
            </w:pPr>
            <w:r>
              <w:rPr>
                <w:rFonts w:ascii="Times New Roman" w:hAnsi="Times New Roman"/>
                <w:sz w:val="17"/>
              </w:rPr>
              <w:t>93</w:t>
            </w:r>
          </w:p>
        </w:tc>
        <w:tc>
          <w:tcPr>
            <w:tcW w:type="dxa" w:w="1170"/>
          </w:tcPr>
          <w:p>
            <w:pPr>
              <w:jc w:val="right"/>
            </w:pPr>
            <w:r>
              <w:rPr>
                <w:rFonts w:ascii="Times New Roman" w:hAnsi="Times New Roman"/>
                <w:sz w:val="17"/>
              </w:rPr>
              <w:t>0.579</w:t>
            </w:r>
          </w:p>
        </w:tc>
        <w:tc>
          <w:tcPr>
            <w:tcW w:type="dxa" w:w="1170"/>
          </w:tcPr>
          <w:p>
            <w:pPr>
              <w:jc w:val="right"/>
            </w:pPr>
            <w:r>
              <w:rPr>
                <w:rFonts w:ascii="Times New Roman" w:hAnsi="Times New Roman"/>
                <w:sz w:val="17"/>
              </w:rPr>
              <w:t>0.314</w:t>
            </w:r>
          </w:p>
        </w:tc>
        <w:tc>
          <w:tcPr>
            <w:tcW w:type="dxa" w:w="1170"/>
          </w:tcPr>
          <w:p>
            <w:pPr>
              <w:jc w:val="right"/>
            </w:pPr>
            <w:r>
              <w:rPr>
                <w:rFonts w:ascii="Times New Roman" w:hAnsi="Times New Roman"/>
                <w:sz w:val="17"/>
              </w:rPr>
              <w:t>0.367</w:t>
            </w:r>
          </w:p>
        </w:tc>
        <w:tc>
          <w:tcPr>
            <w:tcW w:type="dxa" w:w="1170"/>
          </w:tcPr>
          <w:p>
            <w:pPr>
              <w:jc w:val="right"/>
            </w:pPr>
            <w:r>
              <w:rPr>
                <w:rFonts w:ascii="Times New Roman" w:hAnsi="Times New Roman"/>
                <w:sz w:val="17"/>
              </w:rPr>
              <w:t>0.725</w:t>
            </w:r>
          </w:p>
        </w:tc>
        <w:tc>
          <w:tcPr>
            <w:tcW w:type="dxa" w:w="1170"/>
          </w:tcPr>
          <w:p>
            <w:pPr>
              <w:jc w:val="right"/>
            </w:pPr>
            <w:r>
              <w:rPr>
                <w:rFonts w:ascii="Times New Roman" w:hAnsi="Times New Roman"/>
                <w:sz w:val="17"/>
              </w:rPr>
              <w:t>0.411</w:t>
            </w:r>
          </w:p>
        </w:tc>
      </w:tr>
      <w:tr>
        <w:tc>
          <w:tcPr>
            <w:tcW w:type="dxa" w:w="1170"/>
          </w:tcPr>
          <w:p>
            <w:pPr>
              <w:jc w:val="left"/>
            </w:pPr>
            <w:r>
              <w:rPr>
                <w:rFonts w:ascii="Times New Roman" w:hAnsi="Times New Roman"/>
                <w:sz w:val="17"/>
              </w:rPr>
              <w:t>28</w:t>
            </w:r>
          </w:p>
        </w:tc>
        <w:tc>
          <w:tcPr>
            <w:tcW w:type="dxa" w:w="1170"/>
          </w:tcPr>
          <w:p>
            <w:pPr>
              <w:jc w:val="right"/>
            </w:pPr>
            <w:r>
              <w:rPr>
                <w:rFonts w:ascii="Times New Roman" w:hAnsi="Times New Roman"/>
                <w:sz w:val="17"/>
              </w:rPr>
              <w:t>Kusini Unguja</w:t>
            </w:r>
          </w:p>
        </w:tc>
        <w:tc>
          <w:tcPr>
            <w:tcW w:type="dxa" w:w="1170"/>
          </w:tcPr>
          <w:p>
            <w:pPr>
              <w:jc w:val="right"/>
            </w:pPr>
            <w:r>
              <w:rPr>
                <w:rFonts w:ascii="Times New Roman" w:hAnsi="Times New Roman"/>
                <w:sz w:val="17"/>
              </w:rPr>
              <w:t>89</w:t>
            </w:r>
          </w:p>
        </w:tc>
        <w:tc>
          <w:tcPr>
            <w:tcW w:type="dxa" w:w="1170"/>
          </w:tcPr>
          <w:p>
            <w:pPr>
              <w:jc w:val="right"/>
            </w:pPr>
            <w:r>
              <w:rPr>
                <w:rFonts w:ascii="Times New Roman" w:hAnsi="Times New Roman"/>
                <w:sz w:val="17"/>
              </w:rPr>
              <w:t>0.573</w:t>
            </w:r>
          </w:p>
        </w:tc>
        <w:tc>
          <w:tcPr>
            <w:tcW w:type="dxa" w:w="1170"/>
          </w:tcPr>
          <w:p>
            <w:pPr>
              <w:jc w:val="right"/>
            </w:pPr>
            <w:r>
              <w:rPr>
                <w:rFonts w:ascii="Times New Roman" w:hAnsi="Times New Roman"/>
                <w:sz w:val="17"/>
              </w:rPr>
              <w:t>0.422</w:t>
            </w:r>
          </w:p>
        </w:tc>
        <w:tc>
          <w:tcPr>
            <w:tcW w:type="dxa" w:w="1170"/>
          </w:tcPr>
          <w:p>
            <w:pPr>
              <w:jc w:val="right"/>
            </w:pPr>
            <w:r>
              <w:rPr>
                <w:rFonts w:ascii="Times New Roman" w:hAnsi="Times New Roman"/>
                <w:sz w:val="17"/>
              </w:rPr>
              <w:t>0.466</w:t>
            </w:r>
          </w:p>
        </w:tc>
        <w:tc>
          <w:tcPr>
            <w:tcW w:type="dxa" w:w="1170"/>
          </w:tcPr>
          <w:p>
            <w:pPr>
              <w:jc w:val="right"/>
            </w:pPr>
            <w:r>
              <w:rPr>
                <w:rFonts w:ascii="Times New Roman" w:hAnsi="Times New Roman"/>
                <w:sz w:val="17"/>
              </w:rPr>
              <w:t>0.618</w:t>
            </w:r>
          </w:p>
        </w:tc>
        <w:tc>
          <w:tcPr>
            <w:tcW w:type="dxa" w:w="1170"/>
          </w:tcPr>
          <w:p>
            <w:pPr>
              <w:jc w:val="right"/>
            </w:pPr>
            <w:r>
              <w:rPr>
                <w:rFonts w:ascii="Times New Roman" w:hAnsi="Times New Roman"/>
                <w:sz w:val="17"/>
              </w:rPr>
              <w:t>0.196</w:t>
            </w:r>
          </w:p>
        </w:tc>
      </w:tr>
      <w:tr>
        <w:tc>
          <w:tcPr>
            <w:tcW w:type="dxa" w:w="1170"/>
          </w:tcPr>
          <w:p>
            <w:pPr>
              <w:jc w:val="left"/>
            </w:pPr>
            <w:r>
              <w:rPr>
                <w:rFonts w:ascii="Times New Roman" w:hAnsi="Times New Roman"/>
                <w:sz w:val="17"/>
              </w:rPr>
              <w:t>29</w:t>
            </w:r>
          </w:p>
        </w:tc>
        <w:tc>
          <w:tcPr>
            <w:tcW w:type="dxa" w:w="1170"/>
          </w:tcPr>
          <w:p>
            <w:pPr>
              <w:jc w:val="right"/>
            </w:pPr>
            <w:r>
              <w:rPr>
                <w:rFonts w:ascii="Times New Roman" w:hAnsi="Times New Roman"/>
                <w:sz w:val="17"/>
              </w:rPr>
              <w:t>Mjini Magharibi</w:t>
            </w:r>
          </w:p>
        </w:tc>
        <w:tc>
          <w:tcPr>
            <w:tcW w:type="dxa" w:w="1170"/>
          </w:tcPr>
          <w:p>
            <w:pPr>
              <w:jc w:val="right"/>
            </w:pPr>
            <w:r>
              <w:rPr>
                <w:rFonts w:ascii="Times New Roman" w:hAnsi="Times New Roman"/>
                <w:sz w:val="17"/>
              </w:rPr>
              <w:t>80</w:t>
            </w:r>
          </w:p>
        </w:tc>
        <w:tc>
          <w:tcPr>
            <w:tcW w:type="dxa" w:w="1170"/>
          </w:tcPr>
          <w:p>
            <w:pPr>
              <w:jc w:val="right"/>
            </w:pPr>
            <w:r>
              <w:rPr>
                <w:rFonts w:ascii="Times New Roman" w:hAnsi="Times New Roman"/>
                <w:sz w:val="17"/>
              </w:rPr>
              <w:t>0.531</w:t>
            </w:r>
          </w:p>
        </w:tc>
        <w:tc>
          <w:tcPr>
            <w:tcW w:type="dxa" w:w="1170"/>
          </w:tcPr>
          <w:p>
            <w:pPr>
              <w:jc w:val="right"/>
            </w:pPr>
            <w:r>
              <w:rPr>
                <w:rFonts w:ascii="Times New Roman" w:hAnsi="Times New Roman"/>
                <w:sz w:val="17"/>
              </w:rPr>
              <w:t>0.594</w:t>
            </w:r>
          </w:p>
        </w:tc>
        <w:tc>
          <w:tcPr>
            <w:tcW w:type="dxa" w:w="1170"/>
          </w:tcPr>
          <w:p>
            <w:pPr>
              <w:jc w:val="right"/>
            </w:pPr>
            <w:r>
              <w:rPr>
                <w:rFonts w:ascii="Times New Roman" w:hAnsi="Times New Roman"/>
                <w:sz w:val="17"/>
              </w:rPr>
              <w:t>0.413</w:t>
            </w:r>
          </w:p>
        </w:tc>
        <w:tc>
          <w:tcPr>
            <w:tcW w:type="dxa" w:w="1170"/>
          </w:tcPr>
          <w:p>
            <w:pPr>
              <w:jc w:val="right"/>
            </w:pPr>
            <w:r>
              <w:rPr>
                <w:rFonts w:ascii="Times New Roman" w:hAnsi="Times New Roman"/>
                <w:sz w:val="17"/>
              </w:rPr>
              <w:t>0.754</w:t>
            </w:r>
          </w:p>
        </w:tc>
        <w:tc>
          <w:tcPr>
            <w:tcW w:type="dxa" w:w="1170"/>
          </w:tcPr>
          <w:p>
            <w:pPr>
              <w:jc w:val="right"/>
            </w:pPr>
            <w:r>
              <w:rPr>
                <w:rFonts w:ascii="Times New Roman" w:hAnsi="Times New Roman"/>
                <w:sz w:val="17"/>
              </w:rPr>
              <w:t>0.159</w:t>
            </w:r>
          </w:p>
        </w:tc>
      </w:tr>
      <w:tr>
        <w:tc>
          <w:tcPr>
            <w:tcW w:type="dxa" w:w="1170"/>
          </w:tcPr>
          <w:p>
            <w:pPr>
              <w:jc w:val="left"/>
            </w:pPr>
            <w:r>
              <w:rPr>
                <w:rFonts w:ascii="Times New Roman" w:hAnsi="Times New Roman"/>
                <w:sz w:val="17"/>
              </w:rPr>
              <w:t>7</w:t>
            </w:r>
          </w:p>
        </w:tc>
        <w:tc>
          <w:tcPr>
            <w:tcW w:type="dxa" w:w="1170"/>
          </w:tcPr>
          <w:p>
            <w:pPr>
              <w:jc w:val="right"/>
            </w:pPr>
            <w:r>
              <w:rPr>
                <w:rFonts w:ascii="Times New Roman" w:hAnsi="Times New Roman"/>
                <w:sz w:val="17"/>
              </w:rPr>
              <w:t>Dar es Salaam</w:t>
            </w:r>
          </w:p>
        </w:tc>
        <w:tc>
          <w:tcPr>
            <w:tcW w:type="dxa" w:w="1170"/>
          </w:tcPr>
          <w:p>
            <w:pPr>
              <w:jc w:val="right"/>
            </w:pPr>
            <w:r>
              <w:rPr>
                <w:rFonts w:ascii="Times New Roman" w:hAnsi="Times New Roman"/>
                <w:sz w:val="17"/>
              </w:rPr>
              <w:t>66</w:t>
            </w:r>
          </w:p>
        </w:tc>
        <w:tc>
          <w:tcPr>
            <w:tcW w:type="dxa" w:w="1170"/>
          </w:tcPr>
          <w:p>
            <w:pPr>
              <w:jc w:val="right"/>
            </w:pPr>
            <w:r>
              <w:rPr>
                <w:rFonts w:ascii="Times New Roman" w:hAnsi="Times New Roman"/>
                <w:sz w:val="17"/>
              </w:rPr>
              <w:t>0.724</w:t>
            </w:r>
          </w:p>
        </w:tc>
        <w:tc>
          <w:tcPr>
            <w:tcW w:type="dxa" w:w="1170"/>
          </w:tcPr>
          <w:p>
            <w:pPr>
              <w:jc w:val="right"/>
            </w:pPr>
            <w:r>
              <w:rPr>
                <w:rFonts w:ascii="Times New Roman" w:hAnsi="Times New Roman"/>
                <w:sz w:val="17"/>
              </w:rPr>
              <w:t>-0.054</w:t>
            </w:r>
          </w:p>
        </w:tc>
        <w:tc>
          <w:tcPr>
            <w:tcW w:type="dxa" w:w="1170"/>
          </w:tcPr>
          <w:p>
            <w:pPr>
              <w:jc w:val="right"/>
            </w:pPr>
            <w:r>
              <w:rPr>
                <w:rFonts w:ascii="Times New Roman" w:hAnsi="Times New Roman"/>
                <w:sz w:val="17"/>
              </w:rPr>
              <w:t>0.583</w:t>
            </w:r>
          </w:p>
        </w:tc>
        <w:tc>
          <w:tcPr>
            <w:tcW w:type="dxa" w:w="1170"/>
          </w:tcPr>
          <w:p>
            <w:pPr>
              <w:jc w:val="right"/>
            </w:pPr>
            <w:r>
              <w:rPr>
                <w:rFonts w:ascii="Times New Roman" w:hAnsi="Times New Roman"/>
                <w:sz w:val="17"/>
              </w:rPr>
              <w:t>0.316</w:t>
            </w:r>
          </w:p>
        </w:tc>
        <w:tc>
          <w:tcPr>
            <w:tcW w:type="dxa" w:w="1170"/>
          </w:tcPr>
          <w:p>
            <w:pPr>
              <w:jc w:val="right"/>
            </w:pPr>
            <w:r>
              <w:rPr>
                <w:rFonts w:ascii="Times New Roman" w:hAnsi="Times New Roman"/>
                <w:sz w:val="17"/>
              </w:rPr>
              <w:t>0.370</w:t>
            </w:r>
          </w:p>
        </w:tc>
      </w:tr>
      <w:tr>
        <w:tc>
          <w:tcPr>
            <w:tcW w:type="dxa" w:w="1170"/>
          </w:tcPr>
          <w:p>
            <w:pPr>
              <w:jc w:val="left"/>
            </w:pPr>
            <w:r>
              <w:rPr>
                <w:rFonts w:ascii="Times New Roman" w:hAnsi="Times New Roman"/>
                <w:sz w:val="17"/>
              </w:rPr>
              <w:t>16</w:t>
            </w:r>
          </w:p>
        </w:tc>
        <w:tc>
          <w:tcPr>
            <w:tcW w:type="dxa" w:w="1170"/>
          </w:tcPr>
          <w:p>
            <w:pPr>
              <w:jc w:val="right"/>
            </w:pPr>
            <w:r>
              <w:rPr>
                <w:rFonts w:ascii="Times New Roman" w:hAnsi="Times New Roman"/>
                <w:sz w:val="17"/>
              </w:rPr>
              <w:t>Kigoma</w:t>
            </w:r>
          </w:p>
        </w:tc>
        <w:tc>
          <w:tcPr>
            <w:tcW w:type="dxa" w:w="1170"/>
          </w:tcPr>
          <w:p>
            <w:pPr>
              <w:jc w:val="right"/>
            </w:pPr>
            <w:r>
              <w:rPr>
                <w:rFonts w:ascii="Times New Roman" w:hAnsi="Times New Roman"/>
                <w:sz w:val="17"/>
              </w:rPr>
              <w:t>55</w:t>
            </w:r>
          </w:p>
        </w:tc>
        <w:tc>
          <w:tcPr>
            <w:tcW w:type="dxa" w:w="1170"/>
          </w:tcPr>
          <w:p>
            <w:pPr>
              <w:jc w:val="right"/>
            </w:pPr>
            <w:r>
              <w:rPr>
                <w:rFonts w:ascii="Times New Roman" w:hAnsi="Times New Roman"/>
                <w:sz w:val="17"/>
              </w:rPr>
              <w:t>0.647</w:t>
            </w:r>
          </w:p>
        </w:tc>
        <w:tc>
          <w:tcPr>
            <w:tcW w:type="dxa" w:w="1170"/>
          </w:tcPr>
          <w:p>
            <w:pPr>
              <w:jc w:val="right"/>
            </w:pPr>
            <w:r>
              <w:rPr>
                <w:rFonts w:ascii="Times New Roman" w:hAnsi="Times New Roman"/>
                <w:sz w:val="17"/>
              </w:rPr>
              <w:t>-0.042</w:t>
            </w:r>
          </w:p>
        </w:tc>
        <w:tc>
          <w:tcPr>
            <w:tcW w:type="dxa" w:w="1170"/>
          </w:tcPr>
          <w:p>
            <w:pPr>
              <w:jc w:val="right"/>
            </w:pPr>
            <w:r>
              <w:rPr>
                <w:rFonts w:ascii="Times New Roman" w:hAnsi="Times New Roman"/>
                <w:sz w:val="17"/>
              </w:rPr>
              <w:t>0.491</w:t>
            </w:r>
          </w:p>
        </w:tc>
        <w:tc>
          <w:tcPr>
            <w:tcW w:type="dxa" w:w="1170"/>
          </w:tcPr>
          <w:p>
            <w:pPr>
              <w:jc w:val="right"/>
            </w:pPr>
            <w:r>
              <w:rPr>
                <w:rFonts w:ascii="Times New Roman" w:hAnsi="Times New Roman"/>
                <w:sz w:val="17"/>
              </w:rPr>
              <w:t>0.399</w:t>
            </w:r>
          </w:p>
        </w:tc>
        <w:tc>
          <w:tcPr>
            <w:tcW w:type="dxa" w:w="1170"/>
          </w:tcPr>
          <w:p>
            <w:pPr>
              <w:jc w:val="right"/>
            </w:pPr>
            <w:r>
              <w:rPr>
                <w:rFonts w:ascii="Times New Roman" w:hAnsi="Times New Roman"/>
                <w:sz w:val="17"/>
              </w:rPr>
              <w:t>0.441</w:t>
            </w:r>
          </w:p>
        </w:tc>
      </w:tr>
      <w:tr>
        <w:tc>
          <w:tcPr>
            <w:tcW w:type="dxa" w:w="1170"/>
          </w:tcPr>
          <w:p>
            <w:pPr>
              <w:jc w:val="left"/>
            </w:pPr>
            <w:r>
              <w:rPr>
                <w:rFonts w:ascii="Times New Roman" w:hAnsi="Times New Roman"/>
                <w:sz w:val="17"/>
              </w:rPr>
              <w:t>17</w:t>
            </w:r>
          </w:p>
        </w:tc>
        <w:tc>
          <w:tcPr>
            <w:tcW w:type="dxa" w:w="1170"/>
          </w:tcPr>
          <w:p>
            <w:pPr>
              <w:jc w:val="right"/>
            </w:pPr>
            <w:r>
              <w:rPr>
                <w:rFonts w:ascii="Times New Roman" w:hAnsi="Times New Roman"/>
                <w:sz w:val="17"/>
              </w:rPr>
              <w:t>Shinyanga</w:t>
            </w:r>
          </w:p>
        </w:tc>
        <w:tc>
          <w:tcPr>
            <w:tcW w:type="dxa" w:w="1170"/>
          </w:tcPr>
          <w:p>
            <w:pPr>
              <w:jc w:val="right"/>
            </w:pPr>
            <w:r>
              <w:rPr>
                <w:rFonts w:ascii="Times New Roman" w:hAnsi="Times New Roman"/>
                <w:sz w:val="17"/>
              </w:rPr>
              <w:t>53</w:t>
            </w:r>
          </w:p>
        </w:tc>
        <w:tc>
          <w:tcPr>
            <w:tcW w:type="dxa" w:w="1170"/>
          </w:tcPr>
          <w:p>
            <w:pPr>
              <w:jc w:val="right"/>
            </w:pPr>
            <w:r>
              <w:rPr>
                <w:rFonts w:ascii="Times New Roman" w:hAnsi="Times New Roman"/>
                <w:sz w:val="17"/>
              </w:rPr>
              <w:t>0.545</w:t>
            </w:r>
          </w:p>
        </w:tc>
        <w:tc>
          <w:tcPr>
            <w:tcW w:type="dxa" w:w="1170"/>
          </w:tcPr>
          <w:p>
            <w:pPr>
              <w:jc w:val="right"/>
            </w:pPr>
            <w:r>
              <w:rPr>
                <w:rFonts w:ascii="Times New Roman" w:hAnsi="Times New Roman"/>
                <w:sz w:val="17"/>
              </w:rPr>
              <w:t>0.202</w:t>
            </w:r>
          </w:p>
        </w:tc>
        <w:tc>
          <w:tcPr>
            <w:tcW w:type="dxa" w:w="1170"/>
          </w:tcPr>
          <w:p>
            <w:pPr>
              <w:jc w:val="right"/>
            </w:pPr>
            <w:r>
              <w:rPr>
                <w:rFonts w:ascii="Times New Roman" w:hAnsi="Times New Roman"/>
                <w:sz w:val="17"/>
              </w:rPr>
              <w:t>0.499</w:t>
            </w:r>
          </w:p>
        </w:tc>
        <w:tc>
          <w:tcPr>
            <w:tcW w:type="dxa" w:w="1170"/>
          </w:tcPr>
          <w:p>
            <w:pPr>
              <w:jc w:val="right"/>
            </w:pPr>
            <w:r>
              <w:rPr>
                <w:rFonts w:ascii="Times New Roman" w:hAnsi="Times New Roman"/>
                <w:sz w:val="17"/>
              </w:rPr>
              <w:t>0.331</w:t>
            </w:r>
          </w:p>
        </w:tc>
        <w:tc>
          <w:tcPr>
            <w:tcW w:type="dxa" w:w="1170"/>
          </w:tcPr>
          <w:p>
            <w:pPr>
              <w:jc w:val="right"/>
            </w:pPr>
            <w:r>
              <w:rPr>
                <w:rFonts w:ascii="Times New Roman" w:hAnsi="Times New Roman"/>
                <w:sz w:val="17"/>
              </w:rPr>
              <w:t>0.129</w:t>
            </w:r>
          </w:p>
        </w:tc>
      </w:tr>
      <w:tr>
        <w:tc>
          <w:tcPr>
            <w:tcW w:type="dxa" w:w="1170"/>
          </w:tcPr>
          <w:p>
            <w:pPr>
              <w:jc w:val="left"/>
            </w:pPr>
            <w:r>
              <w:rPr>
                <w:rFonts w:ascii="Times New Roman" w:hAnsi="Times New Roman"/>
                <w:sz w:val="17"/>
              </w:rPr>
              <w:t>1</w:t>
            </w:r>
          </w:p>
        </w:tc>
        <w:tc>
          <w:tcPr>
            <w:tcW w:type="dxa" w:w="1170"/>
          </w:tcPr>
          <w:p>
            <w:pPr>
              <w:jc w:val="right"/>
            </w:pPr>
            <w:r>
              <w:rPr>
                <w:rFonts w:ascii="Times New Roman" w:hAnsi="Times New Roman"/>
                <w:sz w:val="17"/>
              </w:rPr>
              <w:t>Dodoma</w:t>
            </w:r>
          </w:p>
        </w:tc>
        <w:tc>
          <w:tcPr>
            <w:tcW w:type="dxa" w:w="1170"/>
          </w:tcPr>
          <w:p>
            <w:pPr>
              <w:jc w:val="right"/>
            </w:pPr>
            <w:r>
              <w:rPr>
                <w:rFonts w:ascii="Times New Roman" w:hAnsi="Times New Roman"/>
                <w:sz w:val="17"/>
              </w:rPr>
              <w:t>27</w:t>
            </w:r>
          </w:p>
        </w:tc>
        <w:tc>
          <w:tcPr>
            <w:tcW w:type="dxa" w:w="1170"/>
          </w:tcPr>
          <w:p>
            <w:pPr>
              <w:jc w:val="right"/>
            </w:pPr>
            <w:r>
              <w:rPr>
                <w:rFonts w:ascii="Times New Roman" w:hAnsi="Times New Roman"/>
                <w:sz w:val="17"/>
              </w:rPr>
              <w:t>0.606</w:t>
            </w:r>
          </w:p>
        </w:tc>
        <w:tc>
          <w:tcPr>
            <w:tcW w:type="dxa" w:w="1170"/>
          </w:tcPr>
          <w:p>
            <w:pPr>
              <w:jc w:val="right"/>
            </w:pPr>
            <w:r>
              <w:rPr>
                <w:rFonts w:ascii="Times New Roman" w:hAnsi="Times New Roman"/>
                <w:sz w:val="17"/>
              </w:rPr>
              <w:t>0.113</w:t>
            </w:r>
          </w:p>
        </w:tc>
        <w:tc>
          <w:tcPr>
            <w:tcW w:type="dxa" w:w="1170"/>
          </w:tcPr>
          <w:p>
            <w:pPr>
              <w:jc w:val="right"/>
            </w:pPr>
            <w:r>
              <w:rPr>
                <w:rFonts w:ascii="Times New Roman" w:hAnsi="Times New Roman"/>
                <w:sz w:val="17"/>
              </w:rPr>
              <w:t>0.378</w:t>
            </w:r>
          </w:p>
        </w:tc>
        <w:tc>
          <w:tcPr>
            <w:tcW w:type="dxa" w:w="1170"/>
          </w:tcPr>
          <w:p>
            <w:pPr>
              <w:jc w:val="right"/>
            </w:pPr>
            <w:r>
              <w:rPr>
                <w:rFonts w:ascii="Times New Roman" w:hAnsi="Times New Roman"/>
                <w:sz w:val="17"/>
              </w:rPr>
              <w:t>0.654</w:t>
            </w:r>
          </w:p>
        </w:tc>
        <w:tc>
          <w:tcPr>
            <w:tcW w:type="dxa" w:w="1170"/>
          </w:tcPr>
          <w:p>
            <w:pPr>
              <w:jc w:val="right"/>
            </w:pPr>
            <w:r>
              <w:rPr>
                <w:rFonts w:ascii="Times New Roman" w:hAnsi="Times New Roman"/>
                <w:sz w:val="17"/>
              </w:rPr>
              <w:t>0.541</w:t>
            </w:r>
          </w:p>
        </w:tc>
      </w:tr>
      <w:tr>
        <w:tc>
          <w:tcPr>
            <w:tcW w:type="dxa" w:w="1170"/>
          </w:tcPr>
          <w:p>
            <w:pPr>
              <w:jc w:val="left"/>
            </w:pPr>
            <w:r>
              <w:rPr>
                <w:rFonts w:ascii="Times New Roman" w:hAnsi="Times New Roman"/>
                <w:sz w:val="17"/>
              </w:rPr>
              <w:t>23</w:t>
            </w:r>
          </w:p>
        </w:tc>
        <w:tc>
          <w:tcPr>
            <w:tcW w:type="dxa" w:w="1170"/>
          </w:tcPr>
          <w:p>
            <w:pPr>
              <w:jc w:val="right"/>
            </w:pPr>
            <w:r>
              <w:rPr>
                <w:rFonts w:ascii="Times New Roman" w:hAnsi="Times New Roman"/>
                <w:sz w:val="17"/>
              </w:rPr>
              <w:t>Katavi</w:t>
            </w:r>
          </w:p>
        </w:tc>
        <w:tc>
          <w:tcPr>
            <w:tcW w:type="dxa" w:w="1170"/>
          </w:tcPr>
          <w:p>
            <w:pPr>
              <w:jc w:val="right"/>
            </w:pPr>
            <w:r>
              <w:rPr>
                <w:rFonts w:ascii="Times New Roman" w:hAnsi="Times New Roman"/>
                <w:sz w:val="17"/>
              </w:rPr>
              <w:t>25</w:t>
            </w:r>
          </w:p>
        </w:tc>
        <w:tc>
          <w:tcPr>
            <w:tcW w:type="dxa" w:w="1170"/>
          </w:tcPr>
          <w:p>
            <w:pPr>
              <w:jc w:val="right"/>
            </w:pPr>
            <w:r>
              <w:rPr>
                <w:rFonts w:ascii="Times New Roman" w:hAnsi="Times New Roman"/>
                <w:sz w:val="17"/>
              </w:rPr>
              <w:t>0.603</w:t>
            </w:r>
          </w:p>
        </w:tc>
        <w:tc>
          <w:tcPr>
            <w:tcW w:type="dxa" w:w="1170"/>
          </w:tcPr>
          <w:p>
            <w:pPr>
              <w:jc w:val="right"/>
            </w:pPr>
            <w:r>
              <w:rPr>
                <w:rFonts w:ascii="Times New Roman" w:hAnsi="Times New Roman"/>
                <w:sz w:val="17"/>
              </w:rPr>
              <w:t>0.427</w:t>
            </w:r>
          </w:p>
        </w:tc>
        <w:tc>
          <w:tcPr>
            <w:tcW w:type="dxa" w:w="1170"/>
          </w:tcPr>
          <w:p>
            <w:pPr>
              <w:jc w:val="right"/>
            </w:pPr>
            <w:r>
              <w:rPr>
                <w:rFonts w:ascii="Times New Roman" w:hAnsi="Times New Roman"/>
                <w:sz w:val="17"/>
              </w:rPr>
              <w:t>0.471</w:t>
            </w:r>
          </w:p>
        </w:tc>
        <w:tc>
          <w:tcPr>
            <w:tcW w:type="dxa" w:w="1170"/>
          </w:tcPr>
          <w:p>
            <w:pPr>
              <w:jc w:val="right"/>
            </w:pPr>
            <w:r>
              <w:rPr>
                <w:rFonts w:ascii="Times New Roman" w:hAnsi="Times New Roman"/>
                <w:sz w:val="17"/>
              </w:rPr>
              <w:t>0.650</w:t>
            </w:r>
          </w:p>
        </w:tc>
        <w:tc>
          <w:tcPr>
            <w:tcW w:type="dxa" w:w="1170"/>
          </w:tcPr>
          <w:p>
            <w:pPr>
              <w:jc w:val="right"/>
            </w:pPr>
            <w:r>
              <w:rPr>
                <w:rFonts w:ascii="Times New Roman" w:hAnsi="Times New Roman"/>
                <w:sz w:val="17"/>
              </w:rPr>
              <w:t>0.223</w:t>
            </w:r>
          </w:p>
        </w:tc>
      </w:tr>
      <w:tr>
        <w:tc>
          <w:tcPr>
            <w:tcW w:type="dxa" w:w="1170"/>
          </w:tcPr>
          <w:p>
            <w:pPr>
              <w:jc w:val="left"/>
            </w:pPr>
            <w:r>
              <w:rPr>
                <w:rFonts w:ascii="Times New Roman" w:hAnsi="Times New Roman"/>
                <w:sz w:val="17"/>
              </w:rPr>
              <w:t>11</w:t>
            </w:r>
          </w:p>
        </w:tc>
        <w:tc>
          <w:tcPr>
            <w:tcW w:type="dxa" w:w="1170"/>
          </w:tcPr>
          <w:p>
            <w:pPr>
              <w:jc w:val="right"/>
            </w:pPr>
            <w:r>
              <w:rPr>
                <w:rFonts w:ascii="Times New Roman" w:hAnsi="Times New Roman"/>
                <w:sz w:val="17"/>
              </w:rPr>
              <w:t>Iringa</w:t>
            </w:r>
          </w:p>
        </w:tc>
        <w:tc>
          <w:tcPr>
            <w:tcW w:type="dxa" w:w="1170"/>
          </w:tcPr>
          <w:p>
            <w:pPr>
              <w:jc w:val="right"/>
            </w:pPr>
            <w:r>
              <w:rPr>
                <w:rFonts w:ascii="Times New Roman" w:hAnsi="Times New Roman"/>
                <w:sz w:val="17"/>
              </w:rPr>
              <w:t>14</w:t>
            </w:r>
          </w:p>
        </w:tc>
        <w:tc>
          <w:tcPr>
            <w:tcW w:type="dxa" w:w="1170"/>
          </w:tcPr>
          <w:p>
            <w:pPr>
              <w:jc w:val="right"/>
            </w:pPr>
            <w:r>
              <w:rPr>
                <w:rFonts w:ascii="Times New Roman" w:hAnsi="Times New Roman"/>
                <w:sz w:val="17"/>
              </w:rPr>
              <w:t>0.564</w:t>
            </w:r>
          </w:p>
        </w:tc>
        <w:tc>
          <w:tcPr>
            <w:tcW w:type="dxa" w:w="1170"/>
          </w:tcPr>
          <w:p>
            <w:pPr>
              <w:jc w:val="right"/>
            </w:pPr>
            <w:r>
              <w:rPr>
                <w:rFonts w:ascii="Times New Roman" w:hAnsi="Times New Roman"/>
                <w:sz w:val="17"/>
              </w:rPr>
              <w:t>0.051</w:t>
            </w:r>
          </w:p>
        </w:tc>
        <w:tc>
          <w:tcPr>
            <w:tcW w:type="dxa" w:w="1170"/>
          </w:tcPr>
          <w:p>
            <w:pPr>
              <w:jc w:val="right"/>
            </w:pPr>
            <w:r>
              <w:rPr>
                <w:rFonts w:ascii="Times New Roman" w:hAnsi="Times New Roman"/>
                <w:sz w:val="17"/>
              </w:rPr>
              <w:t>0.328</w:t>
            </w:r>
          </w:p>
        </w:tc>
        <w:tc>
          <w:tcPr>
            <w:tcW w:type="dxa" w:w="1170"/>
          </w:tcPr>
          <w:p>
            <w:pPr>
              <w:jc w:val="right"/>
            </w:pPr>
            <w:r>
              <w:rPr>
                <w:rFonts w:ascii="Times New Roman" w:hAnsi="Times New Roman"/>
                <w:sz w:val="17"/>
              </w:rPr>
              <w:t>0.678</w:t>
            </w:r>
          </w:p>
        </w:tc>
        <w:tc>
          <w:tcPr>
            <w:tcW w:type="dxa" w:w="1170"/>
          </w:tcPr>
          <w:p>
            <w:pPr>
              <w:jc w:val="right"/>
            </w:pPr>
            <w:r>
              <w:rPr>
                <w:rFonts w:ascii="Times New Roman" w:hAnsi="Times New Roman"/>
                <w:sz w:val="17"/>
              </w:rPr>
              <w:t>0.627</w:t>
            </w:r>
          </w:p>
        </w:tc>
      </w:tr>
      <w:tr>
        <w:tc>
          <w:tcPr>
            <w:tcW w:type="dxa" w:w="1170"/>
          </w:tcPr>
          <w:p>
            <w:pPr>
              <w:jc w:val="left"/>
            </w:pPr>
            <w:r>
              <w:rPr>
                <w:rFonts w:ascii="Times New Roman" w:hAnsi="Times New Roman"/>
                <w:sz w:val="17"/>
              </w:rPr>
              <w:t>13</w:t>
            </w:r>
          </w:p>
        </w:tc>
        <w:tc>
          <w:tcPr>
            <w:tcW w:type="dxa" w:w="1170"/>
          </w:tcPr>
          <w:p>
            <w:pPr>
              <w:jc w:val="right"/>
            </w:pPr>
            <w:r>
              <w:rPr>
                <w:rFonts w:ascii="Times New Roman" w:hAnsi="Times New Roman"/>
                <w:sz w:val="17"/>
              </w:rPr>
              <w:t>Singida</w:t>
            </w:r>
          </w:p>
        </w:tc>
        <w:tc>
          <w:tcPr>
            <w:tcW w:type="dxa" w:w="1170"/>
          </w:tcPr>
          <w:p>
            <w:pPr>
              <w:jc w:val="right"/>
            </w:pPr>
            <w:r>
              <w:rPr>
                <w:rFonts w:ascii="Times New Roman" w:hAnsi="Times New Roman"/>
                <w:sz w:val="17"/>
              </w:rPr>
              <w:t>11</w:t>
            </w:r>
          </w:p>
        </w:tc>
        <w:tc>
          <w:tcPr>
            <w:tcW w:type="dxa" w:w="1170"/>
          </w:tcPr>
          <w:p>
            <w:pPr>
              <w:jc w:val="right"/>
            </w:pPr>
            <w:r>
              <w:rPr>
                <w:rFonts w:ascii="Times New Roman" w:hAnsi="Times New Roman"/>
                <w:sz w:val="17"/>
              </w:rPr>
              <w:t>0.532</w:t>
            </w:r>
          </w:p>
        </w:tc>
        <w:tc>
          <w:tcPr>
            <w:tcW w:type="dxa" w:w="1170"/>
          </w:tcPr>
          <w:p>
            <w:pPr>
              <w:jc w:val="right"/>
            </w:pPr>
            <w:r>
              <w:rPr>
                <w:rFonts w:ascii="Times New Roman" w:hAnsi="Times New Roman"/>
                <w:sz w:val="17"/>
              </w:rPr>
              <w:t>-0.197</w:t>
            </w:r>
          </w:p>
        </w:tc>
        <w:tc>
          <w:tcPr>
            <w:tcW w:type="dxa" w:w="1170"/>
          </w:tcPr>
          <w:p>
            <w:pPr>
              <w:jc w:val="right"/>
            </w:pPr>
            <w:r>
              <w:rPr>
                <w:rFonts w:ascii="Times New Roman" w:hAnsi="Times New Roman"/>
                <w:sz w:val="17"/>
              </w:rPr>
              <w:t>0.569</w:t>
            </w:r>
          </w:p>
        </w:tc>
        <w:tc>
          <w:tcPr>
            <w:tcW w:type="dxa" w:w="1170"/>
          </w:tcPr>
          <w:p>
            <w:pPr>
              <w:jc w:val="right"/>
            </w:pPr>
            <w:r>
              <w:rPr>
                <w:rFonts w:ascii="Times New Roman" w:hAnsi="Times New Roman"/>
                <w:sz w:val="17"/>
              </w:rPr>
              <w:t>-0.373</w:t>
            </w:r>
          </w:p>
        </w:tc>
        <w:tc>
          <w:tcPr>
            <w:tcW w:type="dxa" w:w="1170"/>
          </w:tcPr>
          <w:p>
            <w:pPr>
              <w:jc w:val="right"/>
            </w:pPr>
            <w:r>
              <w:rPr>
                <w:rFonts w:ascii="Times New Roman" w:hAnsi="Times New Roman"/>
                <w:sz w:val="17"/>
              </w:rPr>
              <w:t>-0.175</w:t>
            </w:r>
          </w:p>
        </w:tc>
      </w:tr>
      <w:tr>
        <w:tc>
          <w:tcPr>
            <w:tcW w:type="dxa" w:w="1170"/>
          </w:tcPr>
          <w:p>
            <w:pPr>
              <w:jc w:val="left"/>
            </w:pPr>
            <w:r>
              <w:rPr>
                <w:rFonts w:ascii="Times New Roman" w:hAnsi="Times New Roman"/>
                <w:sz w:val="17"/>
              </w:rPr>
              <w:t>14</w:t>
            </w:r>
          </w:p>
        </w:tc>
        <w:tc>
          <w:tcPr>
            <w:tcW w:type="dxa" w:w="1170"/>
          </w:tcPr>
          <w:p>
            <w:pPr>
              <w:jc w:val="right"/>
            </w:pPr>
            <w:r>
              <w:rPr>
                <w:rFonts w:ascii="Times New Roman" w:hAnsi="Times New Roman"/>
                <w:sz w:val="17"/>
              </w:rPr>
              <w:t>Tabora</w:t>
            </w:r>
          </w:p>
        </w:tc>
        <w:tc>
          <w:tcPr>
            <w:tcW w:type="dxa" w:w="1170"/>
          </w:tcPr>
          <w:p>
            <w:pPr>
              <w:jc w:val="right"/>
            </w:pPr>
            <w:r>
              <w:rPr>
                <w:rFonts w:ascii="Times New Roman" w:hAnsi="Times New Roman"/>
                <w:sz w:val="17"/>
              </w:rPr>
              <w:t>10</w:t>
            </w:r>
          </w:p>
        </w:tc>
        <w:tc>
          <w:tcPr>
            <w:tcW w:type="dxa" w:w="1170"/>
          </w:tcPr>
          <w:p>
            <w:pPr>
              <w:jc w:val="right"/>
            </w:pPr>
            <w:r>
              <w:rPr>
                <w:rFonts w:ascii="Times New Roman" w:hAnsi="Times New Roman"/>
                <w:sz w:val="17"/>
              </w:rPr>
              <w:t>0.629</w:t>
            </w:r>
          </w:p>
        </w:tc>
        <w:tc>
          <w:tcPr>
            <w:tcW w:type="dxa" w:w="1170"/>
          </w:tcPr>
          <w:p>
            <w:pPr>
              <w:jc w:val="right"/>
            </w:pPr>
            <w:r>
              <w:rPr>
                <w:rFonts w:ascii="Times New Roman" w:hAnsi="Times New Roman"/>
                <w:sz w:val="17"/>
              </w:rPr>
              <w:t>-0.548</w:t>
            </w:r>
          </w:p>
        </w:tc>
        <w:tc>
          <w:tcPr>
            <w:tcW w:type="dxa" w:w="1170"/>
          </w:tcPr>
          <w:p>
            <w:pPr>
              <w:jc w:val="right"/>
            </w:pPr>
            <w:r>
              <w:rPr>
                <w:rFonts w:ascii="Times New Roman" w:hAnsi="Times New Roman"/>
                <w:sz w:val="17"/>
              </w:rPr>
              <w:t>0.461</w:t>
            </w:r>
          </w:p>
        </w:tc>
        <w:tc>
          <w:tcPr>
            <w:tcW w:type="dxa" w:w="1170"/>
          </w:tcPr>
          <w:p>
            <w:pPr>
              <w:jc w:val="right"/>
            </w:pPr>
            <w:r>
              <w:rPr>
                <w:rFonts w:ascii="Times New Roman" w:hAnsi="Times New Roman"/>
                <w:sz w:val="17"/>
              </w:rPr>
              <w:t>0.168</w:t>
            </w:r>
          </w:p>
        </w:tc>
        <w:tc>
          <w:tcPr>
            <w:tcW w:type="dxa" w:w="1170"/>
          </w:tcPr>
          <w:p>
            <w:pPr>
              <w:jc w:val="right"/>
            </w:pPr>
            <w:r>
              <w:rPr>
                <w:rFonts w:ascii="Times New Roman" w:hAnsi="Times New Roman"/>
                <w:sz w:val="17"/>
              </w:rPr>
              <w:t>0.715</w:t>
            </w:r>
          </w:p>
        </w:tc>
      </w:tr>
      <w:tr>
        <w:tc>
          <w:tcPr>
            <w:tcW w:type="dxa" w:w="1170"/>
          </w:tcPr>
          <w:p>
            <w:pPr>
              <w:jc w:val="left"/>
            </w:pPr>
            <w:r>
              <w:rPr>
                <w:rFonts w:ascii="Times New Roman" w:hAnsi="Times New Roman"/>
                <w:sz w:val="17"/>
              </w:rPr>
              <w:t>22</w:t>
            </w:r>
          </w:p>
        </w:tc>
        <w:tc>
          <w:tcPr>
            <w:tcW w:type="dxa" w:w="1170"/>
          </w:tcPr>
          <w:p>
            <w:pPr>
              <w:jc w:val="right"/>
            </w:pPr>
            <w:r>
              <w:rPr>
                <w:rFonts w:ascii="Times New Roman" w:hAnsi="Times New Roman"/>
                <w:sz w:val="17"/>
              </w:rPr>
              <w:t>Njombe</w:t>
            </w:r>
          </w:p>
        </w:tc>
        <w:tc>
          <w:tcPr>
            <w:tcW w:type="dxa" w:w="1170"/>
          </w:tcPr>
          <w:p>
            <w:pPr>
              <w:jc w:val="right"/>
            </w:pPr>
            <w:r>
              <w:rPr>
                <w:rFonts w:ascii="Times New Roman" w:hAnsi="Times New Roman"/>
                <w:sz w:val="17"/>
              </w:rPr>
              <w:t>5</w:t>
            </w:r>
          </w:p>
        </w:tc>
        <w:tc>
          <w:tcPr>
            <w:tcW w:type="dxa" w:w="1170"/>
          </w:tcPr>
          <w:p>
            <w:pPr>
              <w:jc w:val="right"/>
            </w:pPr>
            <w:r>
              <w:rPr>
                <w:rFonts w:ascii="Times New Roman" w:hAnsi="Times New Roman"/>
                <w:sz w:val="17"/>
              </w:rPr>
              <w:t>0.420</w:t>
            </w:r>
          </w:p>
        </w:tc>
        <w:tc>
          <w:tcPr>
            <w:tcW w:type="dxa" w:w="1170"/>
          </w:tcPr>
          <w:p>
            <w:pPr>
              <w:jc w:val="right"/>
            </w:pPr>
            <w:r>
              <w:rPr>
                <w:rFonts w:ascii="Times New Roman" w:hAnsi="Times New Roman"/>
                <w:sz w:val="17"/>
              </w:rPr>
              <w:t>-1.255</w:t>
            </w:r>
          </w:p>
        </w:tc>
        <w:tc>
          <w:tcPr>
            <w:tcW w:type="dxa" w:w="1170"/>
          </w:tcPr>
          <w:p>
            <w:pPr>
              <w:jc w:val="right"/>
            </w:pPr>
            <w:r>
              <w:rPr>
                <w:rFonts w:ascii="Times New Roman" w:hAnsi="Times New Roman"/>
                <w:sz w:val="17"/>
              </w:rPr>
              <w:t>0.387</w:t>
            </w:r>
          </w:p>
        </w:tc>
        <w:tc>
          <w:tcPr>
            <w:tcW w:type="dxa" w:w="1170"/>
          </w:tcPr>
          <w:p>
            <w:pPr>
              <w:jc w:val="right"/>
            </w:pPr>
            <w:r>
              <w:rPr>
                <w:rFonts w:ascii="Times New Roman" w:hAnsi="Times New Roman"/>
                <w:sz w:val="17"/>
              </w:rPr>
              <w:t>-0.915</w:t>
            </w:r>
          </w:p>
        </w:tc>
        <w:tc>
          <w:tcPr>
            <w:tcW w:type="dxa" w:w="1170"/>
          </w:tcPr>
          <w:p>
            <w:pPr>
              <w:jc w:val="right"/>
            </w:pPr>
            <w:r>
              <w:rPr>
                <w:rFonts w:ascii="Times New Roman" w:hAnsi="Times New Roman"/>
                <w:sz w:val="17"/>
              </w:rPr>
              <w:t>0.341</w:t>
            </w:r>
          </w:p>
        </w:tc>
      </w:tr>
      <w:tr>
        <w:tc>
          <w:tcPr>
            <w:tcW w:type="dxa" w:w="1170"/>
          </w:tcPr>
          <w:p>
            <w:pPr>
              <w:jc w:val="left"/>
            </w:pPr>
            <w:r>
              <w:rPr>
                <w:rFonts w:ascii="Times New Roman" w:hAnsi="Times New Roman"/>
                <w:sz w:val="17"/>
              </w:rPr>
              <w:t>26</w:t>
            </w:r>
          </w:p>
        </w:tc>
        <w:tc>
          <w:tcPr>
            <w:tcW w:type="dxa" w:w="1170"/>
          </w:tcPr>
          <w:p>
            <w:pPr>
              <w:jc w:val="right"/>
            </w:pPr>
            <w:r>
              <w:rPr>
                <w:rFonts w:ascii="Times New Roman" w:hAnsi="Times New Roman"/>
                <w:sz w:val="17"/>
              </w:rPr>
              <w:t>Songwe</w:t>
            </w:r>
          </w:p>
        </w:tc>
        <w:tc>
          <w:tcPr>
            <w:tcW w:type="dxa" w:w="1170"/>
          </w:tcPr>
          <w:p>
            <w:pPr>
              <w:jc w:val="right"/>
            </w:pPr>
            <w:r>
              <w:rPr>
                <w:rFonts w:ascii="Times New Roman" w:hAnsi="Times New Roman"/>
                <w:sz w:val="17"/>
              </w:rPr>
              <w:t>3</w:t>
            </w:r>
          </w:p>
        </w:tc>
        <w:tc>
          <w:tcPr>
            <w:tcW w:type="dxa" w:w="1170"/>
          </w:tcPr>
          <w:p>
            <w:pPr>
              <w:jc w:val="right"/>
            </w:pPr>
            <w:r>
              <w:rPr>
                <w:rFonts w:ascii="Times New Roman" w:hAnsi="Times New Roman"/>
                <w:sz w:val="17"/>
              </w:rPr>
              <w:t>0.372</w:t>
            </w:r>
          </w:p>
        </w:tc>
        <w:tc>
          <w:tcPr>
            <w:tcW w:type="dxa" w:w="1170"/>
          </w:tcPr>
          <w:p>
            <w:pPr>
              <w:jc w:val="right"/>
            </w:pPr>
            <w:r>
              <w:rPr>
                <w:rFonts w:ascii="Times New Roman" w:hAnsi="Times New Roman"/>
                <w:sz w:val="17"/>
              </w:rPr>
              <w:t>-1.132</w:t>
            </w:r>
          </w:p>
        </w:tc>
        <w:tc>
          <w:tcPr>
            <w:tcW w:type="dxa" w:w="1170"/>
          </w:tcPr>
          <w:p>
            <w:pPr>
              <w:jc w:val="right"/>
            </w:pPr>
            <w:r>
              <w:rPr>
                <w:rFonts w:ascii="Times New Roman" w:hAnsi="Times New Roman"/>
                <w:sz w:val="17"/>
              </w:rPr>
              <w:t>0.251</w:t>
            </w:r>
          </w:p>
        </w:tc>
        <w:tc>
          <w:tcPr>
            <w:tcW w:type="dxa" w:w="1170"/>
          </w:tcPr>
          <w:p>
            <w:pPr>
              <w:jc w:val="right"/>
            </w:pPr>
            <w:r>
              <w:rPr>
                <w:rFonts w:ascii="Times New Roman" w:hAnsi="Times New Roman"/>
                <w:sz w:val="17"/>
              </w:rPr>
              <w:t>0.027</w:t>
            </w:r>
          </w:p>
        </w:tc>
        <w:tc>
          <w:tcPr>
            <w:tcW w:type="dxa" w:w="1170"/>
          </w:tcPr>
          <w:p>
            <w:pPr>
              <w:jc w:val="right"/>
            </w:pPr>
            <w:r>
              <w:rPr>
                <w:rFonts w:ascii="Times New Roman" w:hAnsi="Times New Roman"/>
                <w:sz w:val="17"/>
              </w:rPr>
              <w:t>1.159</w:t>
            </w:r>
          </w:p>
        </w:tc>
      </w:tr>
    </w:tbl>
    <w:p>
      <w:pPr>
        <w:spacing w:after="120"/>
      </w:pPr>
    </w:p>
    <w:p>
      <w:pPr>
        <w:spacing w:before="200" w:after="60"/>
      </w:pPr>
      <w:r>
        <w:rPr>
          <w:rFonts w:ascii="Times New Roman" w:hAnsi="Times New Roman"/>
          <w:b/>
          <w:color w:val="2B5C8F"/>
          <w:sz w:val="26"/>
        </w:rPr>
        <w:t>3.5 Non-Linear Agronomic Interactions &amp; Thresholds</w:t>
      </w:r>
    </w:p>
    <w:p>
      <w:r>
        <w:t>Partial dependence and interaction analyses reveal distinct non-linear tipping points in smallholder stability (Figure 6, Figure 9). Planting month divergence beyond 4.5 months triggers an abrupt volatility escalation, whereas crop diversity provides robust buffering.</w:t>
      </w:r>
    </w:p>
    <w:p>
      <w:pPr>
        <w:spacing w:before="200"/>
        <w:jc w:val="center"/>
      </w:pPr>
      <w:r>
        <w:drawing>
          <wp:inline xmlns:a="http://schemas.openxmlformats.org/drawingml/2006/main" xmlns:pic="http://schemas.openxmlformats.org/drawingml/2006/picture">
            <wp:extent cx="5669280" cy="2215183"/>
            <wp:docPr id="7" name="Picture 7"/>
            <wp:cNvGraphicFramePr>
              <a:graphicFrameLocks noChangeAspect="1"/>
            </wp:cNvGraphicFramePr>
            <a:graphic>
              <a:graphicData uri="http://schemas.openxmlformats.org/drawingml/2006/picture">
                <pic:pic>
                  <pic:nvPicPr>
                    <pic:cNvPr id="0" name="fig6_agronomic_non_linear_interactions.png"/>
                    <pic:cNvPicPr/>
                  </pic:nvPicPr>
                  <pic:blipFill>
                    <a:blip r:embed="rId15"/>
                    <a:stretch>
                      <a:fillRect/>
                    </a:stretch>
                  </pic:blipFill>
                  <pic:spPr>
                    <a:xfrm>
                      <a:off x="0" y="0"/>
                      <a:ext cx="5669280" cy="2215183"/>
                    </a:xfrm>
                    <a:prstGeom prst="rect"/>
                  </pic:spPr>
                </pic:pic>
              </a:graphicData>
            </a:graphic>
          </wp:inline>
        </w:drawing>
      </w:r>
    </w:p>
    <w:p>
      <w:pPr>
        <w:spacing w:after="240"/>
        <w:jc w:val="center"/>
      </w:pPr>
      <w:r>
        <w:rPr>
          <w:rFonts w:ascii="Times New Roman" w:hAnsi="Times New Roman"/>
          <w:i/>
          <w:sz w:val="19"/>
        </w:rPr>
        <w:t>Figure 6: Non-linear agronomic interaction surfaces. (A) Two-way interaction surface between planting date divergence and seasonal fertilizer delta. (B) Interaction between crop portfolio Shannon diversity and drought shock probability, revealing strong buffering thresholds.</w:t>
      </w:r>
    </w:p>
    <w:p>
      <w:pPr>
        <w:spacing w:before="200"/>
        <w:jc w:val="center"/>
      </w:pPr>
      <w:r>
        <w:drawing>
          <wp:inline xmlns:a="http://schemas.openxmlformats.org/drawingml/2006/main" xmlns:pic="http://schemas.openxmlformats.org/drawingml/2006/picture">
            <wp:extent cx="5669280" cy="3734766"/>
            <wp:docPr id="8" name="Picture 8"/>
            <wp:cNvGraphicFramePr>
              <a:graphicFrameLocks noChangeAspect="1"/>
            </wp:cNvGraphicFramePr>
            <a:graphic>
              <a:graphicData uri="http://schemas.openxmlformats.org/drawingml/2006/picture">
                <pic:pic>
                  <pic:nvPicPr>
                    <pic:cNvPr id="0" name="fig9_agroeconomic_partial_dependence_surfaces.png"/>
                    <pic:cNvPicPr/>
                  </pic:nvPicPr>
                  <pic:blipFill>
                    <a:blip r:embed="rId16"/>
                    <a:stretch>
                      <a:fillRect/>
                    </a:stretch>
                  </pic:blipFill>
                  <pic:spPr>
                    <a:xfrm>
                      <a:off x="0" y="0"/>
                      <a:ext cx="5669280" cy="3734766"/>
                    </a:xfrm>
                    <a:prstGeom prst="rect"/>
                  </pic:spPr>
                </pic:pic>
              </a:graphicData>
            </a:graphic>
          </wp:inline>
        </w:drawing>
      </w:r>
    </w:p>
    <w:p>
      <w:pPr>
        <w:spacing w:after="240"/>
        <w:jc w:val="center"/>
      </w:pPr>
      <w:r>
        <w:rPr>
          <w:rFonts w:ascii="Times New Roman" w:hAnsi="Times New Roman"/>
          <w:i/>
          <w:sz w:val="19"/>
        </w:rPr>
        <w:t>Figure 9: Agro-economic partial dependence surfaces and two-way interaction contours. (A) Marginal response of yield volatility to fertilizer application rate. (B) Labor allocation shift response. (C) Plot fragmentation (plot_area_cv) interaction surface.</w:t>
      </w:r>
    </w:p>
    <w:p>
      <w:pPr>
        <w:spacing w:before="200" w:after="60"/>
      </w:pPr>
      <w:r>
        <w:rPr>
          <w:rFonts w:ascii="Times New Roman" w:hAnsi="Times New Roman"/>
          <w:b/>
          <w:color w:val="2B5C8F"/>
          <w:sz w:val="26"/>
        </w:rPr>
        <w:t>3.6 Spatial Leakage Audit &amp; Household Explanations</w:t>
      </w:r>
    </w:p>
    <w:p>
      <w:r>
        <w:t>Table 5 and Figure 7 present the quantitative verification of the 5-pillar spatial leakage audit. The adversarial validation ROC-AUC remains at 0.512, proving that training and test distributions are spatially disentangled. Local SHAP waterfalls illustrate precise household-level intervention levers.</w:t>
      </w:r>
    </w:p>
    <w:p>
      <w:pPr>
        <w:spacing w:before="200"/>
        <w:jc w:val="center"/>
      </w:pPr>
      <w:r>
        <w:drawing>
          <wp:inline xmlns:a="http://schemas.openxmlformats.org/drawingml/2006/main" xmlns:pic="http://schemas.openxmlformats.org/drawingml/2006/picture">
            <wp:extent cx="5669280" cy="2920775"/>
            <wp:docPr id="9" name="Picture 9"/>
            <wp:cNvGraphicFramePr>
              <a:graphicFrameLocks noChangeAspect="1"/>
            </wp:cNvGraphicFramePr>
            <a:graphic>
              <a:graphicData uri="http://schemas.openxmlformats.org/drawingml/2006/picture">
                <pic:pic>
                  <pic:nvPicPr>
                    <pic:cNvPr id="0" name="fig7_leakage_audit_and_household_counterfactuals.png"/>
                    <pic:cNvPicPr/>
                  </pic:nvPicPr>
                  <pic:blipFill>
                    <a:blip r:embed="rId17"/>
                    <a:stretch>
                      <a:fillRect/>
                    </a:stretch>
                  </pic:blipFill>
                  <pic:spPr>
                    <a:xfrm>
                      <a:off x="0" y="0"/>
                      <a:ext cx="5669280" cy="2920775"/>
                    </a:xfrm>
                    <a:prstGeom prst="rect"/>
                  </pic:spPr>
                </pic:pic>
              </a:graphicData>
            </a:graphic>
          </wp:inline>
        </w:drawing>
      </w:r>
    </w:p>
    <w:p>
      <w:pPr>
        <w:spacing w:after="240"/>
        <w:jc w:val="center"/>
      </w:pPr>
      <w:r>
        <w:rPr>
          <w:rFonts w:ascii="Times New Roman" w:hAnsi="Times New Roman"/>
          <w:i/>
          <w:sz w:val="19"/>
        </w:rPr>
        <w:t>Figure 7: Redesigned 5-Pillar Leakage Audit quantitative isolation scorecard, archetype counterfactual profiles, and local SHAP waterfall explanation. (A) Quantitative isolation scorecard validating complete independence across spatial partitioning, preprocessing, target encoding, feature selection, and adversarial checks. (B) Comparative capacity profiles across three smallholder archetypes. (C) Local SHAP waterfall explanation for vulnerable smallholder household #0.</w:t>
      </w:r>
    </w:p>
    <w:p>
      <w:pPr>
        <w:spacing w:before="160" w:after="60"/>
      </w:pPr>
      <w:r>
        <w:rPr>
          <w:b/>
          <w:sz w:val="20"/>
        </w:rPr>
        <w:t>Table 5: 5-Pillar Spatial Leakage Audit certification matrix and isolation verification metrics.</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8"/>
              </w:rPr>
              <w:t>Pillar</w:t>
            </w:r>
          </w:p>
        </w:tc>
        <w:tc>
          <w:tcPr>
            <w:tcW w:type="dxa" w:w="1872"/>
          </w:tcPr>
          <w:p>
            <w:pPr>
              <w:jc w:val="center"/>
            </w:pPr>
            <w:r>
              <w:rPr>
                <w:rFonts w:ascii="Times New Roman" w:hAnsi="Times New Roman"/>
                <w:b/>
                <w:sz w:val="18"/>
              </w:rPr>
              <w:t>Audit Domain</w:t>
            </w:r>
          </w:p>
        </w:tc>
        <w:tc>
          <w:tcPr>
            <w:tcW w:type="dxa" w:w="1872"/>
          </w:tcPr>
          <w:p>
            <w:pPr>
              <w:jc w:val="center"/>
            </w:pPr>
            <w:r>
              <w:rPr>
                <w:rFonts w:ascii="Times New Roman" w:hAnsi="Times New Roman"/>
                <w:b/>
                <w:sz w:val="18"/>
              </w:rPr>
              <w:t>Verification Criterion</w:t>
            </w:r>
          </w:p>
        </w:tc>
        <w:tc>
          <w:tcPr>
            <w:tcW w:type="dxa" w:w="1872"/>
          </w:tcPr>
          <w:p>
            <w:pPr>
              <w:jc w:val="center"/>
            </w:pPr>
            <w:r>
              <w:rPr>
                <w:rFonts w:ascii="Times New Roman" w:hAnsi="Times New Roman"/>
                <w:b/>
                <w:sz w:val="18"/>
              </w:rPr>
              <w:t>Quantitative Empirical Result</w:t>
            </w:r>
          </w:p>
        </w:tc>
        <w:tc>
          <w:tcPr>
            <w:tcW w:type="dxa" w:w="1872"/>
          </w:tcPr>
          <w:p>
            <w:pPr>
              <w:jc w:val="center"/>
            </w:pPr>
            <w:r>
              <w:rPr>
                <w:rFonts w:ascii="Times New Roman" w:hAnsi="Times New Roman"/>
                <w:b/>
                <w:sz w:val="18"/>
              </w:rPr>
              <w:t>Verification Status</w:t>
            </w:r>
          </w:p>
        </w:tc>
      </w:tr>
      <w:tr>
        <w:tc>
          <w:tcPr>
            <w:tcW w:type="dxa" w:w="1872"/>
          </w:tcPr>
          <w:p>
            <w:pPr>
              <w:jc w:val="left"/>
            </w:pPr>
            <w:r>
              <w:rPr>
                <w:rFonts w:ascii="Times New Roman" w:hAnsi="Times New Roman"/>
                <w:sz w:val="17"/>
              </w:rPr>
              <w:t>1</w:t>
            </w:r>
          </w:p>
        </w:tc>
        <w:tc>
          <w:tcPr>
            <w:tcW w:type="dxa" w:w="1872"/>
          </w:tcPr>
          <w:p>
            <w:pPr>
              <w:jc w:val="right"/>
            </w:pPr>
            <w:r>
              <w:rPr>
                <w:rFonts w:ascii="Times New Roman" w:hAnsi="Times New Roman"/>
                <w:sz w:val="17"/>
              </w:rPr>
              <w:t>Spatial Group Disjointness</w:t>
            </w:r>
          </w:p>
        </w:tc>
        <w:tc>
          <w:tcPr>
            <w:tcW w:type="dxa" w:w="1872"/>
          </w:tcPr>
          <w:p>
            <w:pPr>
              <w:jc w:val="right"/>
            </w:pPr>
            <w:r>
              <w:rPr>
                <w:rFonts w:ascii="Times New Roman" w:hAnsi="Times New Roman"/>
                <w:sz w:val="17"/>
              </w:rPr>
              <w:t>Verifies training and validation folds share zero Enumeration Areas (EAs)</w:t>
            </w:r>
          </w:p>
        </w:tc>
        <w:tc>
          <w:tcPr>
            <w:tcW w:type="dxa" w:w="1872"/>
          </w:tcPr>
          <w:p>
            <w:pPr>
              <w:jc w:val="right"/>
            </w:pPr>
            <w:r>
              <w:rPr>
                <w:rFonts w:ascii="Times New Roman" w:hAnsi="Times New Roman"/>
                <w:sz w:val="17"/>
              </w:rPr>
              <w:t>Zero overlapping EAs across all 5 spatial cross-validation folds.</w:t>
            </w:r>
          </w:p>
        </w:tc>
        <w:tc>
          <w:tcPr>
            <w:tcW w:type="dxa" w:w="1872"/>
          </w:tcPr>
          <w:p>
            <w:pPr>
              <w:jc w:val="right"/>
            </w:pPr>
            <w:r>
              <w:rPr>
                <w:rFonts w:ascii="Times New Roman" w:hAnsi="Times New Roman"/>
                <w:sz w:val="17"/>
              </w:rPr>
              <w:t>CERTIFIED PASS</w:t>
            </w:r>
          </w:p>
        </w:tc>
      </w:tr>
      <w:tr>
        <w:tc>
          <w:tcPr>
            <w:tcW w:type="dxa" w:w="1872"/>
          </w:tcPr>
          <w:p>
            <w:pPr>
              <w:jc w:val="left"/>
            </w:pPr>
            <w:r>
              <w:rPr>
                <w:rFonts w:ascii="Times New Roman" w:hAnsi="Times New Roman"/>
                <w:sz w:val="17"/>
              </w:rPr>
              <w:t>2</w:t>
            </w:r>
          </w:p>
        </w:tc>
        <w:tc>
          <w:tcPr>
            <w:tcW w:type="dxa" w:w="1872"/>
          </w:tcPr>
          <w:p>
            <w:pPr>
              <w:jc w:val="right"/>
            </w:pPr>
            <w:r>
              <w:rPr>
                <w:rFonts w:ascii="Times New Roman" w:hAnsi="Times New Roman"/>
                <w:sz w:val="17"/>
              </w:rPr>
              <w:t>Target Variable Isolation</w:t>
            </w:r>
          </w:p>
        </w:tc>
        <w:tc>
          <w:tcPr>
            <w:tcW w:type="dxa" w:w="1872"/>
          </w:tcPr>
          <w:p>
            <w:pPr>
              <w:jc w:val="right"/>
            </w:pPr>
            <w:r>
              <w:rPr>
                <w:rFonts w:ascii="Times New Roman" w:hAnsi="Times New Roman"/>
                <w:sz w:val="17"/>
              </w:rPr>
              <w:t>Verifies target Y_vol is strictly excluded from feature space and no trivial target proxies exist</w:t>
            </w:r>
          </w:p>
        </w:tc>
        <w:tc>
          <w:tcPr>
            <w:tcW w:type="dxa" w:w="1872"/>
          </w:tcPr>
          <w:p>
            <w:pPr>
              <w:jc w:val="right"/>
            </w:pPr>
            <w:r>
              <w:rPr>
                <w:rFonts w:ascii="Times New Roman" w:hAnsi="Times New Roman"/>
                <w:sz w:val="17"/>
              </w:rPr>
              <w:t>Target variable completely isolated. Maximum absolute feature correlation: 0.4365.</w:t>
            </w:r>
          </w:p>
        </w:tc>
        <w:tc>
          <w:tcPr>
            <w:tcW w:type="dxa" w:w="1872"/>
          </w:tcPr>
          <w:p>
            <w:pPr>
              <w:jc w:val="right"/>
            </w:pPr>
            <w:r>
              <w:rPr>
                <w:rFonts w:ascii="Times New Roman" w:hAnsi="Times New Roman"/>
                <w:sz w:val="17"/>
              </w:rPr>
              <w:t>CERTIFIED PASS</w:t>
            </w:r>
          </w:p>
        </w:tc>
      </w:tr>
      <w:tr>
        <w:tc>
          <w:tcPr>
            <w:tcW w:type="dxa" w:w="1872"/>
          </w:tcPr>
          <w:p>
            <w:pPr>
              <w:jc w:val="left"/>
            </w:pPr>
            <w:r>
              <w:rPr>
                <w:rFonts w:ascii="Times New Roman" w:hAnsi="Times New Roman"/>
                <w:sz w:val="17"/>
              </w:rPr>
              <w:t>3</w:t>
            </w:r>
          </w:p>
        </w:tc>
        <w:tc>
          <w:tcPr>
            <w:tcW w:type="dxa" w:w="1872"/>
          </w:tcPr>
          <w:p>
            <w:pPr>
              <w:jc w:val="right"/>
            </w:pPr>
            <w:r>
              <w:rPr>
                <w:rFonts w:ascii="Times New Roman" w:hAnsi="Times New Roman"/>
                <w:sz w:val="17"/>
              </w:rPr>
              <w:t>Scaler &amp; Imputation Isolation</w:t>
            </w:r>
          </w:p>
        </w:tc>
        <w:tc>
          <w:tcPr>
            <w:tcW w:type="dxa" w:w="1872"/>
          </w:tcPr>
          <w:p>
            <w:pPr>
              <w:jc w:val="right"/>
            </w:pPr>
            <w:r>
              <w:rPr>
                <w:rFonts w:ascii="Times New Roman" w:hAnsi="Times New Roman"/>
                <w:sz w:val="17"/>
              </w:rPr>
              <w:t>Verifies preprocessing scalers and medians are strictly computed on training folds</w:t>
            </w:r>
          </w:p>
        </w:tc>
        <w:tc>
          <w:tcPr>
            <w:tcW w:type="dxa" w:w="1872"/>
          </w:tcPr>
          <w:p>
            <w:pPr>
              <w:jc w:val="right"/>
            </w:pPr>
            <w:r>
              <w:rPr>
                <w:rFonts w:ascii="Times New Roman" w:hAnsi="Times New Roman"/>
                <w:sz w:val="17"/>
              </w:rPr>
              <w:t>Preprocessing scalers and imputers conform strictly to out-of-fold fit boundaries.</w:t>
            </w:r>
          </w:p>
        </w:tc>
        <w:tc>
          <w:tcPr>
            <w:tcW w:type="dxa" w:w="1872"/>
          </w:tcPr>
          <w:p>
            <w:pPr>
              <w:jc w:val="right"/>
            </w:pPr>
            <w:r>
              <w:rPr>
                <w:rFonts w:ascii="Times New Roman" w:hAnsi="Times New Roman"/>
                <w:sz w:val="17"/>
              </w:rPr>
              <w:t>CERTIFIED PASS</w:t>
            </w:r>
          </w:p>
        </w:tc>
      </w:tr>
      <w:tr>
        <w:tc>
          <w:tcPr>
            <w:tcW w:type="dxa" w:w="1872"/>
          </w:tcPr>
          <w:p>
            <w:pPr>
              <w:jc w:val="left"/>
            </w:pPr>
            <w:r>
              <w:rPr>
                <w:rFonts w:ascii="Times New Roman" w:hAnsi="Times New Roman"/>
                <w:sz w:val="17"/>
              </w:rPr>
              <w:t>4</w:t>
            </w:r>
          </w:p>
        </w:tc>
        <w:tc>
          <w:tcPr>
            <w:tcW w:type="dxa" w:w="1872"/>
          </w:tcPr>
          <w:p>
            <w:pPr>
              <w:jc w:val="right"/>
            </w:pPr>
            <w:r>
              <w:rPr>
                <w:rFonts w:ascii="Times New Roman" w:hAnsi="Times New Roman"/>
                <w:sz w:val="17"/>
              </w:rPr>
              <w:t>Unsupervised Representation Isolation (KMeans &amp; PCA)</w:t>
            </w:r>
          </w:p>
        </w:tc>
        <w:tc>
          <w:tcPr>
            <w:tcW w:type="dxa" w:w="1872"/>
          </w:tcPr>
          <w:p>
            <w:pPr>
              <w:jc w:val="right"/>
            </w:pPr>
            <w:r>
              <w:rPr>
                <w:rFonts w:ascii="Times New Roman" w:hAnsi="Times New Roman"/>
                <w:sz w:val="17"/>
              </w:rPr>
              <w:t>Verifies KMeans cluster centroids and PCA latent components are computed strictly on training data</w:t>
            </w:r>
          </w:p>
        </w:tc>
        <w:tc>
          <w:tcPr>
            <w:tcW w:type="dxa" w:w="1872"/>
          </w:tcPr>
          <w:p>
            <w:pPr>
              <w:jc w:val="right"/>
            </w:pPr>
            <w:r>
              <w:rPr>
                <w:rFonts w:ascii="Times New Roman" w:hAnsi="Times New Roman"/>
                <w:sz w:val="17"/>
              </w:rPr>
              <w:t>Latent representations (KMeans agronomic clusters and PCA components) strictly isolated.</w:t>
            </w:r>
          </w:p>
        </w:tc>
        <w:tc>
          <w:tcPr>
            <w:tcW w:type="dxa" w:w="1872"/>
          </w:tcPr>
          <w:p>
            <w:pPr>
              <w:jc w:val="right"/>
            </w:pPr>
            <w:r>
              <w:rPr>
                <w:rFonts w:ascii="Times New Roman" w:hAnsi="Times New Roman"/>
                <w:sz w:val="17"/>
              </w:rPr>
              <w:t>CERTIFIED PASS</w:t>
            </w:r>
          </w:p>
        </w:tc>
      </w:tr>
      <w:tr>
        <w:tc>
          <w:tcPr>
            <w:tcW w:type="dxa" w:w="1872"/>
          </w:tcPr>
          <w:p>
            <w:pPr>
              <w:jc w:val="left"/>
            </w:pPr>
            <w:r>
              <w:rPr>
                <w:rFonts w:ascii="Times New Roman" w:hAnsi="Times New Roman"/>
                <w:sz w:val="17"/>
              </w:rPr>
              <w:t>5</w:t>
            </w:r>
          </w:p>
        </w:tc>
        <w:tc>
          <w:tcPr>
            <w:tcW w:type="dxa" w:w="1872"/>
          </w:tcPr>
          <w:p>
            <w:pPr>
              <w:jc w:val="right"/>
            </w:pPr>
            <w:r>
              <w:rPr>
                <w:rFonts w:ascii="Times New Roman" w:hAnsi="Times New Roman"/>
                <w:sz w:val="17"/>
              </w:rPr>
              <w:t>Feature Selection &amp; Lookahead Integrity</w:t>
            </w:r>
          </w:p>
        </w:tc>
        <w:tc>
          <w:tcPr>
            <w:tcW w:type="dxa" w:w="1872"/>
          </w:tcPr>
          <w:p>
            <w:pPr>
              <w:jc w:val="right"/>
            </w:pPr>
            <w:r>
              <w:rPr>
                <w:rFonts w:ascii="Times New Roman" w:hAnsi="Times New Roman"/>
                <w:sz w:val="17"/>
              </w:rPr>
              <w:t>Verifies feature selection ranking does not access validation target values or lookahead timestamps</w:t>
            </w:r>
          </w:p>
        </w:tc>
        <w:tc>
          <w:tcPr>
            <w:tcW w:type="dxa" w:w="1872"/>
          </w:tcPr>
          <w:p>
            <w:pPr>
              <w:jc w:val="right"/>
            </w:pPr>
            <w:r>
              <w:rPr>
                <w:rFonts w:ascii="Times New Roman" w:hAnsi="Times New Roman"/>
                <w:sz w:val="17"/>
              </w:rPr>
              <w:t>Top-100 features selected using independent tree-gain importance; validation targets zero-masked.</w:t>
            </w:r>
          </w:p>
        </w:tc>
        <w:tc>
          <w:tcPr>
            <w:tcW w:type="dxa" w:w="1872"/>
          </w:tcPr>
          <w:p>
            <w:pPr>
              <w:jc w:val="right"/>
            </w:pPr>
            <w:r>
              <w:rPr>
                <w:rFonts w:ascii="Times New Roman" w:hAnsi="Times New Roman"/>
                <w:sz w:val="17"/>
              </w:rPr>
              <w:t>CERTIFIED PASS</w:t>
            </w:r>
          </w:p>
        </w:tc>
      </w:tr>
    </w:tbl>
    <w:p>
      <w:pPr>
        <w:spacing w:after="120"/>
      </w:pPr>
    </w:p>
    <w:p>
      <w:pPr>
        <w:spacing w:before="200" w:after="60"/>
      </w:pPr>
      <w:r>
        <w:rPr>
          <w:rFonts w:ascii="Times New Roman" w:hAnsi="Times New Roman"/>
          <w:b/>
          <w:color w:val="2B5C8F"/>
          <w:sz w:val="26"/>
        </w:rPr>
        <w:t>3.7 Counterfactual Policy Simulations</w:t>
      </w:r>
    </w:p>
    <w:p>
      <w:r>
        <w:t>To evaluate actionable agricultural policy interventions, we simulated four counterfactual scenarios across the full smallholder cohort (Figure 10, Table 6, Table 7). An integrated Climate-Smart Agriculture package reduces hyper-volatile smallholders from 38.4% to 14.1%.</w:t>
      </w:r>
    </w:p>
    <w:p>
      <w:pPr>
        <w:spacing w:before="200"/>
        <w:jc w:val="center"/>
      </w:pPr>
      <w:r>
        <w:drawing>
          <wp:inline xmlns:a="http://schemas.openxmlformats.org/drawingml/2006/main" xmlns:pic="http://schemas.openxmlformats.org/drawingml/2006/picture">
            <wp:extent cx="5669280" cy="2269470"/>
            <wp:docPr id="10" name="Picture 10"/>
            <wp:cNvGraphicFramePr>
              <a:graphicFrameLocks noChangeAspect="1"/>
            </wp:cNvGraphicFramePr>
            <a:graphic>
              <a:graphicData uri="http://schemas.openxmlformats.org/drawingml/2006/picture">
                <pic:pic>
                  <pic:nvPicPr>
                    <pic:cNvPr id="0" name="fig10_policy_simulation_and_counterfactual_interventions.png"/>
                    <pic:cNvPicPr/>
                  </pic:nvPicPr>
                  <pic:blipFill>
                    <a:blip r:embed="rId18"/>
                    <a:stretch>
                      <a:fillRect/>
                    </a:stretch>
                  </pic:blipFill>
                  <pic:spPr>
                    <a:xfrm>
                      <a:off x="0" y="0"/>
                      <a:ext cx="5669280" cy="2269470"/>
                    </a:xfrm>
                    <a:prstGeom prst="rect"/>
                  </pic:spPr>
                </pic:pic>
              </a:graphicData>
            </a:graphic>
          </wp:inline>
        </w:drawing>
      </w:r>
    </w:p>
    <w:p>
      <w:pPr>
        <w:spacing w:after="240"/>
        <w:jc w:val="center"/>
      </w:pPr>
      <w:r>
        <w:rPr>
          <w:rFonts w:ascii="Times New Roman" w:hAnsi="Times New Roman"/>
          <w:i/>
          <w:sz w:val="19"/>
        </w:rPr>
        <w:t>Figure 10: Policy counterfactual stress-testing and simulated volatility mitigation distributions under four agricultural intervention packages. (A) Kernel density shifts under baseline status quo, +2 TLU livestock transfer, +0.4 Shannon crop diversification, and integrated Climate-Smart Agriculture (CSA). (B) Proportion of hyper-volatile smallholders (Y_vol &gt;= 1.50) across scenarios. (C) Net percentage reduction in mean smallholder volatility.</w:t>
      </w:r>
    </w:p>
    <w:p>
      <w:pPr>
        <w:spacing w:before="160" w:after="60"/>
      </w:pPr>
      <w:r>
        <w:rPr>
          <w:b/>
          <w:sz w:val="20"/>
        </w:rPr>
        <w:t>Table 6: Smallholder household stratification across yield volatility quartiles.</w:t>
      </w:r>
    </w:p>
    <w:tbl>
      <w:tblPr>
        <w:tblStyle w:val="LightShading-Accent1"/>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pPr>
              <w:jc w:val="center"/>
            </w:pPr>
            <w:r>
              <w:rPr>
                <w:rFonts w:ascii="Times New Roman" w:hAnsi="Times New Roman"/>
                <w:b/>
                <w:sz w:val="18"/>
              </w:rPr>
              <w:t>Volatility Stratum</w:t>
            </w:r>
          </w:p>
        </w:tc>
        <w:tc>
          <w:tcPr>
            <w:tcW w:type="dxa" w:w="936"/>
          </w:tcPr>
          <w:p>
            <w:pPr>
              <w:jc w:val="center"/>
            </w:pPr>
            <w:r>
              <w:rPr>
                <w:rFonts w:ascii="Times New Roman" w:hAnsi="Times New Roman"/>
                <w:b/>
                <w:sz w:val="18"/>
              </w:rPr>
              <w:t>Holdings (N)</w:t>
            </w:r>
          </w:p>
        </w:tc>
        <w:tc>
          <w:tcPr>
            <w:tcW w:type="dxa" w:w="936"/>
          </w:tcPr>
          <w:p>
            <w:pPr>
              <w:jc w:val="center"/>
            </w:pPr>
            <w:r>
              <w:rPr>
                <w:rFonts w:ascii="Times New Roman" w:hAnsi="Times New Roman"/>
                <w:b/>
                <w:sz w:val="18"/>
              </w:rPr>
              <w:t>Mean Y_vol</w:t>
            </w:r>
          </w:p>
        </w:tc>
        <w:tc>
          <w:tcPr>
            <w:tcW w:type="dxa" w:w="936"/>
          </w:tcPr>
          <w:p>
            <w:pPr>
              <w:jc w:val="center"/>
            </w:pPr>
            <w:r>
              <w:rPr>
                <w:rFonts w:ascii="Times New Roman" w:hAnsi="Times New Roman"/>
                <w:b/>
                <w:sz w:val="18"/>
              </w:rPr>
              <w:t>Mean Yield Gap (kg/ha)</w:t>
            </w:r>
          </w:p>
        </w:tc>
        <w:tc>
          <w:tcPr>
            <w:tcW w:type="dxa" w:w="936"/>
          </w:tcPr>
          <w:p>
            <w:pPr>
              <w:jc w:val="center"/>
            </w:pPr>
            <w:r>
              <w:rPr>
                <w:rFonts w:ascii="Times New Roman" w:hAnsi="Times New Roman"/>
                <w:b/>
                <w:sz w:val="18"/>
              </w:rPr>
              <w:t>Mean Crop Diversity (Shannon)</w:t>
            </w:r>
          </w:p>
        </w:tc>
        <w:tc>
          <w:tcPr>
            <w:tcW w:type="dxa" w:w="936"/>
          </w:tcPr>
          <w:p>
            <w:pPr>
              <w:jc w:val="center"/>
            </w:pPr>
            <w:r>
              <w:rPr>
                <w:rFonts w:ascii="Times New Roman" w:hAnsi="Times New Roman"/>
                <w:b/>
                <w:sz w:val="18"/>
              </w:rPr>
              <w:t>Complete Harvest Failure Rate (%)</w:t>
            </w:r>
          </w:p>
        </w:tc>
        <w:tc>
          <w:tcPr>
            <w:tcW w:type="dxa" w:w="936"/>
          </w:tcPr>
          <w:p>
            <w:pPr>
              <w:jc w:val="center"/>
            </w:pPr>
            <w:r>
              <w:rPr>
                <w:rFonts w:ascii="Times New Roman" w:hAnsi="Times New Roman"/>
                <w:b/>
                <w:sz w:val="18"/>
              </w:rPr>
              <w:t>Fertilizer Intensity (kg)</w:t>
            </w:r>
          </w:p>
        </w:tc>
        <w:tc>
          <w:tcPr>
            <w:tcW w:type="dxa" w:w="936"/>
          </w:tcPr>
          <w:p>
            <w:pPr>
              <w:jc w:val="center"/>
            </w:pPr>
            <w:r>
              <w:rPr>
                <w:rFonts w:ascii="Times New Roman" w:hAnsi="Times New Roman"/>
                <w:b/>
                <w:sz w:val="18"/>
              </w:rPr>
              <w:t>Tropical Livestock Units (TLU)</w:t>
            </w:r>
          </w:p>
        </w:tc>
        <w:tc>
          <w:tcPr>
            <w:tcW w:type="dxa" w:w="936"/>
          </w:tcPr>
          <w:p>
            <w:pPr>
              <w:jc w:val="center"/>
            </w:pPr>
            <w:r>
              <w:rPr>
                <w:rFonts w:ascii="Times New Roman" w:hAnsi="Times New Roman"/>
                <w:b/>
                <w:sz w:val="18"/>
              </w:rPr>
              <w:t>Planting Timing Delta (Months)</w:t>
            </w:r>
          </w:p>
        </w:tc>
        <w:tc>
          <w:tcPr>
            <w:tcW w:type="dxa" w:w="936"/>
          </w:tcPr>
          <w:p>
            <w:pPr>
              <w:jc w:val="center"/>
            </w:pPr>
            <w:r>
              <w:rPr>
                <w:rFonts w:ascii="Times New Roman" w:hAnsi="Times New Roman"/>
                <w:b/>
                <w:sz w:val="18"/>
              </w:rPr>
              <w:t>Plot Fragmentation CV</w:t>
            </w:r>
          </w:p>
        </w:tc>
      </w:tr>
      <w:tr>
        <w:tc>
          <w:tcPr>
            <w:tcW w:type="dxa" w:w="936"/>
          </w:tcPr>
          <w:p>
            <w:pPr>
              <w:jc w:val="left"/>
            </w:pPr>
            <w:r>
              <w:rPr>
                <w:rFonts w:ascii="Times New Roman" w:hAnsi="Times New Roman"/>
                <w:sz w:val="17"/>
              </w:rPr>
              <w:t>Q1: Low Volatility (Resilient)</w:t>
            </w:r>
          </w:p>
        </w:tc>
        <w:tc>
          <w:tcPr>
            <w:tcW w:type="dxa" w:w="936"/>
          </w:tcPr>
          <w:p>
            <w:pPr>
              <w:jc w:val="right"/>
            </w:pPr>
            <w:r>
              <w:rPr>
                <w:rFonts w:ascii="Times New Roman" w:hAnsi="Times New Roman"/>
                <w:sz w:val="17"/>
              </w:rPr>
              <w:t>1141</w:t>
            </w:r>
          </w:p>
        </w:tc>
        <w:tc>
          <w:tcPr>
            <w:tcW w:type="dxa" w:w="936"/>
          </w:tcPr>
          <w:p>
            <w:pPr>
              <w:jc w:val="right"/>
            </w:pPr>
            <w:r>
              <w:rPr>
                <w:rFonts w:ascii="Times New Roman" w:hAnsi="Times New Roman"/>
                <w:sz w:val="17"/>
              </w:rPr>
              <w:t>0.176</w:t>
            </w:r>
          </w:p>
        </w:tc>
        <w:tc>
          <w:tcPr>
            <w:tcW w:type="dxa" w:w="936"/>
          </w:tcPr>
          <w:p>
            <w:pPr>
              <w:jc w:val="right"/>
            </w:pPr>
            <w:r>
              <w:rPr>
                <w:rFonts w:ascii="Times New Roman" w:hAnsi="Times New Roman"/>
                <w:sz w:val="17"/>
              </w:rPr>
              <w:t>174.327</w:t>
            </w:r>
          </w:p>
        </w:tc>
        <w:tc>
          <w:tcPr>
            <w:tcW w:type="dxa" w:w="936"/>
          </w:tcPr>
          <w:p>
            <w:pPr>
              <w:jc w:val="right"/>
            </w:pPr>
            <w:r>
              <w:rPr>
                <w:rFonts w:ascii="Times New Roman" w:hAnsi="Times New Roman"/>
                <w:sz w:val="17"/>
              </w:rPr>
              <w:t>0.243</w:t>
            </w:r>
          </w:p>
        </w:tc>
        <w:tc>
          <w:tcPr>
            <w:tcW w:type="dxa" w:w="936"/>
          </w:tcPr>
          <w:p>
            <w:pPr>
              <w:jc w:val="right"/>
            </w:pPr>
            <w:r>
              <w:rPr>
                <w:rFonts w:ascii="Times New Roman" w:hAnsi="Times New Roman"/>
                <w:sz w:val="17"/>
              </w:rPr>
              <w:t>80.410</w:t>
            </w:r>
          </w:p>
        </w:tc>
        <w:tc>
          <w:tcPr>
            <w:tcW w:type="dxa" w:w="936"/>
          </w:tcPr>
          <w:p>
            <w:pPr>
              <w:jc w:val="right"/>
            </w:pPr>
            <w:r>
              <w:rPr>
                <w:rFonts w:ascii="Times New Roman" w:hAnsi="Times New Roman"/>
                <w:sz w:val="17"/>
              </w:rPr>
              <w:t>400.636</w:t>
            </w:r>
          </w:p>
        </w:tc>
        <w:tc>
          <w:tcPr>
            <w:tcW w:type="dxa" w:w="936"/>
          </w:tcPr>
          <w:p>
            <w:pPr>
              <w:jc w:val="right"/>
            </w:pPr>
            <w:r>
              <w:rPr>
                <w:rFonts w:ascii="Times New Roman" w:hAnsi="Times New Roman"/>
                <w:sz w:val="17"/>
              </w:rPr>
              <w:t>5.205</w:t>
            </w:r>
          </w:p>
        </w:tc>
        <w:tc>
          <w:tcPr>
            <w:tcW w:type="dxa" w:w="936"/>
          </w:tcPr>
          <w:p>
            <w:pPr>
              <w:jc w:val="right"/>
            </w:pPr>
            <w:r>
              <w:rPr>
                <w:rFonts w:ascii="Times New Roman" w:hAnsi="Times New Roman"/>
                <w:sz w:val="17"/>
              </w:rPr>
              <w:t>6.014</w:t>
            </w:r>
          </w:p>
        </w:tc>
        <w:tc>
          <w:tcPr>
            <w:tcW w:type="dxa" w:w="936"/>
          </w:tcPr>
          <w:p>
            <w:pPr>
              <w:jc w:val="right"/>
            </w:pPr>
            <w:r>
              <w:rPr>
                <w:rFonts w:ascii="Times New Roman" w:hAnsi="Times New Roman"/>
                <w:sz w:val="17"/>
              </w:rPr>
              <w:t>0.284</w:t>
            </w:r>
          </w:p>
        </w:tc>
      </w:tr>
      <w:tr>
        <w:tc>
          <w:tcPr>
            <w:tcW w:type="dxa" w:w="936"/>
          </w:tcPr>
          <w:p>
            <w:pPr>
              <w:jc w:val="left"/>
            </w:pPr>
            <w:r>
              <w:rPr>
                <w:rFonts w:ascii="Times New Roman" w:hAnsi="Times New Roman"/>
                <w:sz w:val="17"/>
              </w:rPr>
              <w:t>Q2: Moderate-Low Volatility</w:t>
            </w:r>
          </w:p>
        </w:tc>
        <w:tc>
          <w:tcPr>
            <w:tcW w:type="dxa" w:w="936"/>
          </w:tcPr>
          <w:p>
            <w:pPr>
              <w:jc w:val="right"/>
            </w:pPr>
            <w:r>
              <w:rPr>
                <w:rFonts w:ascii="Times New Roman" w:hAnsi="Times New Roman"/>
                <w:sz w:val="17"/>
              </w:rPr>
              <w:t>1141</w:t>
            </w:r>
          </w:p>
        </w:tc>
        <w:tc>
          <w:tcPr>
            <w:tcW w:type="dxa" w:w="936"/>
          </w:tcPr>
          <w:p>
            <w:pPr>
              <w:jc w:val="right"/>
            </w:pPr>
            <w:r>
              <w:rPr>
                <w:rFonts w:ascii="Times New Roman" w:hAnsi="Times New Roman"/>
                <w:sz w:val="17"/>
              </w:rPr>
              <w:t>0.685</w:t>
            </w:r>
          </w:p>
        </w:tc>
        <w:tc>
          <w:tcPr>
            <w:tcW w:type="dxa" w:w="936"/>
          </w:tcPr>
          <w:p>
            <w:pPr>
              <w:jc w:val="right"/>
            </w:pPr>
            <w:r>
              <w:rPr>
                <w:rFonts w:ascii="Times New Roman" w:hAnsi="Times New Roman"/>
                <w:sz w:val="17"/>
              </w:rPr>
              <w:t>631.476</w:t>
            </w:r>
          </w:p>
        </w:tc>
        <w:tc>
          <w:tcPr>
            <w:tcW w:type="dxa" w:w="936"/>
          </w:tcPr>
          <w:p>
            <w:pPr>
              <w:jc w:val="right"/>
            </w:pPr>
            <w:r>
              <w:rPr>
                <w:rFonts w:ascii="Times New Roman" w:hAnsi="Times New Roman"/>
                <w:sz w:val="17"/>
              </w:rPr>
              <w:t>0.231</w:t>
            </w:r>
          </w:p>
        </w:tc>
        <w:tc>
          <w:tcPr>
            <w:tcW w:type="dxa" w:w="936"/>
          </w:tcPr>
          <w:p>
            <w:pPr>
              <w:jc w:val="right"/>
            </w:pPr>
            <w:r>
              <w:rPr>
                <w:rFonts w:ascii="Times New Roman" w:hAnsi="Times New Roman"/>
                <w:sz w:val="17"/>
              </w:rPr>
              <w:t>81.550</w:t>
            </w:r>
          </w:p>
        </w:tc>
        <w:tc>
          <w:tcPr>
            <w:tcW w:type="dxa" w:w="936"/>
          </w:tcPr>
          <w:p>
            <w:pPr>
              <w:jc w:val="right"/>
            </w:pPr>
            <w:r>
              <w:rPr>
                <w:rFonts w:ascii="Times New Roman" w:hAnsi="Times New Roman"/>
                <w:sz w:val="17"/>
              </w:rPr>
              <w:t>2556.7</w:t>
            </w:r>
          </w:p>
        </w:tc>
        <w:tc>
          <w:tcPr>
            <w:tcW w:type="dxa" w:w="936"/>
          </w:tcPr>
          <w:p>
            <w:pPr>
              <w:jc w:val="right"/>
            </w:pPr>
            <w:r>
              <w:rPr>
                <w:rFonts w:ascii="Times New Roman" w:hAnsi="Times New Roman"/>
                <w:sz w:val="17"/>
              </w:rPr>
              <w:t>4.446</w:t>
            </w:r>
          </w:p>
        </w:tc>
        <w:tc>
          <w:tcPr>
            <w:tcW w:type="dxa" w:w="936"/>
          </w:tcPr>
          <w:p>
            <w:pPr>
              <w:jc w:val="right"/>
            </w:pPr>
            <w:r>
              <w:rPr>
                <w:rFonts w:ascii="Times New Roman" w:hAnsi="Times New Roman"/>
                <w:sz w:val="17"/>
              </w:rPr>
              <w:t>5.920</w:t>
            </w:r>
          </w:p>
        </w:tc>
        <w:tc>
          <w:tcPr>
            <w:tcW w:type="dxa" w:w="936"/>
          </w:tcPr>
          <w:p>
            <w:pPr>
              <w:jc w:val="right"/>
            </w:pPr>
            <w:r>
              <w:rPr>
                <w:rFonts w:ascii="Times New Roman" w:hAnsi="Times New Roman"/>
                <w:sz w:val="17"/>
              </w:rPr>
              <w:t>0.298</w:t>
            </w:r>
          </w:p>
        </w:tc>
      </w:tr>
      <w:tr>
        <w:tc>
          <w:tcPr>
            <w:tcW w:type="dxa" w:w="936"/>
          </w:tcPr>
          <w:p>
            <w:pPr>
              <w:jc w:val="left"/>
            </w:pPr>
            <w:r>
              <w:rPr>
                <w:rFonts w:ascii="Times New Roman" w:hAnsi="Times New Roman"/>
                <w:sz w:val="17"/>
              </w:rPr>
              <w:t>Q3: Moderate-High Volatility</w:t>
            </w:r>
          </w:p>
        </w:tc>
        <w:tc>
          <w:tcPr>
            <w:tcW w:type="dxa" w:w="936"/>
          </w:tcPr>
          <w:p>
            <w:pPr>
              <w:jc w:val="right"/>
            </w:pPr>
            <w:r>
              <w:rPr>
                <w:rFonts w:ascii="Times New Roman" w:hAnsi="Times New Roman"/>
                <w:sz w:val="17"/>
              </w:rPr>
              <w:t>1141</w:t>
            </w:r>
          </w:p>
        </w:tc>
        <w:tc>
          <w:tcPr>
            <w:tcW w:type="dxa" w:w="936"/>
          </w:tcPr>
          <w:p>
            <w:pPr>
              <w:jc w:val="right"/>
            </w:pPr>
            <w:r>
              <w:rPr>
                <w:rFonts w:ascii="Times New Roman" w:hAnsi="Times New Roman"/>
                <w:sz w:val="17"/>
              </w:rPr>
              <w:t>1.476</w:t>
            </w:r>
          </w:p>
        </w:tc>
        <w:tc>
          <w:tcPr>
            <w:tcW w:type="dxa" w:w="936"/>
          </w:tcPr>
          <w:p>
            <w:pPr>
              <w:jc w:val="right"/>
            </w:pPr>
            <w:r>
              <w:rPr>
                <w:rFonts w:ascii="Times New Roman" w:hAnsi="Times New Roman"/>
                <w:sz w:val="17"/>
              </w:rPr>
              <w:t>1891.0</w:t>
            </w:r>
          </w:p>
        </w:tc>
        <w:tc>
          <w:tcPr>
            <w:tcW w:type="dxa" w:w="936"/>
          </w:tcPr>
          <w:p>
            <w:pPr>
              <w:jc w:val="right"/>
            </w:pPr>
            <w:r>
              <w:rPr>
                <w:rFonts w:ascii="Times New Roman" w:hAnsi="Times New Roman"/>
                <w:sz w:val="17"/>
              </w:rPr>
              <w:t>0.161</w:t>
            </w:r>
          </w:p>
        </w:tc>
        <w:tc>
          <w:tcPr>
            <w:tcW w:type="dxa" w:w="936"/>
          </w:tcPr>
          <w:p>
            <w:pPr>
              <w:jc w:val="right"/>
            </w:pPr>
            <w:r>
              <w:rPr>
                <w:rFonts w:ascii="Times New Roman" w:hAnsi="Times New Roman"/>
                <w:sz w:val="17"/>
              </w:rPr>
              <w:t>76.168</w:t>
            </w:r>
          </w:p>
        </w:tc>
        <w:tc>
          <w:tcPr>
            <w:tcW w:type="dxa" w:w="936"/>
          </w:tcPr>
          <w:p>
            <w:pPr>
              <w:jc w:val="right"/>
            </w:pPr>
            <w:r>
              <w:rPr>
                <w:rFonts w:ascii="Times New Roman" w:hAnsi="Times New Roman"/>
                <w:sz w:val="17"/>
              </w:rPr>
              <w:t>565.218</w:t>
            </w:r>
          </w:p>
        </w:tc>
        <w:tc>
          <w:tcPr>
            <w:tcW w:type="dxa" w:w="936"/>
          </w:tcPr>
          <w:p>
            <w:pPr>
              <w:jc w:val="right"/>
            </w:pPr>
            <w:r>
              <w:rPr>
                <w:rFonts w:ascii="Times New Roman" w:hAnsi="Times New Roman"/>
                <w:sz w:val="17"/>
              </w:rPr>
              <w:t>7.331</w:t>
            </w:r>
          </w:p>
        </w:tc>
        <w:tc>
          <w:tcPr>
            <w:tcW w:type="dxa" w:w="936"/>
          </w:tcPr>
          <w:p>
            <w:pPr>
              <w:jc w:val="right"/>
            </w:pPr>
            <w:r>
              <w:rPr>
                <w:rFonts w:ascii="Times New Roman" w:hAnsi="Times New Roman"/>
                <w:sz w:val="17"/>
              </w:rPr>
              <w:t>5.575</w:t>
            </w:r>
          </w:p>
        </w:tc>
        <w:tc>
          <w:tcPr>
            <w:tcW w:type="dxa" w:w="936"/>
          </w:tcPr>
          <w:p>
            <w:pPr>
              <w:jc w:val="right"/>
            </w:pPr>
            <w:r>
              <w:rPr>
                <w:rFonts w:ascii="Times New Roman" w:hAnsi="Times New Roman"/>
                <w:sz w:val="17"/>
              </w:rPr>
              <w:t>0.346</w:t>
            </w:r>
          </w:p>
        </w:tc>
      </w:tr>
      <w:tr>
        <w:tc>
          <w:tcPr>
            <w:tcW w:type="dxa" w:w="936"/>
          </w:tcPr>
          <w:p>
            <w:pPr>
              <w:jc w:val="left"/>
            </w:pPr>
            <w:r>
              <w:rPr>
                <w:rFonts w:ascii="Times New Roman" w:hAnsi="Times New Roman"/>
                <w:sz w:val="17"/>
              </w:rPr>
              <w:t>Q4: Hyper-Volatile</w:t>
            </w:r>
          </w:p>
        </w:tc>
        <w:tc>
          <w:tcPr>
            <w:tcW w:type="dxa" w:w="936"/>
          </w:tcPr>
          <w:p>
            <w:pPr>
              <w:jc w:val="right"/>
            </w:pPr>
            <w:r>
              <w:rPr>
                <w:rFonts w:ascii="Times New Roman" w:hAnsi="Times New Roman"/>
                <w:sz w:val="17"/>
              </w:rPr>
              <w:t>1141</w:t>
            </w:r>
          </w:p>
        </w:tc>
        <w:tc>
          <w:tcPr>
            <w:tcW w:type="dxa" w:w="936"/>
          </w:tcPr>
          <w:p>
            <w:pPr>
              <w:jc w:val="right"/>
            </w:pPr>
            <w:r>
              <w:rPr>
                <w:rFonts w:ascii="Times New Roman" w:hAnsi="Times New Roman"/>
                <w:sz w:val="17"/>
              </w:rPr>
              <w:t>2.000</w:t>
            </w:r>
          </w:p>
        </w:tc>
        <w:tc>
          <w:tcPr>
            <w:tcW w:type="dxa" w:w="936"/>
          </w:tcPr>
          <w:p>
            <w:pPr>
              <w:jc w:val="right"/>
            </w:pPr>
            <w:r>
              <w:rPr>
                <w:rFonts w:ascii="Times New Roman" w:hAnsi="Times New Roman"/>
                <w:sz w:val="17"/>
              </w:rPr>
              <w:t>837.265</w:t>
            </w:r>
          </w:p>
        </w:tc>
        <w:tc>
          <w:tcPr>
            <w:tcW w:type="dxa" w:w="936"/>
          </w:tcPr>
          <w:p>
            <w:pPr>
              <w:jc w:val="right"/>
            </w:pPr>
            <w:r>
              <w:rPr>
                <w:rFonts w:ascii="Times New Roman" w:hAnsi="Times New Roman"/>
                <w:sz w:val="17"/>
              </w:rPr>
              <w:t>0.086</w:t>
            </w:r>
          </w:p>
        </w:tc>
        <w:tc>
          <w:tcPr>
            <w:tcW w:type="dxa" w:w="936"/>
          </w:tcPr>
          <w:p>
            <w:pPr>
              <w:jc w:val="right"/>
            </w:pPr>
            <w:r>
              <w:rPr>
                <w:rFonts w:ascii="Times New Roman" w:hAnsi="Times New Roman"/>
                <w:sz w:val="17"/>
              </w:rPr>
              <w:t>34.268</w:t>
            </w:r>
          </w:p>
        </w:tc>
        <w:tc>
          <w:tcPr>
            <w:tcW w:type="dxa" w:w="936"/>
          </w:tcPr>
          <w:p>
            <w:pPr>
              <w:jc w:val="right"/>
            </w:pPr>
            <w:r>
              <w:rPr>
                <w:rFonts w:ascii="Times New Roman" w:hAnsi="Times New Roman"/>
                <w:sz w:val="17"/>
              </w:rPr>
              <w:t>822.489</w:t>
            </w:r>
          </w:p>
        </w:tc>
        <w:tc>
          <w:tcPr>
            <w:tcW w:type="dxa" w:w="936"/>
          </w:tcPr>
          <w:p>
            <w:pPr>
              <w:jc w:val="right"/>
            </w:pPr>
            <w:r>
              <w:rPr>
                <w:rFonts w:ascii="Times New Roman" w:hAnsi="Times New Roman"/>
                <w:sz w:val="17"/>
              </w:rPr>
              <w:t>2.893</w:t>
            </w:r>
          </w:p>
        </w:tc>
        <w:tc>
          <w:tcPr>
            <w:tcW w:type="dxa" w:w="936"/>
          </w:tcPr>
          <w:p>
            <w:pPr>
              <w:jc w:val="right"/>
            </w:pPr>
            <w:r>
              <w:rPr>
                <w:rFonts w:ascii="Times New Roman" w:hAnsi="Times New Roman"/>
                <w:sz w:val="17"/>
              </w:rPr>
              <w:t>1.371</w:t>
            </w:r>
          </w:p>
        </w:tc>
        <w:tc>
          <w:tcPr>
            <w:tcW w:type="dxa" w:w="936"/>
          </w:tcPr>
          <w:p>
            <w:pPr>
              <w:jc w:val="right"/>
            </w:pPr>
            <w:r>
              <w:rPr>
                <w:rFonts w:ascii="Times New Roman" w:hAnsi="Times New Roman"/>
                <w:sz w:val="17"/>
              </w:rPr>
              <w:t>0.291</w:t>
            </w:r>
          </w:p>
        </w:tc>
      </w:tr>
    </w:tbl>
    <w:p>
      <w:pPr>
        <w:spacing w:after="120"/>
      </w:pPr>
    </w:p>
    <w:p>
      <w:pPr>
        <w:spacing w:before="160" w:after="60"/>
      </w:pPr>
      <w:r>
        <w:rPr>
          <w:b/>
          <w:sz w:val="20"/>
        </w:rPr>
        <w:t>Table 7: Representative smallholder archetypes and simulated counterfactual mitigation gains.</w:t>
      </w:r>
    </w:p>
    <w:tbl>
      <w:tblPr>
        <w:tblStyle w:val="LightShading-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Pr>
                <w:rFonts w:ascii="Times New Roman" w:hAnsi="Times New Roman"/>
                <w:b/>
                <w:sz w:val="18"/>
              </w:rPr>
              <w:t>Case Scenario</w:t>
            </w:r>
          </w:p>
        </w:tc>
        <w:tc>
          <w:tcPr>
            <w:tcW w:type="dxa" w:w="1170"/>
          </w:tcPr>
          <w:p>
            <w:pPr>
              <w:jc w:val="center"/>
            </w:pPr>
            <w:r>
              <w:rPr>
                <w:rFonts w:ascii="Times New Roman" w:hAnsi="Times New Roman"/>
                <w:b/>
                <w:sz w:val="18"/>
              </w:rPr>
              <w:t>Household Identifier</w:t>
            </w:r>
          </w:p>
        </w:tc>
        <w:tc>
          <w:tcPr>
            <w:tcW w:type="dxa" w:w="1170"/>
          </w:tcPr>
          <w:p>
            <w:pPr>
              <w:jc w:val="center"/>
            </w:pPr>
            <w:r>
              <w:rPr>
                <w:rFonts w:ascii="Times New Roman" w:hAnsi="Times New Roman"/>
                <w:b/>
                <w:sz w:val="18"/>
              </w:rPr>
              <w:t>Archetype Classification</w:t>
            </w:r>
          </w:p>
        </w:tc>
        <w:tc>
          <w:tcPr>
            <w:tcW w:type="dxa" w:w="1170"/>
          </w:tcPr>
          <w:p>
            <w:pPr>
              <w:jc w:val="center"/>
            </w:pPr>
            <w:r>
              <w:rPr>
                <w:rFonts w:ascii="Times New Roman" w:hAnsi="Times New Roman"/>
                <w:b/>
                <w:sz w:val="18"/>
              </w:rPr>
              <w:t>Observed Volatility (Y_vol)</w:t>
            </w:r>
          </w:p>
        </w:tc>
        <w:tc>
          <w:tcPr>
            <w:tcW w:type="dxa" w:w="1170"/>
          </w:tcPr>
          <w:p>
            <w:pPr>
              <w:jc w:val="center"/>
            </w:pPr>
            <w:r>
              <w:rPr>
                <w:rFonts w:ascii="Times New Roman" w:hAnsi="Times New Roman"/>
                <w:b/>
                <w:sz w:val="18"/>
              </w:rPr>
              <w:t>Model Predicted Volatility</w:t>
            </w:r>
          </w:p>
        </w:tc>
        <w:tc>
          <w:tcPr>
            <w:tcW w:type="dxa" w:w="1170"/>
          </w:tcPr>
          <w:p>
            <w:pPr>
              <w:jc w:val="center"/>
            </w:pPr>
            <w:r>
              <w:rPr>
                <w:rFonts w:ascii="Times New Roman" w:hAnsi="Times New Roman"/>
                <w:b/>
                <w:sz w:val="18"/>
              </w:rPr>
              <w:t>Prediction Error (Residual)</w:t>
            </w:r>
          </w:p>
        </w:tc>
        <w:tc>
          <w:tcPr>
            <w:tcW w:type="dxa" w:w="1170"/>
          </w:tcPr>
          <w:p>
            <w:pPr>
              <w:jc w:val="center"/>
            </w:pPr>
            <w:r>
              <w:rPr>
                <w:rFonts w:ascii="Times New Roman" w:hAnsi="Times New Roman"/>
                <w:b/>
                <w:sz w:val="18"/>
              </w:rPr>
              <w:t>Key Structural Characteristics</w:t>
            </w:r>
          </w:p>
        </w:tc>
        <w:tc>
          <w:tcPr>
            <w:tcW w:type="dxa" w:w="1170"/>
          </w:tcPr>
          <w:p>
            <w:pPr>
              <w:jc w:val="center"/>
            </w:pPr>
            <w:r>
              <w:rPr>
                <w:rFonts w:ascii="Times New Roman" w:hAnsi="Times New Roman"/>
                <w:b/>
                <w:sz w:val="18"/>
              </w:rPr>
              <w:t>Targeted Policy Intervention</w:t>
            </w:r>
          </w:p>
        </w:tc>
      </w:tr>
      <w:tr>
        <w:tc>
          <w:tcPr>
            <w:tcW w:type="dxa" w:w="1170"/>
          </w:tcPr>
          <w:p>
            <w:pPr>
              <w:jc w:val="left"/>
            </w:pPr>
            <w:r>
              <w:rPr>
                <w:rFonts w:ascii="Times New Roman" w:hAnsi="Times New Roman"/>
                <w:sz w:val="17"/>
              </w:rPr>
              <w:t>Case A: Resilient Diversified Agro-Pastoralist</w:t>
            </w:r>
          </w:p>
        </w:tc>
        <w:tc>
          <w:tcPr>
            <w:tcW w:type="dxa" w:w="1170"/>
          </w:tcPr>
          <w:p>
            <w:pPr>
              <w:jc w:val="right"/>
            </w:pPr>
            <w:r>
              <w:rPr>
                <w:rFonts w:ascii="Times New Roman" w:hAnsi="Times New Roman"/>
                <w:sz w:val="17"/>
              </w:rPr>
              <w:t>00-42-35-91</w:t>
            </w:r>
          </w:p>
        </w:tc>
        <w:tc>
          <w:tcPr>
            <w:tcW w:type="dxa" w:w="1170"/>
          </w:tcPr>
          <w:p>
            <w:pPr>
              <w:jc w:val="right"/>
            </w:pPr>
            <w:r>
              <w:rPr>
                <w:rFonts w:ascii="Times New Roman" w:hAnsi="Times New Roman"/>
                <w:sz w:val="17"/>
              </w:rPr>
              <w:t>Low Volatility Archetype</w:t>
            </w:r>
          </w:p>
        </w:tc>
        <w:tc>
          <w:tcPr>
            <w:tcW w:type="dxa" w:w="1170"/>
          </w:tcPr>
          <w:p>
            <w:pPr>
              <w:jc w:val="right"/>
            </w:pPr>
            <w:r>
              <w:rPr>
                <w:rFonts w:ascii="Times New Roman" w:hAnsi="Times New Roman"/>
                <w:sz w:val="17"/>
              </w:rPr>
              <w:t>0.183</w:t>
            </w:r>
          </w:p>
        </w:tc>
        <w:tc>
          <w:tcPr>
            <w:tcW w:type="dxa" w:w="1170"/>
          </w:tcPr>
          <w:p>
            <w:pPr>
              <w:jc w:val="right"/>
            </w:pPr>
            <w:r>
              <w:rPr>
                <w:rFonts w:ascii="Times New Roman" w:hAnsi="Times New Roman"/>
                <w:sz w:val="17"/>
              </w:rPr>
              <w:t>0.285</w:t>
            </w:r>
          </w:p>
        </w:tc>
        <w:tc>
          <w:tcPr>
            <w:tcW w:type="dxa" w:w="1170"/>
          </w:tcPr>
          <w:p>
            <w:pPr>
              <w:jc w:val="right"/>
            </w:pPr>
            <w:r>
              <w:rPr>
                <w:rFonts w:ascii="Times New Roman" w:hAnsi="Times New Roman"/>
                <w:sz w:val="17"/>
              </w:rPr>
              <w:t>0.101</w:t>
            </w:r>
          </w:p>
        </w:tc>
        <w:tc>
          <w:tcPr>
            <w:tcW w:type="dxa" w:w="1170"/>
          </w:tcPr>
          <w:p>
            <w:pPr>
              <w:jc w:val="right"/>
            </w:pPr>
            <w:r>
              <w:rPr>
                <w:rFonts w:ascii="Times New Roman" w:hAnsi="Times New Roman"/>
                <w:sz w:val="17"/>
              </w:rPr>
              <w:t>High crop diversity, substantial livestock TLU buffer, zero plot failure</w:t>
            </w:r>
          </w:p>
        </w:tc>
        <w:tc>
          <w:tcPr>
            <w:tcW w:type="dxa" w:w="1170"/>
          </w:tcPr>
          <w:p>
            <w:pPr>
              <w:jc w:val="right"/>
            </w:pPr>
            <w:r>
              <w:rPr>
                <w:rFonts w:ascii="Times New Roman" w:hAnsi="Times New Roman"/>
                <w:sz w:val="17"/>
              </w:rPr>
              <w:t>Maintain mixed crop-livestock integration and agro-forestry buffers</w:t>
            </w:r>
          </w:p>
        </w:tc>
      </w:tr>
      <w:tr>
        <w:tc>
          <w:tcPr>
            <w:tcW w:type="dxa" w:w="1170"/>
          </w:tcPr>
          <w:p>
            <w:pPr>
              <w:jc w:val="left"/>
            </w:pPr>
            <w:r>
              <w:rPr>
                <w:rFonts w:ascii="Times New Roman" w:hAnsi="Times New Roman"/>
                <w:sz w:val="17"/>
              </w:rPr>
              <w:t>Case B: Moderate Input-Intensive Specialized Farm</w:t>
            </w:r>
          </w:p>
        </w:tc>
        <w:tc>
          <w:tcPr>
            <w:tcW w:type="dxa" w:w="1170"/>
          </w:tcPr>
          <w:p>
            <w:pPr>
              <w:jc w:val="right"/>
            </w:pPr>
            <w:r>
              <w:rPr>
                <w:rFonts w:ascii="Times New Roman" w:hAnsi="Times New Roman"/>
                <w:sz w:val="17"/>
              </w:rPr>
              <w:t>00-27-16-44</w:t>
            </w:r>
          </w:p>
        </w:tc>
        <w:tc>
          <w:tcPr>
            <w:tcW w:type="dxa" w:w="1170"/>
          </w:tcPr>
          <w:p>
            <w:pPr>
              <w:jc w:val="right"/>
            </w:pPr>
            <w:r>
              <w:rPr>
                <w:rFonts w:ascii="Times New Roman" w:hAnsi="Times New Roman"/>
                <w:sz w:val="17"/>
              </w:rPr>
              <w:t>Moderate Volatility Archetype</w:t>
            </w:r>
          </w:p>
        </w:tc>
        <w:tc>
          <w:tcPr>
            <w:tcW w:type="dxa" w:w="1170"/>
          </w:tcPr>
          <w:p>
            <w:pPr>
              <w:jc w:val="right"/>
            </w:pPr>
            <w:r>
              <w:rPr>
                <w:rFonts w:ascii="Times New Roman" w:hAnsi="Times New Roman"/>
                <w:sz w:val="17"/>
              </w:rPr>
              <w:t>1.007</w:t>
            </w:r>
          </w:p>
        </w:tc>
        <w:tc>
          <w:tcPr>
            <w:tcW w:type="dxa" w:w="1170"/>
          </w:tcPr>
          <w:p>
            <w:pPr>
              <w:jc w:val="right"/>
            </w:pPr>
            <w:r>
              <w:rPr>
                <w:rFonts w:ascii="Times New Roman" w:hAnsi="Times New Roman"/>
                <w:sz w:val="17"/>
              </w:rPr>
              <w:t>0.483</w:t>
            </w:r>
          </w:p>
        </w:tc>
        <w:tc>
          <w:tcPr>
            <w:tcW w:type="dxa" w:w="1170"/>
          </w:tcPr>
          <w:p>
            <w:pPr>
              <w:jc w:val="right"/>
            </w:pPr>
            <w:r>
              <w:rPr>
                <w:rFonts w:ascii="Times New Roman" w:hAnsi="Times New Roman"/>
                <w:sz w:val="17"/>
              </w:rPr>
              <w:t>0.523</w:t>
            </w:r>
          </w:p>
        </w:tc>
        <w:tc>
          <w:tcPr>
            <w:tcW w:type="dxa" w:w="1170"/>
          </w:tcPr>
          <w:p>
            <w:pPr>
              <w:jc w:val="right"/>
            </w:pPr>
            <w:r>
              <w:rPr>
                <w:rFonts w:ascii="Times New Roman" w:hAnsi="Times New Roman"/>
                <w:sz w:val="17"/>
              </w:rPr>
              <w:t>Synthetic fertilizer application, moderate planting delta, commercial focus</w:t>
            </w:r>
          </w:p>
        </w:tc>
        <w:tc>
          <w:tcPr>
            <w:tcW w:type="dxa" w:w="1170"/>
          </w:tcPr>
          <w:p>
            <w:pPr>
              <w:jc w:val="right"/>
            </w:pPr>
            <w:r>
              <w:rPr>
                <w:rFonts w:ascii="Times New Roman" w:hAnsi="Times New Roman"/>
                <w:sz w:val="17"/>
              </w:rPr>
              <w:t>Introduce supplemental micro-irrigation and crop rotation to reduce seasonal yield swings</w:t>
            </w:r>
          </w:p>
        </w:tc>
      </w:tr>
      <w:tr>
        <w:tc>
          <w:tcPr>
            <w:tcW w:type="dxa" w:w="1170"/>
          </w:tcPr>
          <w:p>
            <w:pPr>
              <w:jc w:val="left"/>
            </w:pPr>
            <w:r>
              <w:rPr>
                <w:rFonts w:ascii="Times New Roman" w:hAnsi="Times New Roman"/>
                <w:sz w:val="17"/>
              </w:rPr>
              <w:t>Case C: Climate-Shocked Vulnerable Smallholder</w:t>
            </w:r>
          </w:p>
        </w:tc>
        <w:tc>
          <w:tcPr>
            <w:tcW w:type="dxa" w:w="1170"/>
          </w:tcPr>
          <w:p>
            <w:pPr>
              <w:jc w:val="right"/>
            </w:pPr>
            <w:r>
              <w:rPr>
                <w:rFonts w:ascii="Times New Roman" w:hAnsi="Times New Roman"/>
                <w:sz w:val="17"/>
              </w:rPr>
              <w:t>00-04-45-80</w:t>
            </w:r>
          </w:p>
        </w:tc>
        <w:tc>
          <w:tcPr>
            <w:tcW w:type="dxa" w:w="1170"/>
          </w:tcPr>
          <w:p>
            <w:pPr>
              <w:jc w:val="right"/>
            </w:pPr>
            <w:r>
              <w:rPr>
                <w:rFonts w:ascii="Times New Roman" w:hAnsi="Times New Roman"/>
                <w:sz w:val="17"/>
              </w:rPr>
              <w:t>Hyper-Volatile Archetype</w:t>
            </w:r>
          </w:p>
        </w:tc>
        <w:tc>
          <w:tcPr>
            <w:tcW w:type="dxa" w:w="1170"/>
          </w:tcPr>
          <w:p>
            <w:pPr>
              <w:jc w:val="right"/>
            </w:pPr>
            <w:r>
              <w:rPr>
                <w:rFonts w:ascii="Times New Roman" w:hAnsi="Times New Roman"/>
                <w:sz w:val="17"/>
              </w:rPr>
              <w:t>2.000</w:t>
            </w:r>
          </w:p>
        </w:tc>
        <w:tc>
          <w:tcPr>
            <w:tcW w:type="dxa" w:w="1170"/>
          </w:tcPr>
          <w:p>
            <w:pPr>
              <w:jc w:val="right"/>
            </w:pPr>
            <w:r>
              <w:rPr>
                <w:rFonts w:ascii="Times New Roman" w:hAnsi="Times New Roman"/>
                <w:sz w:val="17"/>
              </w:rPr>
              <w:t>1.948</w:t>
            </w:r>
          </w:p>
        </w:tc>
        <w:tc>
          <w:tcPr>
            <w:tcW w:type="dxa" w:w="1170"/>
          </w:tcPr>
          <w:p>
            <w:pPr>
              <w:jc w:val="right"/>
            </w:pPr>
            <w:r>
              <w:rPr>
                <w:rFonts w:ascii="Times New Roman" w:hAnsi="Times New Roman"/>
                <w:sz w:val="17"/>
              </w:rPr>
              <w:t>0.052</w:t>
            </w:r>
          </w:p>
        </w:tc>
        <w:tc>
          <w:tcPr>
            <w:tcW w:type="dxa" w:w="1170"/>
          </w:tcPr>
          <w:p>
            <w:pPr>
              <w:jc w:val="right"/>
            </w:pPr>
            <w:r>
              <w:rPr>
                <w:rFonts w:ascii="Times New Roman" w:hAnsi="Times New Roman"/>
                <w:sz w:val="17"/>
              </w:rPr>
              <w:t>Severe seasonal planting delay, complete plot abandonment shock, zero livestock buffer</w:t>
            </w:r>
          </w:p>
        </w:tc>
        <w:tc>
          <w:tcPr>
            <w:tcW w:type="dxa" w:w="1170"/>
          </w:tcPr>
          <w:p>
            <w:pPr>
              <w:jc w:val="right"/>
            </w:pPr>
            <w:r>
              <w:rPr>
                <w:rFonts w:ascii="Times New Roman" w:hAnsi="Times New Roman"/>
                <w:sz w:val="17"/>
              </w:rPr>
              <w:t>Targeted social cash transfers, drought-tolerant seed kits, and early planting advisories</w:t>
            </w:r>
          </w:p>
        </w:tc>
      </w:tr>
    </w:tbl>
    <w:p>
      <w:pPr>
        <w:spacing w:after="120"/>
      </w:pPr>
    </w:p>
    <w:p>
      <w:pPr>
        <w:spacing w:before="280" w:after="80"/>
      </w:pPr>
      <w:r>
        <w:rPr>
          <w:rFonts w:ascii="Times New Roman" w:hAnsi="Times New Roman"/>
          <w:b/>
          <w:color w:val="1B365D"/>
          <w:sz w:val="30"/>
        </w:rPr>
        <w:t>4. Discussion</w:t>
      </w:r>
    </w:p>
    <w:p>
      <w:pPr>
        <w:spacing w:before="200" w:after="60"/>
      </w:pPr>
      <w:r>
        <w:rPr>
          <w:rFonts w:ascii="Times New Roman" w:hAnsi="Times New Roman"/>
          <w:b/>
          <w:color w:val="2B5C8F"/>
          <w:sz w:val="26"/>
        </w:rPr>
        <w:t>4.1 Agronomic Mechanisms of Inter-Seasonal Yield Collapse</w:t>
      </w:r>
    </w:p>
    <w:p>
      <w:r>
        <w:t>Our findings provide quantitative empirical evidence that intra-annual yield volatility among Sub-Saharan smallholders is fundamentally driven by **seasonal resource asymmetry**. Smallholders routinely allocate the vast majority of their chemical fertilizer, improved seeds, and family labor to the primary Masika rains, treating the secondary Vuli season as an informal, low-input hedge. When Vuli precipitation fluctuates, these under-resourced plots experience catastrophic failure.</w:t>
      </w:r>
    </w:p>
    <w:p>
      <w:r>
        <w:t>Crucially, our non-linear models demonstrate that high Masika productivity often exacerbates Vuli collapse if soil nutrients are depleted without adequate replenishment. Crop portfolio diversification (measured via Shannon equitability) functions as an organic buffer: households intercropping cereals (maize, sorghum) with deep-rooted drought-resilient legumes (pigeon pea, cowpea) preserve soil moisture and stagger harvest schedules, dampening the impact of mid-season dry spells.</w:t>
      </w:r>
    </w:p>
    <w:p>
      <w:pPr>
        <w:spacing w:before="200" w:after="60"/>
      </w:pPr>
      <w:r>
        <w:rPr>
          <w:rFonts w:ascii="Times New Roman" w:hAnsi="Times New Roman"/>
          <w:b/>
          <w:color w:val="2B5C8F"/>
          <w:sz w:val="26"/>
        </w:rPr>
        <w:t>4.2 The Critical Imperative of Spatial Validation in Agricultural AI</w:t>
      </w:r>
    </w:p>
    <w:p>
      <w:r>
        <w:t>The methodological results of this study carry profound implications for the growing literature applying artificial intelligence to international agricultural development. We demonstrate that conventional random train-test splitting introduces an artificial performance premium of $\Delta R^2 = +0.157$ (Table 2). In spatially autocorrelated agricultural systems, models evaluate performance by simply looking up the coordinates or regional averages of neighboring farms.</w:t>
      </w:r>
    </w:p>
    <w:p>
      <w:r>
        <w:t>When deployed by ministries of agriculture or non-governmental organizations to target fertilizer subsidies in newly surveyed rural districts, non-spatial models fail catastrophically. Adopting strict regional GroupKFold validation, nested inside-fold preprocessing, and adversarial validation is not merely a technical refinement; it is an ethical and practical necessity for trustworthy agricultural AI.</w:t>
      </w:r>
    </w:p>
    <w:p>
      <w:pPr>
        <w:spacing w:before="200" w:after="60"/>
      </w:pPr>
      <w:r>
        <w:rPr>
          <w:rFonts w:ascii="Times New Roman" w:hAnsi="Times New Roman"/>
          <w:b/>
          <w:color w:val="2B5C8F"/>
          <w:sz w:val="26"/>
        </w:rPr>
        <w:t>4.3 Practical Policy Recommendations for Tanzania</w:t>
      </w:r>
    </w:p>
    <w:p>
      <w:r>
        <w:t>Based on the empirical findings and policy simulations (Figure 10), we outline three targeted recommendations for the Ministry of Agriculture of Tanzania:</w:t>
        <w:br/>
        <w:t>1. **De-couple Input Subsidies by Season**: Current fertilizer subsidy programs prioritize the Masika season. Establishing dedicated micro-voucher allocations for Vuli basal fertilizer in bi-modal districts (particularly Kagera, Mara, Morogoro, and Tanga) would prevent inter-seasonal nutrient collapse.</w:t>
        <w:br/>
        <w:t>2. **Promote Legume Intercropping Over Monoculture Expansion**: Agricultural extension agents should pivot from single-crop yield targets toward crop portfolio Shannon diversification. Legume-cereal intercropping provides immediate insurance against seasonal rainfall failure without requiring capital-intensive irrigation.</w:t>
        <w:br/>
        <w:t>3. **Integrate Agro-Ecological Risk Scoring into Social Safety Nets**: The spatial volatility hotspot maps generated by this framework (Figure 8) can be integrated into the Tanzania Social Action Fund (TASAF) to proactively deploy cash transfers and livestock restocking grants to hyper-volatile wards prior to seasonal harvest failures.</w:t>
      </w:r>
    </w:p>
    <w:p>
      <w:pPr>
        <w:spacing w:before="200" w:after="60"/>
      </w:pPr>
      <w:r>
        <w:rPr>
          <w:rFonts w:ascii="Times New Roman" w:hAnsi="Times New Roman"/>
          <w:b/>
          <w:color w:val="2B5C8F"/>
          <w:sz w:val="26"/>
        </w:rPr>
        <w:t>4.4 Study Limitations</w:t>
      </w:r>
    </w:p>
    <w:p>
      <w:r>
        <w:t>While this study utilizes national survey microdata, several limitations must be noted. First, remote sensing vegetation indices (e.g., Sentinel-2 NDVI) and high-resolution gridded soil grids were not directly linked at the GPS plot level due to survey privacy masking. Second, pest and disease outbreaks (such as Fall Armyworm) were captured via categorical farmer recall rather than systematic field scouting. Future research will integrate high-resolution earth observation data into this spatial machine learning architecture.</w:t>
      </w:r>
    </w:p>
    <w:p>
      <w:pPr>
        <w:spacing w:before="280" w:after="80"/>
      </w:pPr>
      <w:r>
        <w:rPr>
          <w:rFonts w:ascii="Times New Roman" w:hAnsi="Times New Roman"/>
          <w:b/>
          <w:color w:val="1B365D"/>
          <w:sz w:val="30"/>
        </w:rPr>
        <w:t>5. Conclusions</w:t>
      </w:r>
    </w:p>
    <w:p>
      <w:r>
        <w:t>This study developed and validated a leakage-free spatial machine learning pipeline to predict smallholder crop yield volatility across 27 administrative regions of Tanzania. Utilizing national agricultural survey microdata from 10,750 households, we engineered domain-specific agronomic features and established that an out-of-fold Weighted Ensemble achieves superior generalization ($R^2 = 0.584 \pm 0.042$, $\text{RMSE} = 0.231$) under strict spatial regional cross-validation. We quantified that naive non-spatial cross-validation introduces an optimistic bias of $+0.157$ in $R^2$, demonstrating the necessity of spatial isolation protocols in agricultural AI.</w:t>
      </w:r>
    </w:p>
    <w:p>
      <w:r>
        <w:t>Explainable AI via SHAP revealed that planting window divergence, seasonal fertilizer differentials, and crop portfolio Shannon diversity are the primary drivers of yield stability. Counterfactual simulations proved that an integrated climate-smart agriculture package reduces hyper-volatile smallholder holdings by 63.3%. This framework provides a deployment-ready decision support tool for climate resilience, input subsidy targeting, and food security planning across Sub-Saharan Africa.</w:t>
      </w:r>
    </w:p>
    <w:p>
      <w:pPr>
        <w:spacing w:before="280" w:after="80"/>
      </w:pPr>
      <w:r>
        <w:rPr>
          <w:rFonts w:ascii="Times New Roman" w:hAnsi="Times New Roman"/>
          <w:b/>
          <w:color w:val="1B365D"/>
          <w:sz w:val="30"/>
        </w:rPr>
        <w:t>Declarations</w:t>
      </w:r>
    </w:p>
    <w:p>
      <w:pPr>
        <w:spacing w:before="200" w:after="60"/>
      </w:pPr>
      <w:r>
        <w:rPr>
          <w:rFonts w:ascii="Times New Roman" w:hAnsi="Times New Roman"/>
          <w:b/>
          <w:color w:val="2B5C8F"/>
          <w:sz w:val="26"/>
        </w:rPr>
        <w:t>Acknowledgments</w:t>
      </w:r>
    </w:p>
    <w:p>
      <w:r>
        <w:t>The author gratefully acknowledges the National Bureau of Statistics (NBS) of Tanzania and the Ministry of Agriculture for conducting and archiving the Annual Agricultural Sample Survey (AASS) microdata.</w:t>
      </w:r>
    </w:p>
    <w:p>
      <w:pPr>
        <w:spacing w:before="200" w:after="60"/>
      </w:pPr>
      <w:r>
        <w:rPr>
          <w:rFonts w:ascii="Times New Roman" w:hAnsi="Times New Roman"/>
          <w:b/>
          <w:color w:val="2B5C8F"/>
          <w:sz w:val="26"/>
        </w:rPr>
        <w:t>Disclosure Statement / Declaration of Competing Interests</w:t>
      </w:r>
    </w:p>
    <w:p>
      <w:r>
        <w:t>The author declares that there are no known competing financial interests or personal relationships that could have appeared to influence the work reported in this paper.</w:t>
      </w:r>
    </w:p>
    <w:p>
      <w:pPr>
        <w:spacing w:before="200" w:after="60"/>
      </w:pPr>
      <w:r>
        <w:rPr>
          <w:rFonts w:ascii="Times New Roman" w:hAnsi="Times New Roman"/>
          <w:b/>
          <w:color w:val="2B5C8F"/>
          <w:sz w:val="26"/>
        </w:rPr>
        <w:t>Funding Information</w:t>
      </w:r>
    </w:p>
    <w:p>
      <w:r>
        <w:t>This research received no specific grant from any funding agency in the public, commercial, or not-for-profit sectors.</w:t>
      </w:r>
    </w:p>
    <w:p>
      <w:pPr>
        <w:spacing w:before="200" w:after="60"/>
      </w:pPr>
      <w:r>
        <w:rPr>
          <w:rFonts w:ascii="Times New Roman" w:hAnsi="Times New Roman"/>
          <w:b/>
          <w:color w:val="2B5C8F"/>
          <w:sz w:val="26"/>
        </w:rPr>
        <w:t>Data Availability Statement</w:t>
      </w:r>
    </w:p>
    <w:p>
      <w:r>
        <w:t>The secondary microdata analyzed in this study are publicly accessible upon formal request from the National Bureau of Statistics (NBS) of Tanzania (https://www.nbs.go.tz). All Python code, feature engineering pipelines, modeling scripts, and defense dossiers generated during this study are fully documented and reproducible at the project repository.</w:t>
      </w:r>
    </w:p>
    <w:p>
      <w:pPr>
        <w:spacing w:before="200" w:after="60"/>
      </w:pPr>
      <w:r>
        <w:rPr>
          <w:rFonts w:ascii="Times New Roman" w:hAnsi="Times New Roman"/>
          <w:b/>
          <w:color w:val="2B5C8F"/>
          <w:sz w:val="26"/>
        </w:rPr>
        <w:t>Author Contributions</w:t>
      </w:r>
    </w:p>
    <w:p>
      <w:r>
        <w:t>**Kadeghe Goodluck Fue**: Conceptualization, Methodology, Software, Data Curation, Formal Analysis, Investigation, Validation, Visualization, Writing – Original Draft, Writing – Review &amp; Editing.</w:t>
      </w:r>
    </w:p>
    <w:p>
      <w:pPr>
        <w:spacing w:before="280" w:after="80"/>
      </w:pPr>
      <w:r>
        <w:rPr>
          <w:rFonts w:ascii="Times New Roman" w:hAnsi="Times New Roman"/>
          <w:b/>
          <w:color w:val="1B365D"/>
          <w:sz w:val="30"/>
        </w:rPr>
        <w:t>References</w:t>
      </w:r>
    </w:p>
    <w:p>
      <w:pPr>
        <w:ind w:left="720" w:hanging="720"/>
      </w:pPr>
      <w:r>
        <w:t>Breiman, L. (2001). Random forests. *Machine Learning*, 45(1), 5–32. https://doi.org/10.1023/A:1010933404324</w:t>
      </w:r>
    </w:p>
    <w:p>
      <w:pPr>
        <w:ind w:left="720" w:hanging="720"/>
      </w:pPr>
      <w:r>
        <w:t>Chen, T., &amp; Guestrin, C. (2016). XGBoost: A scalable tree boosting system. *Proceedings of the 22nd ACM SIGKDD International Conference on Knowledge Discovery and Data Mining*, 785–794. https://doi.org/10.1145/2939672.2939785</w:t>
      </w:r>
    </w:p>
    <w:p>
      <w:pPr>
        <w:ind w:left="720" w:hanging="720"/>
      </w:pPr>
      <w:r>
        <w:t>Ke, G., Meng, Q., Finley, T., Wang, T., Chen, W., Ma, W., Ye, Q., &amp; Liu, T. Y. (2017). LightGBM: A highly efficient gradient boosting decision tree. *Advances in Neural Information Processing Systems*, 30, 3146–3154.</w:t>
      </w:r>
    </w:p>
    <w:p>
      <w:pPr>
        <w:ind w:left="720" w:hanging="720"/>
      </w:pPr>
      <w:r>
        <w:t>Lundberg, S. M., &amp; Lee, S. I. (2017). A unified approach to interpreting model predictions. *Advances in Neural Information Processing Systems*, 30, 4765–4774.</w:t>
      </w:r>
    </w:p>
    <w:p>
      <w:pPr>
        <w:ind w:left="720" w:hanging="720"/>
      </w:pPr>
      <w:r>
        <w:t>National Bureau of Statistics [NBS]. (2021). *Annual Agricultural Sample Survey 2019/20: Final Report*. Ministry of Finance and Planning, United Republic of Tanzania.</w:t>
      </w:r>
    </w:p>
    <w:p>
      <w:pPr>
        <w:ind w:left="720" w:hanging="720"/>
      </w:pPr>
      <w:r>
        <w:t>Prokhorenkova, L., Gusev, G., Vorobev, A., Dorogush, A. V., &amp; Gulin, A. (2018). CatBoost: unbiased boosting with categorical features. *Advances in Neural Information Processing Systems*, 31, 6638–6648.</w:t>
      </w:r>
    </w:p>
    <w:p>
      <w:pPr>
        <w:ind w:left="720" w:hanging="720"/>
      </w:pPr>
      <w:r>
        <w:t>Roberts, D. R., Bahn, V., Ciuti, S., Boyce, M. S., Elith, J., Guillera-Arroita, G., Hauenstein, S., Lahoz-Monfort, J. J., Schröder, B., Thuiller, W., &amp; Warton, D. I. (2017). Cross-validation strategies for data with spatial, temporal, or phylogenetic structure. *Ecography*, 40(8), 913–929. https://doi.org/10.1111/ecog.02881</w:t>
      </w:r>
    </w:p>
    <w:p>
      <w:pPr>
        <w:ind w:left="720" w:hanging="720"/>
      </w:pPr>
      <w:r>
        <w:t>United Republic of Tanzania [URT]. (2020). *National Agricultural Policy Implementation Strategy*. Ministry of Agriculture, Dodoma, Tanzania.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