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ДОПОЛНИТЕЛЬНОЕ ЗАДАНИЕ</w:t>
        <w:br/>
        <w:t>по дисциплине «Управление проектами в информационной безопасности»</w:t>
        <w:br/>
        <w:br/>
      </w:r>
      <w:r>
        <w:t>на тему «Планирование проекта внедрения СЗИ: PAM»</w:t>
        <w:br/>
        <w:t>Вариант 12 — Подрядчики подключаются к серверам извне</w:t>
        <w:br/>
        <w:br/>
      </w:r>
      <w:r>
        <w:t>Выполнил(а): Студент №12 по списку ____________________</w:t>
        <w:br/>
        <w:t>Проверил(а): ____________________</w:t>
        <w:br/>
        <w:br/>
      </w:r>
      <w:r>
        <w:t>— 2026 —</w:t>
      </w:r>
    </w:p>
    <w:p>
      <w:r>
        <w:br w:type="page"/>
      </w:r>
    </w:p>
    <w:p>
      <w:r>
        <w:rPr>
          <w:b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[ Обновите поле: ПКМ по содержанию → Обновить поле ]</w:t>
        <w:fldChar w:fldCharType="end"/>
      </w:r>
    </w:p>
    <w:p>
      <w:r>
        <w:br w:type="page"/>
      </w:r>
    </w:p>
    <w:p>
      <w:pPr>
        <w:pStyle w:val="Heading1"/>
      </w:pPr>
      <w:r>
        <w:t>1. Исходные данные и цель работы</w:t>
      </w:r>
    </w:p>
    <w:p>
      <w:r>
        <w:t>МФО «Вектор-Финанс»: 600 сотрудников, головной офис и 3 филиала, ~120 серверов, 15 администраторов и подрядчиков с привилегированным доступом, ИБ-подразделение — 4 человека. После инцидента с утечкой персональных данных через почту руководство выделило бюджет и срок на внедрение СЗИ.</w:t>
      </w:r>
    </w:p>
    <w:p>
      <w:r>
        <w:t>Цель работы: Сформировать модель проекта внедрения СЗИ: устав с измеримой целью, реестр заинтересованных сторон и план коммуникаций, WBS с календарным планом и вехами, план пилота, реестр рисков с матрицей 5×5, метрики и порядок передачи в эксплуатацию, смету в базовой валюте с учётом импортных позиций в USD; проверить расчёт в MS Project.</w:t>
      </w:r>
    </w:p>
    <w:p>
      <w:pPr>
        <w:pStyle w:val="Heading2"/>
      </w:pPr>
      <w:r>
        <w:t>1.1. Исходные данные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Вариант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— PAM (Подрядчики подключаются к серверам извне)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Организация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МФО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Объект внедрения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Внедрение системы привилегированного доступа (PAM) в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Срок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05.10.2026 – 05.07.2027 (дедлайны вех — 05.07.2027)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12 000 000 ₽ = 12 525 600,00 сом (курс 1,0438 сом/₽, 15.10.2026, nbkr)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Валюта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сом (KGS); импортные позиции — USD по курсу 87,45 сом/USD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Объём плана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фаз — 5, работ — 21, вех — 7, ресурсов — 11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Инструмент расчёта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project.yaml → CPM-расчёт (pm) → XML MSPDI → MS Project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Репозиторий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https://github.com/kadeom/project-management</w:t>
            </w:r>
          </w:p>
        </w:tc>
      </w:tr>
    </w:tbl>
    <w:p/>
    <w:p>
      <w:pPr>
        <w:pStyle w:val="Heading2"/>
      </w:pPr>
      <w:r>
        <w:t>1.2. Основные понятия (ГОСТ Р ИСО 21500-2023)</w:t>
      </w:r>
    </w:p>
    <w:p>
      <w:pPr>
        <w:pStyle w:val="ListBullet"/>
      </w:pPr>
      <w:r>
        <w:t>Проект — уникальный процесс, состоящий из серии координированных и управляемых задач с датами начала и окончания, направленный на достижение определённой цели.</w:t>
      </w:r>
    </w:p>
    <w:p>
      <w:pPr>
        <w:pStyle w:val="ListBullet"/>
      </w:pPr>
      <w:r>
        <w:t>Управление проектами — применение знаний, умений, инструментов и методов к деятельности проекта для удовлетворения его требований.</w:t>
      </w:r>
    </w:p>
    <w:p>
      <w:pPr>
        <w:pStyle w:val="ListBullet"/>
      </w:pPr>
      <w:r>
        <w:t>Результат — уникальный совокупный продукт проекта: здесь — работающая СЗИ, процессы и регламенты, принятые заказчиком.</w:t>
      </w:r>
    </w:p>
    <w:p>
      <w:pPr>
        <w:pStyle w:val="ListBullet"/>
      </w:pPr>
      <w:r>
        <w:t>Ограничения — сдерживающие факторы проекта: срок (9 месяцев), стоимость (бюджет), ресурсы (штат ИБ 4 чел.), качество и требования регуляторов.</w:t>
      </w:r>
    </w:p>
    <w:p>
      <w:pPr>
        <w:pStyle w:val="ListBullet"/>
      </w:pPr>
      <w:r>
        <w:t>Веха — контрольная точка проекта для измерения прогресса — в плане это задачи с нулевой длительностью (утверждение устава, приёмка пилота, ввод в эксплуатацию, закрытие).</w:t>
      </w:r>
    </w:p>
    <w:p>
      <w:pPr>
        <w:pStyle w:val="Heading2"/>
      </w:pPr>
      <w:r>
        <w:t>1.3. Специфика системы (вариант)</w:t>
      </w:r>
    </w:p>
    <w:p>
      <w:pPr>
        <w:pStyle w:val="ListBullet"/>
      </w:pPr>
      <w:r>
        <w:t>Инвентаризация привилегированных учётных записей — отдельная работа этапа «Обследование» (методичка, задание 3, специфика PAM)</w:t>
      </w:r>
    </w:p>
    <w:p>
      <w:pPr>
        <w:pStyle w:val="ListBullet"/>
      </w:pPr>
      <w:r>
        <w:t>Отказоустойчивость: два узла PAM, раздельное резервное копирование хранилища, проверка восстановления на пилоте</w:t>
      </w:r>
    </w:p>
    <w:p>
      <w:pPr>
        <w:pStyle w:val="ListBullet"/>
      </w:pPr>
      <w:r>
        <w:t>Аварийный доступ (break-glass) с двойным согласованием и оповещением дежурного ИБ</w:t>
      </w:r>
    </w:p>
    <w:p>
      <w:pPr>
        <w:pStyle w:val="ListBullet"/>
      </w:pPr>
      <w:r>
        <w:t>Внешние подрядчики подключаются только через брокеринг сессий; прямые RDP/SSH блокируются межсетевым экраном</w:t>
      </w:r>
    </w:p>
    <w:p>
      <w:pPr>
        <w:pStyle w:val="ListBullet"/>
      </w:pPr>
      <w:r>
        <w:t>Ретенция записей сессий ≥ 90 дней для расследований (журналирование — ISO/IEC 27001:2022 A.8.15)</w:t>
      </w:r>
    </w:p>
    <w:p>
      <w:r>
        <w:br w:type="page"/>
      </w:r>
    </w:p>
    <w:p>
      <w:pPr>
        <w:pStyle w:val="Heading1"/>
      </w:pPr>
      <w:r>
        <w:t>2. Задание 1. Устав проекта</w:t>
      </w:r>
    </w:p>
    <w:p>
      <w:pPr>
        <w:pStyle w:val="Heading2"/>
      </w:pPr>
      <w:r>
        <w:t>2.1. Цель проекта</w:t>
      </w:r>
    </w:p>
    <w:p>
      <w:r>
        <w:t>К 05.07.2027 перевести 100 % привилегированных учётных записей 120 серверов и 15 администраторов/подрядчиков на управление через PAM: доля сессий под записью и контролем ≥ 95 %, время выдачи доступа ≤ 15 минут, внешние подрядчики — только через брокеринг сессий.</w:t>
      </w:r>
    </w:p>
    <w:p>
      <w:pPr>
        <w:pStyle w:val="Heading2"/>
      </w:pPr>
      <w:r>
        <w:t>2.2. Границы проекта</w:t>
      </w:r>
    </w:p>
    <w:p>
      <w:r>
        <w:t>В границы входит:</w:t>
      </w:r>
    </w:p>
    <w:p>
      <w:pPr>
        <w:pStyle w:val="ListBullet"/>
      </w:pPr>
      <w:r>
        <w:t>Головной офис и 3 филиала: 120 серверов (Windows Server, Linux, СУБД), 15 администраторов и подрядчиков</w:t>
      </w:r>
    </w:p>
    <w:p>
      <w:pPr>
        <w:pStyle w:val="ListBullet"/>
      </w:pPr>
      <w:r>
        <w:t>Брокеринг доступа, управление и запись сессий, ротация паролей под контролем PAM</w:t>
      </w:r>
    </w:p>
    <w:p>
      <w:pPr>
        <w:pStyle w:val="ListBullet"/>
      </w:pPr>
      <w:r>
        <w:t>Процессы: запрос → согласование → выдача → отзыв, включая аварийный доступ (break-glass)</w:t>
      </w:r>
    </w:p>
    <w:p>
      <w:pPr>
        <w:pStyle w:val="ListBullet"/>
      </w:pPr>
      <w:r>
        <w:t>Обучение администраторов и владельцев доступа, регламенты эксплуатации</w:t>
      </w:r>
    </w:p>
    <w:p>
      <w:pPr>
        <w:pStyle w:val="ListBullet"/>
      </w:pPr>
      <w:r>
        <w:t>Первичный аудит соответствия требованиям и передача в эксплуатацию</w:t>
      </w:r>
    </w:p>
    <w:p>
      <w:r>
        <w:t>В границы не входит:</w:t>
      </w:r>
    </w:p>
    <w:p>
      <w:pPr>
        <w:pStyle w:val="ListBullet"/>
      </w:pPr>
      <w:r>
        <w:t>Замена системы бэкапа, обновления ПО и управления конфигурациями</w:t>
      </w:r>
    </w:p>
    <w:p>
      <w:pPr>
        <w:pStyle w:val="ListBullet"/>
      </w:pPr>
      <w:r>
        <w:t>Массовая ротация паролей вне PAM-контура (выполняет ИТ-служба до этапа «Внедрение»)</w:t>
      </w:r>
    </w:p>
    <w:p>
      <w:pPr>
        <w:pStyle w:val="ListBullet"/>
      </w:pPr>
      <w:r>
        <w:t>Внедрение SIEM и DLP (реализуется отдельным проектом), физическая защита ЦОД</w:t>
      </w:r>
    </w:p>
    <w:p>
      <w:pPr>
        <w:pStyle w:val="ListBullet"/>
      </w:pPr>
      <w:r>
        <w:t>Изменение бизнес-процессов кредитования и работы с клиентами</w:t>
      </w:r>
    </w:p>
    <w:p>
      <w:pPr>
        <w:pStyle w:val="Heading2"/>
      </w:pPr>
      <w:r>
        <w:t>2.3. Допущения</w:t>
      </w:r>
    </w:p>
    <w:p>
      <w:pPr>
        <w:pStyle w:val="ListBullet"/>
      </w:pPr>
      <w:r>
        <w:t>Бюджет — 12 млн ₽ = 12 525 600 сом (курс 1,0438 сом/₽, НБКР, 15.10.2026); план по модели — 11,08 млн сом (таблица A), резерв 11,5 % (≥ 4 %)</w:t>
      </w:r>
    </w:p>
    <w:p>
      <w:pPr>
        <w:pStyle w:val="ListBullet"/>
      </w:pPr>
      <w:r>
        <w:t>Импортные позиции (лицензии PAM 160 $/нода, серверы и СХД 21 000 $) закупаются в USD и пересчитываются по курсу блока fx (87,45 сом/USD); риск роста курса — в реестре рисков</w:t>
      </w:r>
    </w:p>
    <w:p>
      <w:pPr>
        <w:pStyle w:val="ListBullet"/>
      </w:pPr>
      <w:r>
        <w:t>Срок — 9 месяцев: 05.10.2026 – 05.07.2027 (дедлайн вехи «Ввод в эксплуатацию»)</w:t>
      </w:r>
    </w:p>
    <w:p>
      <w:pPr>
        <w:pStyle w:val="ListBullet"/>
      </w:pPr>
      <w:r>
        <w:t>Коробочное решение PAM закупается с годовой лицензией; поставка и активация — до 30 раб. дней (запаздывание на плане — 10 раб. дней после приёмки пилота)</w:t>
      </w:r>
    </w:p>
    <w:p>
      <w:pPr>
        <w:pStyle w:val="ListBullet"/>
      </w:pPr>
      <w:r>
        <w:t>ИБ-подразделение — 4 человека; проектное время закреплено приказом, руководитель проекта занят 50 % первые две недели</w:t>
      </w:r>
    </w:p>
    <w:p>
      <w:pPr>
        <w:pStyle w:val="ListBullet"/>
      </w:pPr>
      <w:r>
        <w:t>Организация — оператор ПДн (600 сотрудников, клиенты) и не включена в реестр субъектов КИИ</w:t>
      </w:r>
    </w:p>
    <w:p>
      <w:pPr>
        <w:pStyle w:val="Heading2"/>
      </w:pPr>
      <w:r>
        <w:t>2.4. Ограничения</w:t>
      </w:r>
    </w:p>
    <w:p>
      <w:r>
        <w:t>Бюджет 12 млн ₽ (12 525 600 сом); срок 9 месяцев; 152-ФЗ и ГОСТ Р 57580.1-2017; приказ ФСТЭК России № 21 (уровень защищённости ПДн); штат ИБ 4 чел.; пилот и развёртывание не должны останавливать кредитные сервисы.</w:t>
      </w:r>
    </w:p>
    <w:p>
      <w:pPr>
        <w:pStyle w:val="Heading2"/>
      </w:pPr>
      <w:r>
        <w:t>2.5. Критерии приёмки результата</w:t>
      </w:r>
    </w:p>
    <w:p>
      <w:pPr>
        <w:pStyle w:val="ListBullet"/>
      </w:pPr>
      <w:r>
        <w:t>≥ 95 % привилегированных сессий выполнены через PAM с записью</w:t>
      </w:r>
    </w:p>
    <w:p>
      <w:pPr>
        <w:pStyle w:val="ListBullet"/>
      </w:pPr>
      <w:r>
        <w:t>Время выдачи доступа ≤ 15 мин, аварийного — ≤ 5 мин с двойным согласованием</w:t>
      </w:r>
    </w:p>
    <w:p>
      <w:pPr>
        <w:pStyle w:val="ListBullet"/>
      </w:pPr>
      <w:r>
        <w:t>100 % внешних подрядчиков подключаются через брокеринг, прямой RDP заблокирован</w:t>
      </w:r>
    </w:p>
    <w:p>
      <w:pPr>
        <w:pStyle w:val="ListBullet"/>
      </w:pPr>
      <w:r>
        <w:t>Фактическое окончание ≤ 05.07.2027; стоимость ≤ 11,5 млн сом (девиация ≤ 5 % от плана 11,08 млн)</w:t>
      </w:r>
    </w:p>
    <w:p>
      <w:pPr>
        <w:pStyle w:val="ListBullet"/>
      </w:pPr>
      <w:r>
        <w:t>Замечания первичного аудита уровня «критично» и «высокий» закрыты за 10 раб. дней</w:t>
      </w:r>
    </w:p>
    <w:p>
      <w:pPr>
        <w:pStyle w:val="Heading2"/>
      </w:pPr>
      <w:r>
        <w:t>2.6. Роли и полномочия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 какие полномочия имеет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Финансовый директор МФО «Вектор-Финанс» — спонсор: утверждает устав, бюджет, приёмку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Соколов А.И. — руководитель проекта (ИБ): полномочия по ресурсам, срокам, отклонениям в пределах 5 %</w:t>
            </w:r>
          </w:p>
        </w:tc>
      </w:tr>
    </w:tbl>
    <w:p/>
    <w:p>
      <w:r>
        <w:br w:type="page"/>
      </w:r>
    </w:p>
    <w:p>
      <w:pPr>
        <w:pStyle w:val="Heading1"/>
      </w:pPr>
      <w:r>
        <w:t>3. Задание 2. Заинтересованные стороны и коммуникации</w:t>
      </w:r>
    </w:p>
    <w:p>
      <w:r>
        <w:t>Реестр содержит 10 сторон (методика: влияние × интерес → сегментация «управление вовлечением / поддержание удовлетворённости»; влияние: В — высокое, С — среднее, Н — низкое).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Отношение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Метод воздействия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Спонсор (финансовый директор)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Снижение риска повторения утечки, укладывание в бюджет 12 млн ₽ (12 525 600 сом)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Ежемесячный статус 1 стр., эскалация решений по бюджету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ИБ-подразделение (4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Рабочие процессы, обучение, нагрузка на проект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Вовлечение с этапа обследования, чек-листы задач, обучение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ИТ-администрация (15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Простои и удобство, двойная аутентификация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Скептичный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Демо на пилоте, обратная связь по политикам, техподдержка в окно развёртывания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Юристы / комплаенс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Соответствие 152-ФЗ, ГОСТ Р 57580.1, договоры с подрядчиками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Согласование регламентов и договорных санкций, аудит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Регламенты доступа при приёме/увольнении, обучение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Совместная проработка процедур, обучение кадров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Бизнес-подразделения (кредитные отделы, ЦОД)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 остановить выдачу кредитов, скорость работы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Осторожный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Уведомления о работах, режим наблюдения, возврат из пилота за 1 день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Подрядчик ООО «Интегратор-Альфа»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Объём работ, оплата по этапам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План работ по этапам, акты, еженедельная координация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Внешние подрядчики (аутсорс ИТ)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Сохранить привычный доступ к серверам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Обучение, тестовый доступ на пилоте, договорные санкции, поддержка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Регулятор (Роскомнадзор, Банк России)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Соблюдение требований к защите ПДн и деятельности МФО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Готовность документов, отчётность по приёмке, аудит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Внутренний аудит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Доказательства реализации мер, журналы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Предоставление отчётов PAM и актов приёмки</w:t>
            </w:r>
          </w:p>
        </w:tc>
      </w:tr>
    </w:tbl>
    <w:p/>
    <w:p>
      <w:pPr>
        <w:pStyle w:val="Heading2"/>
      </w:pPr>
      <w:r>
        <w:t>3.1. План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информирует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Периодичность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месяц + по факту отклонений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Слайд-отчёт (1 стр., RAG) и 30-мин совещание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Статус по срокам/бюджету, риски, решения, требующие спонсора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ИТ-администрация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проекта, ведущий ИБ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Еженедельно; ежедневно в окно развёртывания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Рабочая встреча 30 мин + оперативный чат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Окна работ, конфигурации, откаты, замечания по политикам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ИБ-подразделение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раза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Совещание рабочей группы, протокол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Прогресс работ, перегрузки, синхронизация правил и регламентов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Подрядчик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План-факт по этапам, акты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Этапность работ, замечания, приёмка этапов</w:t>
            </w:r>
          </w:p>
        </w:tc>
      </w:tr>
    </w:tbl>
    <w:p/>
    <w:p>
      <w:r>
        <w:br w:type="page"/>
      </w:r>
    </w:p>
    <w:p>
      <w:pPr>
        <w:pStyle w:val="Heading1"/>
      </w:pPr>
      <w:r>
        <w:t>4. Задание 3. WBS, календарный план и вехи</w:t>
      </w:r>
    </w:p>
    <w:p>
      <w:r>
        <w:t>Структура: 5 фаз жизненного цикла, детализация «сверху вниз», 21 работа и 7 вех. Типовой состав фазы — 3–5 работ; отдельной работой инициации вынесено обоснование сметы и валютная политика.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Работ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Вех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4.1. Календарный план (структура проекта)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Предшественники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Устав утверждён спонсором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1.5, 1.4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Анализ угроз и сценариев по MITRE ATT&amp;CK (T1078, T1021, T1110)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01.12.2026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Соколов А.И.[50%], Ермакова О.В.[30%]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2.6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2.5, 2.4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15.01.2027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2.6ОН+5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18.01.2027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08.02.2027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Закупка серверов и СХД контура PAM[1 836 450,00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31.03.2027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3.7ОН+10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Лицензии PAM (нодная подписка)[120 нода]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Даирова Н.К.[50%], Лицензии PAM (нодная подписка)[40 нода], Аренда оборудования контура PAM[815 000,00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Регламенты: запрос доступа, аварийный доступ, 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31.03.2027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Обучение администраторов и владельцев доступа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4.2, 4.3, 4.4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11.06.2027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28.06.2027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5.4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</w:tbl>
    <w:p/>
    <w:p>
      <w:r>
        <w:t>Вехи плана: 1.2 «Устав утверждён спонсором» — 12.10.2026 17:00; 1.6 «Инициация завершена» — 26.10.2026 17:00; 2.6 «Завершение обследования» — 14.12.2026 17:00; 3.4 «Запуск пилота» — 17.02.2027 17:00; 3.7 «Приёмка пилота» — 30.03.2027 17:00; 4.5 «Ввод в эксплуатацию» — 02.06.2027 17:00; 5.4 «Проект закрыт» — 05.07.2027 17:00.</w:t>
      </w:r>
    </w:p>
    <w:p>
      <w:pPr>
        <w:jc w:val="center"/>
      </w:pPr>
      <w:r>
        <w:rPr>
          <w:i/>
          <w:color w:val="808080"/>
        </w:rPr>
        <w:t>[ Вставьте скриншот v12_01: Диаграмма Ганта: фазы, задачи и вехи проекта ]</w:t>
      </w:r>
    </w:p>
    <w:p>
      <w:pPr>
        <w:jc w:val="center"/>
      </w:pPr>
      <w:r>
        <w:t>Рисунок — Диаграмма Ганта: фазы, задачи и вехи проекта</w:t>
      </w:r>
    </w:p>
    <w:p>
      <w:r>
        <w:t>Критический путь и резерв задач приведены в разделе 9.1; назначения ресурсов и затраты — в разделах 4.2 и 9.2.</w:t>
      </w:r>
    </w:p>
    <w:p>
      <w:pPr>
        <w:pStyle w:val="Heading2"/>
      </w:pPr>
      <w:r>
        <w:t>4.2. Назначения 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Анализ угроз и сценариев по MITRE ATT&amp;CK (T1078, T1021, T1110)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Соколов А.И.[50%], Ермакова О.В.[30%]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Закупка серверов и СХД контура PAM[1 836 450,00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Лицензии PAM (нодная подписка)[120 нода]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Даирова Н.К.[50%], Лицензии PAM (нодная подписка)[40 нода], Аренда оборудования контура PAM[815 000,00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Регламенты: запрос доступа, аварийный доступ, реагирование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Обучение администраторов и владельцев доступа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</w:tbl>
    <w:p/>
    <w:p>
      <w:r>
        <w:br w:type="page"/>
      </w:r>
    </w:p>
    <w:p>
      <w:pPr>
        <w:pStyle w:val="Heading1"/>
      </w:pPr>
      <w:r>
        <w:t>5. Задание 4. План пилота</w:t>
      </w:r>
    </w:p>
    <w:p>
      <w:pPr>
        <w:pStyle w:val="Heading2"/>
      </w:pPr>
      <w:r>
        <w:t>5.1. Что проверяем</w:t>
      </w:r>
    </w:p>
    <w:p>
      <w:r>
        <w:t>Контур: 30 привилегированных учётных записей серверов головного офиса: 2 доменных контроллера, 4 сервера 1С, СУБД, файловый сервер, веб-шлюз, шлюз удалённого доступа + учётные записи 6 администраторов и 2 подрядчиков.</w:t>
      </w:r>
    </w:p>
    <w:p>
      <w:r>
        <w:t>Почему этот контур: На этом контуре сосредоточены ПДн клиентов (1С, БД) и максимальная частота внешних подключений подрядчиков — риск, ради которого проект и запущен после инцидента.</w:t>
      </w:r>
    </w:p>
    <w:p>
      <w:r>
        <w:t>Продолжительность: 20 рабочих дней (4 недели) после вехи «Запуск пилота» + 8 рабочих дней тестирование и устранение замечаний.</w:t>
      </w:r>
    </w:p>
    <w:p>
      <w:pPr>
        <w:pStyle w:val="Heading2"/>
      </w:pPr>
      <w:r>
        <w:t>5.2. Ожидаемые результаты</w:t>
      </w:r>
    </w:p>
    <w:p>
      <w:pPr>
        <w:pStyle w:val="ListBullet"/>
      </w:pPr>
      <w:r>
        <w:t>Ролевая модель и политики доступа применены к 30 учётным записям</w:t>
      </w:r>
    </w:p>
    <w:p>
      <w:pPr>
        <w:pStyle w:val="ListBullet"/>
      </w:pPr>
      <w:r>
        <w:t>Брокеринг сессий, запись и ретенция записей ≥ 90 дней проверены</w:t>
      </w:r>
    </w:p>
    <w:p>
      <w:pPr>
        <w:pStyle w:val="ListBullet"/>
      </w:pPr>
      <w:r>
        <w:t>Аварийный доступ (break-glass) проверен на двух сценариях с двойным согласованием</w:t>
      </w:r>
    </w:p>
    <w:p>
      <w:pPr>
        <w:pStyle w:val="ListBullet"/>
      </w:pPr>
      <w:r>
        <w:t>Журналы выдачи доступа экспортируются для аудита</w:t>
      </w:r>
    </w:p>
    <w:p>
      <w:pPr>
        <w:pStyle w:val="Heading2"/>
      </w:pPr>
      <w:r>
        <w:t>5.3. Критерии приёмки</w:t>
      </w:r>
    </w:p>
    <w:p>
      <w:pPr>
        <w:pStyle w:val="ListBullet"/>
      </w:pPr>
      <w:r>
        <w:t>Доля сессий через PAM ≥ 95 % (не менее 28,5 из 30 учётных записей)</w:t>
      </w:r>
    </w:p>
    <w:p>
      <w:pPr>
        <w:pStyle w:val="ListBullet"/>
      </w:pPr>
      <w:r>
        <w:t>Время выдачи доступа ≤ 15 мин (замер по 20 запросам), аварийного — ≤ 5 мин</w:t>
      </w:r>
    </w:p>
    <w:p>
      <w:pPr>
        <w:pStyle w:val="ListBullet"/>
      </w:pPr>
      <w:r>
        <w:t>Запись сессий — 100 %, ретенция ≥ 90 дней, целостность журнала подтверждена</w:t>
      </w:r>
    </w:p>
    <w:p>
      <w:pPr>
        <w:pStyle w:val="ListBullet"/>
      </w:pPr>
      <w:r>
        <w:t>Ложные отказы в выдаче доступа ≤ 5 % запросов</w:t>
      </w:r>
    </w:p>
    <w:p>
      <w:pPr>
        <w:pStyle w:val="ListBullet"/>
      </w:pPr>
      <w:r>
        <w:t>Простои критичных сервисов, вызванные PAM, = 0 (наблюдение 10 раб. дней)</w:t>
      </w:r>
    </w:p>
    <w:p>
      <w:pPr>
        <w:pStyle w:val="Heading2"/>
      </w:pPr>
      <w:r>
        <w:t>5.4. Решение по результатам пилота</w:t>
      </w:r>
    </w:p>
    <w:p>
      <w:r>
        <w:t>«Масштабируем» — выполнены все 5 критериев и нет замечаний уровня «критично». «Стоп и доработка» — не выполнены ≥ 2 критериев или есть критический отказ (например, выдача доступа &gt; 30 мин): возврат на этап проектирования, доработка политик, повторный пилот 10 раб. дней с расширенным контуром.</w:t>
      </w:r>
    </w:p>
    <w:p>
      <w:r>
        <w:br w:type="page"/>
      </w:r>
    </w:p>
    <w:p>
      <w:pPr>
        <w:pStyle w:val="Heading1"/>
      </w:pPr>
      <w:r>
        <w:t>6. Задание 5. Управление рисками</w:t>
      </w:r>
    </w:p>
    <w:p>
      <w:r>
        <w:t>В реестре 11 рисков. Оценка: вероятность (В) и влияние (Вл) — шкала 1–5, ожидаемое значение = В × Вл (1–25); реагирование — избегание, снижение, передача или принятие; владелец отвечает за меру. Контроль — на недельных встречах проектной группы.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Сопротивление администраторов: PAM воспринимается как контроль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Вовлечение с этапа обследования, совместная проработка политик, обучение, показ выгоды (авто-выдача доступа)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Простой критичных сервисов из-за брокеринга и двойной аутентификации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Поэтапное внедрение, режим наблюдения, план отката на этапе, регламент остановки работ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Подрядчики отказываются работать через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Договорные санкции, тестовый доступ на пилоте, техподдержка, обучение подрядчиков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Неполная инвентаризация: выявление «серых» учётных записей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Автоматизированное сканирование домена и БД, закрепление владельцев УЗ, ответственность по регламенту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Срыв сроков поставки и активации лицензий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Ранний заказ по утверждённому ТЗ, договор с неустойкой, резерв бюджета 4 %, запаздывание 10 раб. дней в плане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Несоответствие требованиям регулятора (152-ФЗ,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Юрист включён с этапа обследования, предварительная оценка мер, первичный аудит до ввода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Перегрузка штатных ИБ-специалистов (4 чел. на проект и текущие задачи)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Привлечение подрядчика, приоритеты задач, выравнивание загрузки в MS Project, запас по срокам этапов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Утечка учётных данных при переносе паролей в хранилище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Поэтапная ротация после переноса, шифрование хранилища, двойной контроль операций, журнал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Конфликт PAM с легаси-системами (устаревшие ОС, 1С, кассовое ПО)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совместимости на обследовании, сегментация, документированные исключения с ручным согласованием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Упущены сроки регуляторных работ из-за параллельного обслуживания ИТ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Контроль ресурсов на недельных встречах, критический путь в MS Project, выравнивание и резерв этапов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Рост курса USD удорожает импортные позиции (лицензии PAM, серверы)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Фиксация курса в договоре или предоплата по курсу на дату заказа, валютный резерв 4 %, пересчёт сметы при отклонении &gt; 5 %, контроль в месячном статусе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</w:tbl>
    <w:p/>
    <w:p>
      <w:pPr>
        <w:pStyle w:val="Heading2"/>
      </w:pPr>
      <w:r>
        <w:t>6.1. Матрица рисков 5×5 (влияние × вероятность)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 \ Вероятность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6, 8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3, 5, 9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10, 11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1, 7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6.2. Топ-3 риска по ожидаемому значению</w:t>
      </w:r>
    </w:p>
    <w:p>
      <w:pPr>
        <w:pStyle w:val="ListBullet"/>
      </w:pPr>
      <w:r>
        <w:t>№4 «Неполная инвентаризация: выявление «серых» учётных записей» — 16; владелец: Даирова Н.К. (ИБ).</w:t>
      </w:r>
    </w:p>
    <w:p>
      <w:pPr>
        <w:pStyle w:val="ListBullet"/>
      </w:pPr>
      <w:r>
        <w:t>№2 «Простой критичных сервисов из-за брокеринга и двойной аутентификации» — 15; владелец: Гаврилов П.С. (ИТ).</w:t>
      </w:r>
    </w:p>
    <w:p>
      <w:pPr>
        <w:pStyle w:val="ListBullet"/>
      </w:pPr>
      <w:r>
        <w:t>№1 «Сопротивление администраторов: PAM воспринимается как контроль» — 12; владелец: Соколов А.И. (РП).</w:t>
      </w:r>
    </w:p>
    <w:p>
      <w:r>
        <w:br w:type="page"/>
      </w:r>
    </w:p>
    <w:p>
      <w:pPr>
        <w:pStyle w:val="Heading1"/>
      </w:pPr>
      <w:r>
        <w:t>7. Задание 6. Метрики и передача в эксплуатацию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Целевое значение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Способ измерения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привилегированных сессий, выполненных через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PAM по сессиям за месяц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Время выдачи привилегированного доступа (запрос → выдача)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15 мин (аварийный ≤ 5 мин)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Журнал запросов, замер по 20 запросам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учётных записей под управлением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серверных УЗ, 100 % подрядчиков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Сверка инвентаризации с отчётом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ИТ-служба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внешних подключений через брокеринг сессий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(прямой RDP заблокирован)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Журналы межсетевого экрана и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Стоимость проекта (план/факт)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11,5 млн сом, девиация 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Сводка затрат MS Project, акты подрядчика, пересчёт USD по курсу НБКР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Критичные замечания первичного аудита, закрытые в срок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за 10 раб. дней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Акт аудита, чек-лист устранения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</w:tbl>
    <w:p/>
    <w:p>
      <w:pPr>
        <w:pStyle w:val="Heading2"/>
      </w:pPr>
      <w:r>
        <w:t>7.1. Порядок передачи в эксплуатацию</w:t>
      </w:r>
    </w:p>
    <w:p>
      <w:r>
        <w:t>Приёмку проводит комиссия: спонсор (финансовый директор), руководитель ИБ, ИТ-служба, юрист — по регламенту «Приёмка СЗИ в эксплуатацию»: проверка метрик из задания 6, журналов PAM, актов устранения замечаний аудита. Решение оформляется протоколом; эксплуатацию принимает ИБ-подразделение, SLA поддержки — 1 раб. день (критичные инциденты — 2 часа), ежеквартальный пересмотр политики доступа.</w:t>
      </w:r>
    </w:p>
    <w:p>
      <w:r>
        <w:br w:type="page"/>
      </w:r>
    </w:p>
    <w:p>
      <w:pPr>
        <w:pStyle w:val="Heading1"/>
      </w:pPr>
      <w:r>
        <w:t>8. Задание 7. Оценка соответствия официальным документам</w:t>
      </w:r>
    </w:p>
    <w:p>
      <w:r>
        <w:t>Каждое проектное решение опирается на действующий документ; ссылки на утратившие силу акты (приказ ФСТЭК № 17) исключены и приведены только с пометкой об актуализации.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Решение по проекту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Официальный документ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Устав с измеримой целью, границами и критериями приёмки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 (ISO 21500:2021, IDT; взамен ГОСТ Р ИСО 21500-2014, введён с 01.06.2024) — контекст, понятия «проект», «результат», «ограничения»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WBS: 5 этапов × 3–5 работ, вехи, календарный план, критический путь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21500-2023; МУ по УП.docx (лаб. работы №2, №9: структура задач, вехи, критический путь в MS Project)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Контроль привилегированного доступа как мера защиты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A.8.2 «Привилегированный доступ» (в РФ — ГОСТ Р ИСО/МЭК 27001, СМИБ)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Журналирование сессий и мониторинг событий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A.8.15 «Журналирование», A.8.16 «Мониторинг», A.5.7 «Разведка угроз»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Уровень защищённости и меры по защите ПДн оператором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152-ФЗ (ст. 19); приказ ФСТЭК России от 18.02.2013 № 21 (состав и содержание мер, 4 уровня защищённости; действует)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Базовый состав мер защиты информации финансовой организации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57580.1-2017 (введён с 01.01.2018) — уровни защиты информации финансовых организаций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Применимость требований КИИ (проверено и исключено)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187-ФЗ «О безопасности КИИ»; приказ ФСТЭК России от 25.12.2017 № 239 — применяется к значимым объектам КИИ; организация в реестр субъектов КИИ не включена (допущение проекта)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Ссылка методички на приказ ФСТЭК № 17 — актуализирована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Приказ ФСТЭК России от 11.02.2013 № 17 утратил силу с 01.03.2026 (приказ ФСТЭК от 11.04.2025 № 117); к МФО не применялся, актуален приказ № 21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Сценарии атак для обоснования объёма работ (внешний доступ, учётные записи, брутфорс)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MITRE ATT&amp;CK Enterprise: T1078 «Valid Accounts», T1021 «Remote Services», T1110 «Brute Force»; выбор защитных техник — MITRE D3FEND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Метрики обнаружения и реагирования, процесс реагирования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NIST SP 800-61r3 (апрель 2025, заменил SP 800-61r2); ISO/IEC 27001:2022 A.8.16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Оформление отчёта и порядок защиты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Методические указания «Планирование проекта внедрения СЗИ» (разделы 6–7): состав отчёта и критерии 100 баллов</w:t>
            </w:r>
          </w:p>
        </w:tc>
      </w:tr>
    </w:tbl>
    <w:p/>
    <w:p>
      <w:r>
        <w:br w:type="page"/>
      </w:r>
    </w:p>
    <w:p>
      <w:pPr>
        <w:pStyle w:val="Heading1"/>
      </w:pPr>
      <w:r>
        <w:t>9. Расчётная часть</w:t>
      </w:r>
    </w:p>
    <w:p>
      <w:pPr>
        <w:pStyle w:val="Heading2"/>
      </w:pPr>
      <w:r>
        <w:t>9.1. Сроки и критический путь</w:t>
      </w:r>
    </w:p>
    <w:p>
      <w:r>
        <w:t>Расчётное окончание — 05.07.2027 17:00; работ — 21, вех — 7, критических задач — 22. Длительности считаются PERT (1-4-1) в рабочих днях, календарь — пятидневка 8 ч с исключениями календаря.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Критическая задача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01.12.2026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15.01.2027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18.01.2027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08.02.2027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19.03.2027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25.06.2027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28.06.2027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</w:tr>
    </w:tbl>
    <w:p/>
    <w:p>
      <w:r>
        <w:t>Крайние сроки вех: 4.5 «Ввод в эксплуатацию» — план 02.06.2027, крайний срок 05.07.2027, запас 22 раб. дн; 5.4 «Проект закрыт» — план 05.07.2027, крайний срок 05.07.2027, запас 0 раб. дн.</w:t>
      </w:r>
    </w:p>
    <w:p>
      <w:pPr>
        <w:jc w:val="center"/>
      </w:pPr>
      <w:r>
        <w:rPr>
          <w:i/>
          <w:color w:val="808080"/>
        </w:rPr>
        <w:t>[ Вставьте скриншот v12_02: Критический путь (Формат → Критические задачи) ]</w:t>
      </w:r>
    </w:p>
    <w:p>
      <w:pPr>
        <w:jc w:val="center"/>
      </w:pPr>
      <w:r>
        <w:t>Рисунок — Критический путь (Формат → Критические задачи)</w:t>
      </w:r>
    </w:p>
    <w:p>
      <w:pPr>
        <w:pStyle w:val="Heading2"/>
      </w:pPr>
      <w:r>
        <w:t>9.2. Смета: базовая валюта и импортные позиции</w:t>
      </w:r>
    </w:p>
    <w:p>
      <w:r>
        <w:t>Смета ведётся в базовой валюте — сом. Импортные позиции закупаются в USD и пересчитываются по формуле: сом = USD × 87,45. Курс получен онлайн из XML НБКР (nbkr.kg/XML/daily.xml) на 15.10.2026 (источник: nbkr); фоллбэк — курсы ЦБ РФ. Бюджет методички: 12 000 000 ₽ × 1,0438 = 12 525 600,00 сом.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Трудовые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Материалы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Затратные рес.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Фикс. затраты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 Обследование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1 079 200,00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1 079 200,00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 Проектирование и пилот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1 736 200,00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1 836 450,00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500 000,00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4 072 650,00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 Внедрение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1 478 800,00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2 238 720,00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815 000,00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4 627 520,00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 Эксплуатация и передача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474 800,00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365 000,00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839 800,00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11 083 370,00 сом</w:t>
            </w:r>
          </w:p>
        </w:tc>
      </w:tr>
    </w:tbl>
    <w:p/>
    <w:p>
      <w:r>
        <w:t>Таблица норм затрат B (ставки подрядчика и внешних специалистов выше) — 11 549 570,00 сом, разница 466 200,00 сом. Распределение по кодам работ: ВНЕДР (Внедрение) — 4 627 520,00 сом, 41.8 %; ПРОЕК (Проектирование и пилот) — 4 072 650,00 сом, 36.7 %; ОБСЛ (Обследование) — 1 079 200,00 сом, 9.7 %; ЭКСП (Эксплуатация) — 839 800,00 сом, 7.6 %; ИНИЦ (Инициация) — 464 200,00 сом, 4.2 %.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Валюта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 за единицу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Курс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 в сомах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Лицензии PAM (нодная подписка)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160 нода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25 600,00 $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2 238 720,00 сом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Закупка серверов и СХД контура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21 000,00 $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21 000,00 $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1 836 450,00 сом</w:t>
            </w:r>
          </w:p>
        </w:tc>
      </w:tr>
    </w:tbl>
    <w:p/>
    <w:p>
      <w:r>
        <w:t>Доля импортных позиций в смете — 4 075 170,00 сом (36.8 % от плановой стоимости); оплата — в USD по курсу на дату заказа, отклонение курса &gt; 5 % — пересчёт сметы (см. риск в разделе 6).</w:t>
      </w:r>
    </w:p>
    <w:p>
      <w:pPr>
        <w:pStyle w:val="Heading3"/>
      </w:pPr>
      <w:r>
        <w:t>9.2.1. Обоснование цен (позиция → цена → источник → рынок)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Единица / объём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Обоснование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Диапазон рынка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Ставки труда (7 ресурсов)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1150–3150 сом/ч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рыночные ставки РФ-2026 (1100–3000 ₽/ч) × курс 1,0438 (НБКР, 15.10.2026)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1100–3000 ₽/ч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PAM (нодная подписка, 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160 $/нода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нода × 160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вендора коробочного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коробочный PAM — 2–4 млн ₽; тендер 8,19 млн ₽ на более крупный контур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Серверы и СХД контура PAM (импорт)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21 000 $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комплект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коммерческое предложение интегратора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1,7–1,9 млн ₽ за комплект контура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Аренда оборудования контура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815 000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договор аренды ЦОД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0,7–0,9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Внешняя оценка соответствия (аудит)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365 000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предложение аудитора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ИБ — 0,3–0,8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Обучение администраторов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учебного центра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80–120 тыс ₽ за группу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Пересчёт валюты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USD = 87,45 сома, 1 ₽ = 1,0438 сома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онлайн-источник НБКР (daily.xml) на 15.10.2026, фоллбэк — ЦБ РФ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USD/KGS за месяц ±2 %, ₽/KGS ±3 %</w:t>
            </w:r>
          </w:p>
        </w:tc>
      </w:tr>
    </w:tbl>
    <w:p/>
    <w:p>
      <w:r>
        <w:t>Валютный резерв (4 %) и порядок фиксации курса в договоре — в реестре рисков (раздел 6) и в задаче «Обоснование сметы и валютная политика проекта» (раздел 4).</w:t>
      </w:r>
    </w:p>
    <w:p>
      <w:pPr>
        <w:jc w:val="center"/>
      </w:pPr>
      <w:r>
        <w:rPr>
          <w:i/>
          <w:color w:val="808080"/>
        </w:rPr>
        <w:t>[ Вставьте скриншот v12_03: Таблица «Затраты» в MS Project ]</w:t>
      </w:r>
    </w:p>
    <w:p>
      <w:pPr>
        <w:jc w:val="center"/>
      </w:pPr>
      <w:r>
        <w:t>Рисунок — Таблица «Затраты» в MS Project</w:t>
      </w:r>
    </w:p>
    <w:p>
      <w:pPr>
        <w:pStyle w:val="Heading2"/>
      </w:pPr>
      <w:r>
        <w:t>9.3. Перегрузки ресурсов и выравнивание</w:t>
      </w:r>
    </w:p>
    <w:p>
      <w:r>
        <w:t>Превышение доступности рассчитано по дням (назначенные часы vs доступные с учётом таблицы доступности):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Дней с превышением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Задачи-конфликты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Соколов А.И.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1.1, 1.3, 1.4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05.10–12.10: 8 ч из 4; 13.10–16.10: 12 ч из 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Даирова Н.К.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17.11–26.11: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Токтосунов И.М.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17.11–26.11: 12 ч из 8</w:t>
            </w:r>
          </w:p>
        </w:tc>
      </w:tr>
    </w:tbl>
    <w:p/>
    <w:p>
      <w:r>
        <w:t>Способы устранения: выравнивание в MS Project (Ресурс → Параметры выравнивания, «день за днём») с ограничением «только в пределах резерва», перенос задач с резервом, распределение нагрузки на подрядчика и сверхурочные в дни пика. Выравнивание может сдвинуть окончание — сверяется с дедлайнами вех (раздел 9.1).</w:t>
      </w:r>
    </w:p>
    <w:p>
      <w:pPr>
        <w:jc w:val="center"/>
      </w:pPr>
      <w:r>
        <w:rPr>
          <w:i/>
          <w:color w:val="808080"/>
        </w:rPr>
        <w:t>[ Вставьте скриншот v12_04: Лист ресурсов: ресурсы с превышением доступности ]</w:t>
      </w:r>
    </w:p>
    <w:p>
      <w:pPr>
        <w:jc w:val="center"/>
      </w:pPr>
      <w:r>
        <w:t>Рисунок — Лист ресурсов: ресурсы с превышением доступности</w:t>
      </w:r>
    </w:p>
    <w:p>
      <w:pPr>
        <w:jc w:val="center"/>
      </w:pPr>
      <w:r>
        <w:rPr>
          <w:i/>
          <w:color w:val="808080"/>
        </w:rPr>
        <w:t>[ Вставьте скриншот v12_05: Использование ресурсов: профиль загрузки ]</w:t>
      </w:r>
    </w:p>
    <w:p>
      <w:pPr>
        <w:jc w:val="center"/>
      </w:pPr>
      <w:r>
        <w:t>Рисунок — Использование ресурсов: профиль загрузки</w:t>
      </w:r>
    </w:p>
    <w:p>
      <w:r>
        <w:br w:type="page"/>
      </w:r>
    </w:p>
    <w:p>
      <w:pPr>
        <w:pStyle w:val="Heading1"/>
      </w:pPr>
      <w:r>
        <w:t>10. Выводы</w:t>
      </w:r>
    </w:p>
    <w:p>
      <w:r>
        <w:t>План: окончание 05.07.2027, стоимость по таблице A — 11 083 370,00 сом при бюджете 12 525 600,00 сом (резерв 11.5 %); таблица B — 11 549 570,00 сом. Импортные позиции оплачиваются в USD по курсу 87,45 сом/USD от 15.10.2026 (nbkr); риск курса включён в реестр рисков.</w:t>
      </w:r>
    </w:p>
    <w:p>
      <w:pPr>
        <w:pStyle w:val="ListBullet"/>
      </w:pPr>
      <w:r>
        <w:t>Самым сложным для планирования оказалась оценка работ с внешними зависимостями: поставка и активация лицензий PAM дают запаздывание 10 раб. дней, поэтому в план заложено окно после приёмки пилота, а не «сжатие» фазы.</w:t>
      </w:r>
    </w:p>
    <w:p>
      <w:pPr>
        <w:pStyle w:val="ListBullet"/>
      </w:pPr>
      <w:r>
        <w:t>Вторая сложность — ресурсная: 4 специалиста ИБ закрыли бы план только при перегрузке, поэтому часть аналитики вынесена подрядчику; перегрузки выявлены расчётом и показаны в разделе «Расчётная часть» (PM, ведущий ИБ, аналитик).</w:t>
      </w:r>
    </w:p>
    <w:p>
      <w:pPr>
        <w:pStyle w:val="ListBullet"/>
      </w:pPr>
      <w:r>
        <w:t>Третья сложность — измеримость результата: проект снижает риск, а не создаёт продукт, поэтому критерии приёмки сформулированы как доли охвата и время выдачи доступа, а метрики привязаны к отчётам самой PAM.</w:t>
      </w:r>
    </w:p>
    <w:p>
      <w:pPr>
        <w:pStyle w:val="ListBullet"/>
      </w:pPr>
      <w:r>
        <w:t>Регуляторная часть требует актуализации: методичка ссылается на приказ ФСТЭК № 17, который с 01.03.2026 утратил силу; для МФО базовый документ — приказ № 21 и ГОСТ Р 57580.1-2017.</w:t>
      </w:r>
    </w:p>
    <w:p>
      <w:r>
        <w:br w:type="page"/>
      </w:r>
    </w:p>
    <w:p>
      <w:pPr>
        <w:pStyle w:val="Heading1"/>
      </w:pPr>
      <w:r>
        <w:t>11. Список источников</w:t>
      </w:r>
    </w:p>
    <w:p>
      <w:pPr>
        <w:pStyle w:val="ListBullet"/>
      </w:pPr>
      <w:r>
        <w:t>1. ГОСТ Р ИСО 21500-2023. Управление проектами, программы и портфели проектов. Контекст организации. — М.: Стандартинформ, 2023. — Введён с 01.06.2024 (приказ Росстандарта от 30.10.2023 № 1293-ст; идентичен ISO 21500:2021).</w:t>
      </w:r>
    </w:p>
    <w:p>
      <w:pPr>
        <w:pStyle w:val="ListBullet"/>
      </w:pPr>
      <w:r>
        <w:t>2. ГОСТ Р 7.0.100-2018. Библиографическая запись. Библиографическое описание. Общие требования и правила составления. — М.: Стандартинформ, 2018. — Введён с 01.07.2019 (приказ Росстандарта от 03.12.2018 № 1050-ст).</w:t>
      </w:r>
    </w:p>
    <w:p>
      <w:pPr>
        <w:pStyle w:val="ListBullet"/>
      </w:pPr>
      <w:r>
        <w:t>3. ГОСТ Р 57580.1-2017. Безопасность финансовых (банковских) операций. Меры защиты информации. Часть 1. Общие меры защиты информации. — М.: Стандартинформ, 2017. — Введён с 01.01.2018.</w:t>
      </w:r>
    </w:p>
    <w:p>
      <w:pPr>
        <w:pStyle w:val="ListBullet"/>
      </w:pPr>
      <w:r>
        <w:t>4. О персиональных данных : федеральный закон от 27.07.2006 № 152-ФЗ (в ред. действующих редакций). — URL: http://publication.pravo.gov.ru (дата обращения: 14.10.2026).</w:t>
      </w:r>
    </w:p>
    <w:p>
      <w:pPr>
        <w:pStyle w:val="ListBullet"/>
      </w:pPr>
      <w:r>
        <w:t>5. Об утверждении состава и содержания организационных и технических мер по защите персональных данных при их обработке в персональных данных системах : приказ ФСТЭК России от 18.02.2013 № 21. — Действует.</w:t>
      </w:r>
    </w:p>
    <w:p>
      <w:pPr>
        <w:pStyle w:val="ListBullet"/>
      </w:pPr>
      <w:r>
        <w:t>6. ISO/IEC 27001:2022. Information security, cybersecurity and privacy protection — Information security management systems — Requirements. — Geneva: ISO/IEC, 2022 (приложение A, пп. A.5.7, A.5.8, A.8.2, A.8.12, A.8.15, A.8.16).</w:t>
      </w:r>
    </w:p>
    <w:p>
      <w:pPr>
        <w:pStyle w:val="ListBullet"/>
      </w:pPr>
      <w:r>
        <w:t>7. Computer Security Incident Handling Guide : NIST Special Publication 800-61 Revision 3. — Gaithersburg: NIST, 2025 (апрель).</w:t>
      </w:r>
    </w:p>
    <w:p>
      <w:pPr>
        <w:pStyle w:val="ListBullet"/>
      </w:pPr>
      <w:r>
        <w:t>8. MITRE ATT&amp;CK Enterprise. — The MITRE Corporation. — URL: https://attack.mitre.org (дата обращения: 14.10.2026).</w:t>
      </w:r>
    </w:p>
    <w:p>
      <w:pPr>
        <w:pStyle w:val="ListBullet"/>
      </w:pPr>
      <w:r>
        <w:t>9. Методические указания «Планирование проекта внедрения систем защиты информации» : по дисциплине «Управление проектами в информационной безопасности» (магистратура). — Локальный документ вуза, 2026.</w:t>
      </w:r>
    </w:p>
    <w:p>
      <w:pPr>
        <w:pStyle w:val="ListBullet"/>
      </w:pPr>
      <w:r>
        <w:t>10. Курсы валют Национального банка Кыргызской Республики (XML daily). — URL: https://www.nbkr.kg/XML/daily.xml (дата обращения: 15.10.2026).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