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PAM»</w:t>
        <w:br/>
        <w:t>Вариант 12 — Подрядчики подключаются к серверам извне</w:t>
        <w:br/>
        <w:br/>
      </w:r>
      <w:r>
        <w:t>Выполнил(а): Студент №12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— PAM (Подрядчики подключаются к серверам извне)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системы привилегированного доступа (PAM) в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05.07.2027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21, вех — 7, ресурсов — 11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привилегированных учётных записей — отдельная работа этапа «Обследование» (методичка, задание 3, специфика PAM)</w:t>
      </w:r>
    </w:p>
    <w:p>
      <w:pPr>
        <w:pStyle w:val="ListBullet"/>
      </w:pPr>
      <w:r>
        <w:t>Отказоустойчивость: два узла PAM, раздельное резервное копирование хранилища, проверка восстановления на пилоте</w:t>
      </w:r>
    </w:p>
    <w:p>
      <w:pPr>
        <w:pStyle w:val="ListBullet"/>
      </w:pPr>
      <w:r>
        <w:t>Аварийный доступ (break-glass) с двойным согласованием и оповещением дежурного ИБ</w:t>
      </w:r>
    </w:p>
    <w:p>
      <w:pPr>
        <w:pStyle w:val="ListBullet"/>
      </w:pPr>
      <w:r>
        <w:t>Внешние подрядчики подключаются только через брокеринг сессий; прямые RDP/SSH блокируются межсетевым экраном</w:t>
      </w:r>
    </w:p>
    <w:p>
      <w:pPr>
        <w:pStyle w:val="ListBullet"/>
      </w:pPr>
      <w:r>
        <w:t>Ретенция записей сессий ≥ 90 дней для расследований (журналирование — ISO/IEC 27001:2022 A.8.15)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перевести 100 % привилегированных учётных записей 120 серверов и 15 администраторов/подрядчиков на управление через PAM: доля сессий под записью и контролем ≥ 95 %, время выдачи доступа ≤ 15 минут, внешние подрядчики — только через брокеринг сессий.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Головной офис и 3 филиала: 120 серверов (Windows Server, Linux, СУБД), 15 администраторов и подрядчиков</w:t>
      </w:r>
    </w:p>
    <w:p>
      <w:pPr>
        <w:pStyle w:val="ListBullet"/>
      </w:pPr>
      <w:r>
        <w:t>Брокеринг доступа, управление и запись сессий, ротация паролей под контролем PAM</w:t>
      </w:r>
    </w:p>
    <w:p>
      <w:pPr>
        <w:pStyle w:val="ListBullet"/>
      </w:pPr>
      <w:r>
        <w:t>Процессы: запрос → согласование → выдача → отзыв, включая аварийный доступ (break-glass)</w:t>
      </w:r>
    </w:p>
    <w:p>
      <w:pPr>
        <w:pStyle w:val="ListBullet"/>
      </w:pPr>
      <w:r>
        <w:t>Обучение администраторов и владельцев доступа, регламенты эксплуатации</w:t>
      </w:r>
    </w:p>
    <w:p>
      <w:pPr>
        <w:pStyle w:val="ListBullet"/>
      </w:pPr>
      <w:r>
        <w:t>Первичный аудит соответствия требованиям и передача в эксплуатацию</w:t>
      </w:r>
    </w:p>
    <w:p>
      <w:r>
        <w:t>В границы не входит:</w:t>
      </w:r>
    </w:p>
    <w:p>
      <w:pPr>
        <w:pStyle w:val="ListBullet"/>
      </w:pPr>
      <w:r>
        <w:t>Замена системы бэкапа, обновления ПО и управления конфигурациями</w:t>
      </w:r>
    </w:p>
    <w:p>
      <w:pPr>
        <w:pStyle w:val="ListBullet"/>
      </w:pPr>
      <w:r>
        <w:t>Массовая ротация паролей вне PAM-контура (выполняет ИТ-служба до этапа «Внедрение»)</w:t>
      </w:r>
    </w:p>
    <w:p>
      <w:pPr>
        <w:pStyle w:val="ListBullet"/>
      </w:pPr>
      <w:r>
        <w:t>Внедрение SIEM и DLP (реализуется отдельным проектом), физическая защита ЦОД</w:t>
      </w:r>
    </w:p>
    <w:p>
      <w:pPr>
        <w:pStyle w:val="ListBullet"/>
      </w:pPr>
      <w:r>
        <w:t>Изменение бизнес-процессов кредитования и работы с клиентами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11,08 млн сом (таблица A), резерв 11,5 % (≥ 4 %)</w:t>
      </w:r>
    </w:p>
    <w:p>
      <w:pPr>
        <w:pStyle w:val="ListBullet"/>
      </w:pPr>
      <w:r>
        <w:t>Импортные позиции (лицензии PAM 160 $/нода, серверы и СХД 21 000 $)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эксплуатацию»)</w:t>
      </w:r>
    </w:p>
    <w:p>
      <w:pPr>
        <w:pStyle w:val="ListBullet"/>
      </w:pPr>
      <w:r>
        <w:t>Коробочное решение PAM закупается с годовой лицензией; поставка и активация — до 30 раб. дней (запаздывание на плане — 10 раб. дней после приёмки пилота)</w:t>
      </w:r>
    </w:p>
    <w:p>
      <w:pPr>
        <w:pStyle w:val="ListBullet"/>
      </w:pPr>
      <w:r>
        <w:t>ИБ-подразделение — 4 человека; проектное время закреплено приказом, руководитель проекта занят 50 % первые две недели</w:t>
      </w:r>
    </w:p>
    <w:p>
      <w:pPr>
        <w:pStyle w:val="ListBullet"/>
      </w:pPr>
      <w:r>
        <w:t>Организация — оператор ПДн (600 сотрудников, клиенты) и не включена в реестр субъектов КИИ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и ГОСТ Р 57580.1-2017; приказ ФСТЭК России № 21 (уровень защищённости ПДн); штат ИБ 4 чел.; пилот и развёртывание не должны останавливать кредитные сервисы.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привилегированных сессий выполнены через PAM с записью</w:t>
      </w:r>
    </w:p>
    <w:p>
      <w:pPr>
        <w:pStyle w:val="ListBullet"/>
      </w:pPr>
      <w:r>
        <w:t>Время выдачи доступа ≤ 15 мин, аварийного — ≤ 5 мин с двойным согласованием</w:t>
      </w:r>
    </w:p>
    <w:p>
      <w:pPr>
        <w:pStyle w:val="ListBullet"/>
      </w:pPr>
      <w:r>
        <w:t>100 % внешних подрядчиков подключаются через брокеринг, прямой RDP заблокирован</w:t>
      </w:r>
    </w:p>
    <w:p>
      <w:pPr>
        <w:pStyle w:val="ListBullet"/>
      </w:pPr>
      <w:r>
        <w:t>Фактическое окончание ≤ 05.07.2027; стоимость ≤ 11,5 млн сом (девиация ≤ 5 % от плана 11,08 млн)</w:t>
      </w:r>
    </w:p>
    <w:p>
      <w:pPr>
        <w:pStyle w:val="ListBullet"/>
      </w:pPr>
      <w:r>
        <w:t>Замечания первичного аудита уровня «критично» и «высокий» закрыты за 10 раб. дней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Финансовый директор МФО «Вектор-Финанс» — спонсор: утверждает устав, бюджет, приёмку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(финансовый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Снижение риска повторения утечки, укладывание в бюджет 12 млн ₽ (12 525 600 сом)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1 стр., эскалация решений по бюджету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процессы, обучение, нагрузка на проект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Вовлечение с этапа обследования, чек-листы задач, обучение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Простои и удобство, двойная аутентификация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Демо на пилоте, обратная связь по политикам, техподдержка в окно развёртывания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Соответствие 152-ФЗ, ГОСТ Р 57580.1, договоры с подрядчиками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регламентов и договорных санкций,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Регламенты доступа при приёме/увольнении, обучение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Совместная проработка процедур, обучение кадров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Бизнес-подразделения (кредитные отделы, ЦОД)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остановить выдачу кредитов, скорость работы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Уведомления о работах, режим наблюдения, возврат из пилота за 1 день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работ, оплата по этапам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План работ по этапам, акты,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Внешние подрядчики (аутсорс ИТ)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Сохранить привычный доступ к серверам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Обучение, тестовый доступ на пилоте, договорные санкции, поддержка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Соблюдение требований к защите ПДн и деятельности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Готовность документов, отчётность по приёмке,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Доказательства реализации мер, журналы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Предоставление отчётов PAM и актов приёмки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по факту отклонений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(1 стр., 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Статус по срокам/бюджету, риски, решения, требующие спонсора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проекта, 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развёртывания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конфигурации, откаты, замечания по политикам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Прогресс работ, перегрузки, синхронизация правил и регламентов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 по этапам, акты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Этапность работ, замечания, приёмка этапов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21 работа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14.12.2026 17:00; 3.4 «Запуск пилота» — 17.02.2027 17:00; 3.7 «Приёмка пилота» — 30.03.2027 17:00; 4.5 «Ввод в эксплуатацию» — 02.06.2027 17:00; 5.4 «Проект закрыт» — 05.07.2027 17:00.</w:t>
      </w:r>
    </w:p>
    <w:p>
      <w:pPr>
        <w:jc w:val="center"/>
      </w:pPr>
      <w:r>
        <w:rPr>
          <w:i/>
          <w:color w:val="808080"/>
        </w:rPr>
        <w:t>[ Вставьте скриншот v12_01: Диаграмма Ганта: фазы, задачи и вехи проекта ]</w:t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30 привилегированных учётных записей серверов головного офиса: 2 доменных контроллера, 4 сервера 1С, СУБД, файловый сервер, веб-шлюз, шлюз удалённого доступа + учётные записи 6 администраторов и 2 подрядчиков.</w:t>
      </w:r>
    </w:p>
    <w:p>
      <w:r>
        <w:t>Почему этот контур: На этом контуре сосредоточены ПДн клиентов (1С, БД) и максимальная частота внешних подключений подрядчиков — риск, ради которого проект и запущен после инцидента.</w:t>
      </w:r>
    </w:p>
    <w:p>
      <w:r>
        <w:t>Продолжительность: 20 рабочих дней (4 недели) после вехи «Запуск пилота» + 8 рабочих дней тестирование и устранение замечаний.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Ролевая модель и политики доступа применены к 30 учётным записям</w:t>
      </w:r>
    </w:p>
    <w:p>
      <w:pPr>
        <w:pStyle w:val="ListBullet"/>
      </w:pPr>
      <w:r>
        <w:t>Брокеринг сессий, запись и ретенция записей ≥ 90 дней проверены</w:t>
      </w:r>
    </w:p>
    <w:p>
      <w:pPr>
        <w:pStyle w:val="ListBullet"/>
      </w:pPr>
      <w:r>
        <w:t>Аварийный доступ (break-glass) проверен на двух сценариях с двойным согласованием</w:t>
      </w:r>
    </w:p>
    <w:p>
      <w:pPr>
        <w:pStyle w:val="ListBullet"/>
      </w:pPr>
      <w:r>
        <w:t>Журналы выдачи доступа экспортируются для аудита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Доля сессий через PAM ≥ 95 % (не менее 28,5 из 30 учётных записей)</w:t>
      </w:r>
    </w:p>
    <w:p>
      <w:pPr>
        <w:pStyle w:val="ListBullet"/>
      </w:pPr>
      <w:r>
        <w:t>Время выдачи доступа ≤ 15 мин (замер по 20 запросам), аварийного — ≤ 5 мин</w:t>
      </w:r>
    </w:p>
    <w:p>
      <w:pPr>
        <w:pStyle w:val="ListBullet"/>
      </w:pPr>
      <w:r>
        <w:t>Запись сессий — 100 %, ретенция ≥ 90 дней, целостность журнала подтверждена</w:t>
      </w:r>
    </w:p>
    <w:p>
      <w:pPr>
        <w:pStyle w:val="ListBullet"/>
      </w:pPr>
      <w:r>
        <w:t>Ложные отказы в выдаче доступа ≤ 5 % запросов</w:t>
      </w:r>
    </w:p>
    <w:p>
      <w:pPr>
        <w:pStyle w:val="ListBullet"/>
      </w:pPr>
      <w:r>
        <w:t>Простои критичных сервисов, вызванные PAM, = 0 (наблюдение 10 раб. дней)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 и нет замечаний уровня «критично». «Стоп и доработка» — не выполнены ≥ 2 критериев или есть критический отказ (например, выдача доступа &gt; 30 мин): возврат на этап проектирования, доработка политик,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администраторов: PAM воспринимается как контроль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Вовлечение с этапа обследования, совместная проработка политик, обучение, показ выгоды (авто-выдача доступа)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критичных сервисов из-за брокеринга и двойной аутентификации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Поэтапное внедрение, режим наблюдения, план отката на этапе, регламент остановки работ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Подрядчики отказываются работать через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Договорные санкции, тестовый доступ на пилоте, техподдержка, обучение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Неполная инвентаризация: выявление «серых» учётных записей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Автоматизированное сканирование домена и БД, закрепление владельцев УЗ, ответственность по регламенту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поставки и активации лицензий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Ранний заказ по утверждённому ТЗ, договор с неустойкой, резерв бюджета 4 %, запаздывание 10 раб. дней в плане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регулятора (152-ФЗ,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включён с этапа обследования, предварительная оценка мер, первичный аудит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штатных ИБ-специалистов (4 чел. на проект и текущие задачи)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Привлечение подрядчика, приоритеты задач, выравнивание загрузки в MS Project, запас по срокам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Утечка учётных данных при переносе паролей в хранилище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Поэтапная ротация после переноса, шифрование хранилища, двойной контроль операций, журнал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Конфликт PAM с легаси-системами (устаревшие ОС, 1С, кассовое ПО)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совместимости на обследовании, сегментация, документированные исключения с ручным согласованием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Упущены сроки регуляторных работ из-за параллельного обслуживания ИТ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Контроль ресурсов на недельных встречах, критический путь в MS Project, выравнивание и резерв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импортные позиции (лицензии PAM, серверы)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6, 8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3, 5, 9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10, 11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№4 «Неполная инвентаризация: выявление «серых» учётных записей» — 16; владелец: Даирова Н.К. (ИБ).</w:t>
      </w:r>
    </w:p>
    <w:p>
      <w:pPr>
        <w:pStyle w:val="ListBullet"/>
      </w:pPr>
      <w:r>
        <w:t>№2 «Простой критичных сервисов из-за брокеринга и двойной аутентификации» — 15; владелец: Гаврилов П.С. (ИТ).</w:t>
      </w:r>
    </w:p>
    <w:p>
      <w:pPr>
        <w:pStyle w:val="ListBullet"/>
      </w:pPr>
      <w:r>
        <w:t>№1 «Сопротивление администраторов: PAM воспринимается как контроль» — 12; владелец: Соколов А.И. (РП).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привилегированных сессий, выполненных через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PAM по сессиям за месяц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Время выдачи привилегированного доступа (запрос → выдача)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15 мин (аварийный ≤ 5 мин)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 запросов, замер по 20 запросам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учётных записей под управлением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серверных УЗ, 100 % подрядчиков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Сверка инвентаризации с отчётом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внешних подключений через брокеринг сессий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(прямой RDP заблокирован)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Журналы межсетевого экрана и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11,5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Критичные замечания первичного аудита, закрытые в срок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за 10 раб. дней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Акт аудита, чек-лист устранения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(финансовый директор), руководитель ИБ, ИТ-служба, юрист — по регламенту «Приёмка СЗИ в эксплуатацию»: проверка метрик из задания 6, журналов PAM, актов устранения замечаний аудита. Решение оформляется протоколом; эксплуатацию принимает ИБ-подразделение, SLA поддержки — 1 раб. день (критичные инциденты — 2 часа), ежеквартальный пересмотр политики доступа.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измеримой целью, границами и критериями приёмки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 — контекст, понятия «проект», «результат», «ограничения»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WBS: 5 этапов × 3–5 работ, вехи, календарный план, критический путь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project-management-guidelines.docx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Контроль привилегированного доступа как мера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A.8.2 «Привилегированный доступ» (в РФ — ГОСТ Р ИСО/МЭК 27001, СМИБ)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сессий и мониторинг событий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Уровень защищённости и меры по защите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 (ст. 19); приказ ФСТЭК России от 18.02.2013 № 21 (состав и содержание мер, 4 уровня защищённости; действует)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Базовый состав мер защиты информации финансовой организации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57580.1-2017 (введён с 01.01.2018) — уровни защиты информации финансовых организаций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Применимость требований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 «О безопасности КИИ»; приказ ФСТЭК России от 25.12.2017 № 239 — применяется к значимым объектам КИИ; организация в реестр субъектов КИИ не включена (допущение проекта)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Ссылка методички на приказ ФСТЭК № 17 — актуализирована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Приказ ФСТЭК России от 11.02.2013 № 17 утратил силу с 01.03.2026 (приказ ФСТЭК от 11.04.2025 № 117); к МФО не применялся, актуален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атак для обоснования объёма работ (внешний доступ, учётные записи, брутфорс)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 Enterprise: T1078 «Valid Accounts», T1021 «Remote Services», T1110 «Brute Force»; выбор защитных техник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обнаружения и реагирования,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800-61r2); ISO/IEC 27001:2022 A.8.16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Оформление отчёта и порядок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6–7): состав отчёта и критерии 100 баллов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05.07.2027 17:00; работ — 21,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</w:tbl>
    <w:p/>
    <w:p>
      <w:r>
        <w:t>Крайние сроки вех: 4.5 «Ввод в эксплуатацию» — план 02.06.2027, крайний срок 05.07.2027, запас 22 раб. дн; 5.4 «Проект закрыт» — план 05.07.2027, крайний срок 05.07.2027, запас 0 раб. дн.</w:t>
      </w:r>
    </w:p>
    <w:p>
      <w:pPr>
        <w:jc w:val="center"/>
      </w:pPr>
      <w:r>
        <w:rPr>
          <w:i/>
          <w:color w:val="808080"/>
        </w:rPr>
        <w:t>[ Вставьте скриншот v12_02: Критический путь (Формат → Критические задачи) ]</w:t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1 736 200,00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1 836 450,00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500 000,00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4 072 650,00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1 478 800,00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2 238 720,00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815 000,00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4 627 520,00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11 083 370,00 сом</w:t>
            </w:r>
          </w:p>
        </w:tc>
      </w:tr>
    </w:tbl>
    <w:p/>
    <w:p>
      <w:r>
        <w:t>Таблица норм затрат B (ставки подрядчика и внешних специалистов выше) — 11 549 570,00 сом, разница 466 200,00 сом. Распределение по кодам работ: ВНЕДР (Внедрение) — 4 627 520,00 сом, 41.8 %; ПРОЕК (Проектирование и пилот) — 4 072 650,00 сом, 36.7 %; ОБСЛ (Обследование) — 1 079 200,00 сом, 9.7 %; ЭКСП (Эксплуатация) — 839 800,00 сом, 7.6 %; ИНИЦ (Инициация) — 464 200,00 сом, 4.2 %.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Лицензии PAM (нодная подписка)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 нода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25 600,00 $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2 238 720,00 сом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контура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1 836 450,00 сом</w:t>
            </w:r>
          </w:p>
        </w:tc>
      </w:tr>
    </w:tbl>
    <w:p/>
    <w:p>
      <w:r>
        <w:t>Доля импортных позиций в смете — 4 075 170,00 сом (36.8 %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PAM (нодная подписка, 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160 $/нода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нода × 160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вендора коробочного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коробочный PAM — 2–4 млн ₽; тендер 8,19 млн ₽ на более крупный контур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контура PAM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21 000 $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1,7–1,9 млн ₽ за комплект контура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815 000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0,7–0,9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Обучение администраторов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учебного центра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80–120 тыс ₽ за группу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t>[ Вставьте скриншот v12_03: Таблица «Затраты» в MS Project ]</w:t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Токтосунов И.М.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t>[ Вставьте скриншот v12_04: Лист ресурсов: ресурсы с превышением доступности ]</w:t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t>[ Вставьте скриншот v12_05: Использование ресурсов: профиль загрузки ]</w:t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05.07.2027, стоимость по таблице A — 11 083 370,00 сом при бюджете 12 525 600,00 сом (резерв 11.5 %); таблица B — 11 549 570,00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Самым сложным для планирования оказалась оценка работ с внешними зависимостями: поставка и активация лицензий PAM дают запаздывание 10 раб. дней, поэтому в план заложено окно после приёмки пилота, а не «сжатие» фазы.</w:t>
      </w:r>
    </w:p>
    <w:p>
      <w:pPr>
        <w:pStyle w:val="ListBullet"/>
      </w:pPr>
      <w:r>
        <w:t>Вторая сложность — ресурсная: 4 специалиста ИБ закрыли бы план только при перегрузке, поэтому часть аналитики вынесена подрядчику; перегрузки выявлены расчётом и показаны в разделе «Расчётная часть» (PM, ведущий ИБ, аналитик).</w:t>
      </w:r>
    </w:p>
    <w:p>
      <w:pPr>
        <w:pStyle w:val="ListBullet"/>
      </w:pPr>
      <w:r>
        <w:t>Третья сложность — измеримость результата: проект снижает риск, а не создаёт продукт, поэтому критерии приёмки сформулированы как доли охвата и время выдачи доступа, а метрики привязаны к отчётам самой PAM.</w:t>
      </w:r>
    </w:p>
    <w:p>
      <w:pPr>
        <w:pStyle w:val="ListBullet"/>
      </w:pPr>
      <w:r>
        <w:t>Регуляторная часть требует актуализации: методичка ссылается на приказ ФСТЭК № 17, который с 01.03.2026 утратил силу; для МФО базовый документ — приказ № 21 и ГОСТ Р 57580.1-2017.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