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DLP + SIEM»</w:t>
        <w:br/>
        <w:t>Вариант 10 — Повышенная сложность: интеграция DLP и SIEM, ~80 источников логов</w:t>
        <w:br/>
        <w:br/>
      </w:r>
      <w:r>
        <w:t>Выполнил(а): Студент №10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 — DLP + SIEM (Повышенная сложность: интеграция DLP и SIEM, ~80 источников логов)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DLP и SIEM в «Вектор-Финанс» (интеграция систем)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24.06.2027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22, вех — 7, ресурсов — 12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источников логов (~80) и данных — отдельная работа этапа «Обследование» (методичка, специфика DLP/SIEM)</w:t>
      </w:r>
    </w:p>
    <w:p>
      <w:pPr>
        <w:pStyle w:val="ListBullet"/>
      </w:pPr>
      <w:r>
        <w:t>Построение защитного контура: коллекторы → нормализация → хранилище событий → корреляция → реакция; отказоустойчивость и ретенция ≥ 90 дней</w:t>
      </w:r>
    </w:p>
    <w:p>
      <w:pPr>
        <w:pStyle w:val="ListBullet"/>
      </w:pPr>
      <w:r>
        <w:t>Обработка ПДн на лету: классификация, маскирование персональных полей в журналах, контроль каналов выгрузки</w:t>
      </w:r>
    </w:p>
    <w:p>
      <w:pPr>
        <w:pStyle w:val="ListBullet"/>
      </w:pPr>
      <w:r>
        <w:t>Интеграция DLP и SIEM: события DLP — источник для правил корреляции, оповещения — в тот же процесс реагирования (доп. условие варианта)</w:t>
      </w:r>
    </w:p>
    <w:p>
      <w:pPr>
        <w:pStyle w:val="ListBullet"/>
      </w:pPr>
      <w:r>
        <w:t>Раздельные роли: дежурная смена (реагирование) и аналитик правил (тюнинг) — без выделенного SOC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подключить к SIEM не менее 95 % из ~80 источников логов 120 серверов и вести DLP по всем каналам передачи ПДн: время обнаружения инцидента (MTTD) ≤ 30 минут, время реагирования (MTTR) ≤ 4 часа, охват контролируемых каналов передачи ПДн ≥ 90 %, ложные срабатывания ≤ 5 %.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Инвентаризация и подключение ~80 источников логов (почта, 1С, касса, домен, веб-шлюз, унаследованные системы)</w:t>
      </w:r>
    </w:p>
    <w:p>
      <w:pPr>
        <w:pStyle w:val="ListBullet"/>
      </w:pPr>
      <w:r>
        <w:t>DLP: классификация ПДн, контроль каналов (почта, веб, USB, выгрузки), режим мониторинга до возврата в блокировку</w:t>
      </w:r>
    </w:p>
    <w:p>
      <w:pPr>
        <w:pStyle w:val="ListBullet"/>
      </w:pPr>
      <w:r>
        <w:t>Интеграция DLP и SIEM: события DLP → корреляция в SIEM, оповещения и реакция дежурной смены</w:t>
      </w:r>
    </w:p>
    <w:p>
      <w:pPr>
        <w:pStyle w:val="ListBullet"/>
      </w:pPr>
      <w:r>
        <w:t>Развёртывание контура SIEM (коллекторы, хранилище событий) и 600 DLP-агентов</w:t>
      </w:r>
    </w:p>
    <w:p>
      <w:pPr>
        <w:pStyle w:val="ListBullet"/>
      </w:pPr>
      <w:r>
        <w:t>Правила корреляции, процесс реагирования, обучение и регламенты, первичный аудит</w:t>
      </w:r>
    </w:p>
    <w:p>
      <w:r>
        <w:t>В границы не входит:</w:t>
      </w:r>
    </w:p>
    <w:p>
      <w:pPr>
        <w:pStyle w:val="ListBullet"/>
      </w:pPr>
      <w:r>
        <w:t>Внедрение PAM и управление привилегированным доступом (отдельный проект)</w:t>
      </w:r>
    </w:p>
    <w:p>
      <w:pPr>
        <w:pStyle w:val="ListBullet"/>
      </w:pPr>
      <w:r>
        <w:t>Замена почтового сервера, СЭД и бэкапов (в части сбора логов — только подключение источников)</w:t>
      </w:r>
    </w:p>
    <w:p>
      <w:pPr>
        <w:pStyle w:val="ListBullet"/>
      </w:pPr>
      <w:r>
        <w:t>Изменение бизнес-процессов обработки заявок и скоринга</w:t>
      </w:r>
    </w:p>
    <w:p>
      <w:pPr>
        <w:pStyle w:val="ListBullet"/>
      </w:pPr>
      <w:r>
        <w:t>Физическая защита, криптографическая защита переписки (ШСПД)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10,38 млн сом (таблица A), резерв 17 % (≥ 4 %)</w:t>
      </w:r>
    </w:p>
    <w:p>
      <w:pPr>
        <w:pStyle w:val="ListBullet"/>
      </w:pPr>
      <w:r>
        <w:t>Серверы и СХД хранилища событий (19 500 $)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эксплуатацию», план — 24.06.2027, запас 7 раб. дней)</w:t>
      </w:r>
    </w:p>
    <w:p>
      <w:pPr>
        <w:pStyle w:val="ListBullet"/>
      </w:pPr>
      <w:r>
        <w:t>Источников логов ~80; ~20 из них унаследованы и подключаются с адаптерами или дропшиппером</w:t>
      </w:r>
    </w:p>
    <w:p>
      <w:pPr>
        <w:pStyle w:val="ListBullet"/>
      </w:pPr>
      <w:r>
        <w:t>DLP закупается на 600 рабочих мест, лицензии SIEM — на источник логов (в модели 80)</w:t>
      </w:r>
    </w:p>
    <w:p>
      <w:pPr>
        <w:pStyle w:val="ListBullet"/>
      </w:pPr>
      <w:r>
        <w:t>Штат ИБ — 4 человека; подрядчик «Интегратор-Альфа» выполняет интеграцию DLP и SIEM (доп. условие варианта)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(ст. 19), ГОСТ Р 57580.1-2017, приказ ФСТЭК № 21; часть систем устарела — интеграция не должна их останавливать; регуляторные сроки отчётности.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источников логов подключены и передают события (76 из 80)</w:t>
      </w:r>
    </w:p>
    <w:p>
      <w:pPr>
        <w:pStyle w:val="ListBullet"/>
      </w:pPr>
      <w:r>
        <w:t>MTTD ≤ 30 мин, MTTR ≤ 4 часа по сценариям из MITRE ATT&amp;CK (T1041, T1567, T1110)</w:t>
      </w:r>
    </w:p>
    <w:p>
      <w:pPr>
        <w:pStyle w:val="ListBullet"/>
      </w:pPr>
      <w:r>
        <w:t>Ложные срабатывания правил корреляции ≤ 5 % от числа оповещений</w:t>
      </w:r>
    </w:p>
    <w:p>
      <w:pPr>
        <w:pStyle w:val="ListBullet"/>
      </w:pPr>
      <w:r>
        <w:t>DLP: охват каналов передачи ПДн ≥ 90 %, возврат из режима мониторинга в блокировку подтверждён</w:t>
      </w:r>
    </w:p>
    <w:p>
      <w:pPr>
        <w:pStyle w:val="ListBullet"/>
      </w:pPr>
      <w:r>
        <w:t>Фактическое окончание ≤ 05.07.2027; стоимость ≤ 11,0 млн сом (девиация ≤ 5 % от плана 10,38 млн)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Технический директор МФО «Вектор-Финанс» — спонсор: утверждает устав, бюджет, приёмку пилота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(технический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Защита ПДн без остановки кредитных сервисов, уклад в бюджет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RAG, эскалация по бюджету и срокам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(SOC-less, 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регламенты, нагрузка дежурной смены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Участие в правилах корреляции, обучение, составление матрицы реагирования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коллекторов на легаси-системах, нагрузка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 на 15 источниках, адаптеры, автономные агенты,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Контроль ПДн в каналах, уведомления о нарушениях (152-ФЗ)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политик DLP, порядок расследований, договоры с подрядчиком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Бизнес: кредитные отделы, обработка заявок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замедлить пересылку документов клиентам, скорость работы почты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Режим мониторинга до «затирания» ложных срабатываний, уведомления, канал обратной связи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Клиенты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Конфиденциальность ПДн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Косвенно: соответствие 152-ФЗ, снижение риска утечки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и этапы работ, оплата по актам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Еженедельная координация, приёмка этапов интеграции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Вендоры DLP и SIEM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Пилот, расширение лицензий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Техническая поддержка, консультации по адаптерам для устаревших систем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Меры по защите ПДн МФО, отчётность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Документы по приёмке, аудит соответствия, отчётность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Подтверждение работы правил и журналов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Отчёты SIEM/DLP, акты приёмки и проверки метрик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при отклонении &gt; 5 %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Сроки, бюджет, риски, решения по лицензированию и объёму пилота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ИБ, интегратор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подключения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агенты на устаревших системах, дропшипперы, откаты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Правила корреляции, ложные срабатывания, нагрузка дежурной смены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 и вендоры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План-факт, акты, заявки в поддержку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Интеграция DLP и SIEM, адаптеры, статус лицензий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Бизнес-подразделения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 каждым включением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Письмо + канал обратной связи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Режим DLP, сроки возврата в блокировку, как обжаловать срабатывание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22 работы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09.11.2026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2.1, 2.2, 2.3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4.2, 4.3, 4.4, 4.5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10.12.2026 17:00; 3.4 «Запуск пилота» — 15.02.2027 17:00; 3.7 «Приёмка пилота» — 26.03.2027 17:00; 4.6 «Ввод в эксплуатацию» — 24.05.2027 17:00; 5.4 «Проект закрыт» — 24.06.2027 17:00.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15 источников логов и 30 рабочих мест: домен-контроллер, 2 сервера 1С, кассовое ПО, почтовый сервер, веб-шлюз, файловый сервер, кластер БД, вентиль доступа, 2 устаревшие системы (активный каталог 2008, почтовик на Astra).</w:t>
      </w:r>
    </w:p>
    <w:p>
      <w:r>
        <w:t>Почему этот контур: Максимальный удельный поток ПДн (почта, 1С) и наихудшие технические условия подключения (устаревшие ОС) — именно здесь проверяется условие варианта: интеграция двух систем и «логи с ручной доработкой».</w:t>
      </w:r>
    </w:p>
    <w:p>
      <w:r>
        <w:t>Продолжительность: 20 рабочих дней (4 недели) после вехи «Запуск пилота» + 8 рабочих дней тюнинг и замер ложных срабатываний.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15 источников логов передают события в SIEM, нормализация и обогащение настроены</w:t>
      </w:r>
    </w:p>
    <w:p>
      <w:pPr>
        <w:pStyle w:val="ListBullet"/>
      </w:pPr>
      <w:r>
        <w:t>Сформировано и проверено 20 правил корреляции (по сценариям MITRE ATT&amp;CK)</w:t>
      </w:r>
    </w:p>
    <w:p>
      <w:pPr>
        <w:pStyle w:val="ListBullet"/>
      </w:pPr>
      <w:r>
        <w:t>События DLP коррелируются с событиями SIEM, оповещение приходит дежурной смене</w:t>
      </w:r>
    </w:p>
    <w:p>
      <w:pPr>
        <w:pStyle w:val="ListBullet"/>
      </w:pPr>
      <w:r>
        <w:t>DLP работает в режиме мониторинга, снимок ложных срабатываний получен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Пропускная способность: ≥ 95 % событий от 15 источников принимается без потерь (замер 3 суток)</w:t>
      </w:r>
    </w:p>
    <w:p>
      <w:pPr>
        <w:pStyle w:val="ListBullet"/>
      </w:pPr>
      <w:r>
        <w:t>Полное время обнаружения (подключение источника → оповещение) ≤ 30 мин по 5 тестовым сценариям</w:t>
      </w:r>
    </w:p>
    <w:p>
      <w:pPr>
        <w:pStyle w:val="ListBullet"/>
      </w:pPr>
      <w:r>
        <w:t>Полнота правил: 20/20 правил отработали на синтетическом тесте, детектируются T1041, T1567, T1110</w:t>
      </w:r>
    </w:p>
    <w:p>
      <w:pPr>
        <w:pStyle w:val="ListBullet"/>
      </w:pPr>
      <w:r>
        <w:t>Ложные срабатывания ≤ 5 % от числа оповещений за 10 рабочих дней</w:t>
      </w:r>
    </w:p>
    <w:p>
      <w:pPr>
        <w:pStyle w:val="ListBullet"/>
      </w:pPr>
      <w:r>
        <w:t>Работа на унаследованных системах подтверждена: источник отдаёт логи, сервисы не остановлены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критериев, интеграция DLP→SIEM подтверждена. «Стоп и доработка» — не выполнены ≥ 2 критериев или ложные срабатывания &gt; 10 %: возврат на этап проектирования, доработка правил,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Устаревшие системы не отдают логи в формате, принимаемом коллекторами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Резервные способы: агент/дропшиппер, syslog-прокси, модуль кастомизации; проверка совместимости на обследовании (2 недели в плане)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Затопление дежурной смены оповещениями (ложные срабатывания)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Режим мониторинга до «затирания», этап тюнинга 8 раб. дней, ограничение числа правил в пилоте (20), контроль метрики ≤ 5 %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интеграции DLP и SIEM (доп. условие варианта)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Отдельная задача и вехи в плане, участие вендоров, еженедельная координация, критический путь под контролем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Неполнота источников логов: часть событий уходит мимо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80 источников, приёмка по критерию ≥ 95 %, сверка схемы событий и выборка из БД архива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почты/1С при раскатке DLP-агентов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 на 30 ПТ, пакетная раскатка внерабочие часы, режим мониторинга без блокировок до подтверждения метрик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по защите ПДн (152-ФЗ, приказ ФСТЭК № 21)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и аудит с этапа обследования, проверка мер по ГОСТ Р 57580.1-2017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ИБ-специалистов: проект + поддержка текущих регламентов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Выравнивание загрузки в MS Project, привлечение подрядчика на интеграцию, приоритизация задач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Превышение бюджета из-за объёма лицензий SIEM (80 источников)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Лицензии на этап — 40 + 40 источников, резерв бюджета 4 %, контроль план/факт на месячных отчётах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Потеря важных событий из-за неправильной корреляции и настройки времени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Синхронизация NTP всех источников, проверка полноты потока, ретенция ≥ 90 дней, синтетический тест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бизнеса: блокировка пересылки документов клиентам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Мониторинг до блокировки, согласование политик с юристами и бизнесом, канал обжалования срабатываний ≤ 1 раб. дня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серверы и СХД хранилища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5, 8, 9, 10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1, 2, 4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№1 «Устаревшие системы не отдают логи в формате, принимаемом коллекторами» — 16; владелец: Гаврилов П.С. (ИТ).</w:t>
      </w:r>
    </w:p>
    <w:p>
      <w:pPr>
        <w:pStyle w:val="ListBullet"/>
      </w:pPr>
      <w:r>
        <w:t>№2 «Затопление дежурной смены оповещениями (ложные срабатывания)» — 16; владелец: Токтосунов И.М. (аналитик).</w:t>
      </w:r>
    </w:p>
    <w:p>
      <w:pPr>
        <w:pStyle w:val="ListBullet"/>
      </w:pPr>
      <w:r>
        <w:t>№4 «Неполнота источников логов: часть событий уходит мимо SIEM» — 16; владелец: Даирова Н.К. (ИБ).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подключённых источников логов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 (76 из 80)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SIEM по источникам, сверка с инвентаризацией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MTTD — время обнаружения события-инцидента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30 мин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Синтетический тест 5 сценариев, журнал оповещений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MTTR — время реагирования (оповещение → устранение)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4 часа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Тикеты дежурной смены, отчёт SIEM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ложных срабатываний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оповещений за 10 раб. дней, ручная верификация выборки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контролируемых каналов передачи ПДн (DLP)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90 % (почта, веб, USB, выгрузки)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DLP по политикам и каналам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11,0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(технический директор), руководитель ИБ, ИТ-служба, юрист — по регламенту «Приёмка СЗИ в эксплуатацию»: проверка метрик (MTTD/MTTR, охват источников, ложные срабатывания), полноты правил и журналов, актов первичного аудита. Решение оформляется протоколом; эксплуатацию принимает ИБ-подразделение, SLA: реакция на критичные оповещения ≤ 2 часов, пересмотр правил — ежеквартально.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измеримыми целями (MTTD/MTTR, охват источников)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WBS, вехи, календарный план, критический путь, 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project-management-guidelines.docx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Политика DLP и предотвращение утечки в каналах передачи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A.8.12 «Предотвращение утечки данных»; 152-ФЗ, ст. 19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и мониторинг событий, реагирование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Управление безопасностью в проекте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A.5.8 «Информационная безопасность в управлении проектами»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Меры и уровни защиты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152-ФЗ; приказ ФСТЭК России от 18.02.2013 № 21 (действует); ГОСТ Р 57580.1-2017 — базовый состав мер финансовой организации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Требования к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187-ФЗ; приказ ФСТЭК от 25.12.2017 № 239 — значимые объекты КИИ; организация в реестр субъектов КИИ не включена (допущение)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ссылки методички на приказ ФСТЭК № 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Утратил силу с 01.03.2026 (приказ ФСТЭК от 11.04.2025 № 117); для МФО применять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exfiltration для правил корреляции и метрик детекции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ATT&amp;CK: T1041 «Exfiltration Over C2 Channel», T1567 «Exfiltration Over Web Service», T1110 «Brute Force»; защитные техники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MTTD/MTTR и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 отчёта и порядок оценки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24.06.2027 17:00; работ — 22,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23.04.2027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</w:tbl>
    <w:p/>
    <w:p>
      <w:r>
        <w:t>Крайние сроки вех: 4.6 «Ввод в эксплуатацию» — план 24.05.2027, крайний срок 05.07.2027, запас 29 раб. дн; 5.4 «Проект закрыт» — план 24.06.2027, крайний срок 05.07.2027, запас 7 раб. дн.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1992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1 841 200,00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2 055 275,00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440 000,00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4 336 475,00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1 622 800,00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1 918 000,00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3 635 800,00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10 381 875,00 сом</w:t>
            </w:r>
          </w:p>
        </w:tc>
      </w:tr>
    </w:tbl>
    <w:p/>
    <w:p>
      <w:r>
        <w:t>Таблица норм затрат B (ставки подрядчика и внешних специалистов выше) — 10 882 275,00 сом, разница 500 400,00 сом. Распределение по кодам работ: ПРОЕК (Проектирование и пилот) — 4 336 475,00 сом, 41.8 %; ВНЕДР (Внедрение) — 3 635 800,00 сом, 35.0 %; ОБСЛ (Обследование) — 1 105 600,00 сом, 10.6 %; ЭКСП (Эксплуатация) — 839 800,00 сом, 8.1 %; ИНИЦ (Инициация) — 464 200,00 сом, 4.5 %.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(хранилище событий)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1 705 275,00 сом</w:t>
            </w:r>
          </w:p>
        </w:tc>
      </w:tr>
    </w:tbl>
    <w:p/>
    <w:p>
      <w:r>
        <w:t>Доля импортных позиций в смете — 1 705 275,00 сом (16.4 %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DLP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2950 сом/раб. место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600 раб. мест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DLP (2834 ₽ × 1,0438)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2000–4200 ₽/место, от 712 ₽/место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SIEM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1850 сом/источник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800–2000 ₽/источник; российский SIEM с железом — 1,5–3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хранилища событий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19 500 $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1,5–1,8 млн ₽ за комплект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350 000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0,3–0,5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2.2, 2.4, 4.4, 4.5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8; 26.04–30.04: 12 ч из 8; 04.05–04.05: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Ермакова О.В.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Гаврилов П.С.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4.1, 4.3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05.04–16.04: 16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24.06.2027, стоимость по таблице A — 10 381 875,00 сом при бюджете 12 525 600,00 сом (резерв 17.1 %); таблица B — 10 882 275,00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Самой сложной оказалась оценка подключения унаследованных источников: ~20 систем требуют адаптеров и дропшипперов, поэтому инвентаризации отведено 15 раб. дней, а этап подключения разбит на два с критерием приёмки ≥ 95 %.</w:t>
      </w:r>
    </w:p>
    <w:p>
      <w:pPr>
        <w:pStyle w:val="ListBullet"/>
      </w:pPr>
      <w:r>
        <w:t>Вторая сложность — баланс «полезность/шум»: правила корреляции приносят и ложные срабатывания, поэтому пилот ограничен 15 источниками и 20 правилами, а возврат DLP в режим блокировки возможен только после метрики ≤ 5 %.</w:t>
      </w:r>
    </w:p>
    <w:p>
      <w:pPr>
        <w:pStyle w:val="ListBullet"/>
      </w:pPr>
      <w:r>
        <w:t>Третья сложность — ресурсная: аналитик SIEM является «узким горлышком» (пиковая загрузка 150 %), часть интеграции вынесена подрядчику, перегрузки показаны в разделе «Расчётная часть».</w:t>
      </w:r>
    </w:p>
    <w:p>
      <w:pPr>
        <w:pStyle w:val="ListBullet"/>
      </w:pPr>
      <w:r>
        <w:t>Интеграция DLP и SIEM (доп. условие варианта) реализована как отдельная архитектурная задача с вендорским участием: она на критическом пути и определяет границу между фазами «Проектирование и пилот» и «Внедрение».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