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ОТЧЁТ</w:t>
        <w:br/>
        <w:t>по лабораторным работам №1–9</w:t>
        <w:br/>
        <w:t>по дисциплине «Управление проектом»</w:t>
        <w:br/>
        <w:br/>
      </w:r>
      <w:r>
        <w:t>Тема: «Организация научно-практической конференции»</w:t>
        <w:br/>
        <w:br/>
        <w:t>Выполнил(а): ____________________</w:t>
        <w:br/>
        <w:t>Группа: ________   Проверил(а): ____________________</w:t>
      </w:r>
    </w:p>
    <w:p>
      <w:r>
        <w:br w:type="page"/>
      </w:r>
    </w:p>
    <w:p>
      <w:pPr>
        <w:pStyle w:val="Heading1"/>
      </w:pPr>
      <w:r>
        <w:t>Лабораторные работы по MS Project</w:t>
      </w:r>
    </w:p>
    <w:p>
      <w:r>
        <w:t>Тема проекта: «Организация научно-практической конференции».</w:t>
      </w:r>
    </w:p>
    <w:p>
      <w:r>
        <w:t>Репозиторий проекта: https://github.com/kadeom/project-management. Плановые сроки: 05.10.2026 — 19.11.2026; задач: 17, фаз: 5, вех: 5, ресурсов: 9.</w:t>
      </w:r>
    </w:p>
    <w:p>
      <w:r>
        <w:t>Все таблицы и числа ниже рассчитаны скриптом build.py из project.yaml и совпадают с расчётом MS Project (проверено тестами через планировщик MPXJ, эмулирующий MS Project). Места под скриншоты помечены «Скриншот».</w:t>
      </w:r>
    </w:p>
    <w:p>
      <w:r>
        <w:br w:type="page"/>
      </w:r>
    </w:p>
    <w:p>
      <w:pPr>
        <w:pStyle w:val="Heading1"/>
      </w:pPr>
      <w:r>
        <w:t>ЛР1. Основы планирования</w:t>
      </w:r>
    </w:p>
    <w:p>
      <w:pPr>
        <w:pStyle w:val="Heading3"/>
      </w:pPr>
      <w:r>
        <w:t>Сведения о проекте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Название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Организация научно-практической конференции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Планирование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от даты начала проекта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Дата начала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05.10.2026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Календарь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Стандартный: пн–пт, 08:00–12:00 и 13:00–17:00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Расчётная дата окончания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19.11.2026 17:00</w:t>
            </w:r>
          </w:p>
        </w:tc>
      </w:tr>
    </w:tbl>
    <w:p/>
    <w:p>
      <w:pPr>
        <w:pStyle w:val="Heading3"/>
      </w:pPr>
      <w:r>
        <w:t>Нерабочие периоды (исключения календаря)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День народного единства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04.11.2026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04.11.2026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Новогодние каникулы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31.12.2026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08.01.2027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День защитника Отечества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23.02.2027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23.02.2027</w:t>
            </w:r>
          </w:p>
        </w:tc>
      </w:tr>
    </w:tbl>
    <w:p/>
    <w:p>
      <w:pPr>
        <w:pStyle w:val="Heading3"/>
      </w:pPr>
      <w:r>
        <w:t>Стандартные календари MS Project (задание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Календарь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Рабочее время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Где применять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Стандартный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пн–пт 8:00–12:00, 13:00–17:00 (40 ч/нед.)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офисные проекты, в т.ч. разработка ПО — наш проект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24 часа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круглосуточно, без выходных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непрерывные процессы: хостинг и мониторинг сервиса, сборки, химия, энергетика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Ночная смена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пн вечер – сб утро, 23:00–08:00 с перерывом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ночные работы: регламентное обслуживание серверов, обновление без простоя</w:t>
            </w:r>
          </w:p>
        </w:tc>
      </w:tr>
    </w:tbl>
    <w:p/>
    <w:p>
      <w:pPr>
        <w:jc w:val="center"/>
      </w:pPr>
      <w:r>
        <w:rPr>
          <w:i/>
          <w:color w:val="808080"/>
        </w:rPr>
        <w:t>[ Вставьте скриншот lr1_01: Сведения о проекте (Проект → Сведения о проекте) ]</w:t>
      </w:r>
    </w:p>
    <w:p>
      <w:pPr>
        <w:jc w:val="center"/>
      </w:pPr>
      <w:r>
        <w:t>Рисунок — Сведения о проекте (Проект → Сведения о проекте)</w:t>
      </w:r>
    </w:p>
    <w:p>
      <w:pPr>
        <w:jc w:val="center"/>
      </w:pPr>
      <w:r>
        <w:rPr>
          <w:i/>
          <w:color w:val="808080"/>
        </w:rPr>
        <w:t>[ Вставьте скриншот lr1_02: Изменение рабочего времени: вкладка «Исключения» ]</w:t>
      </w:r>
    </w:p>
    <w:p>
      <w:pPr>
        <w:jc w:val="center"/>
      </w:pPr>
      <w:r>
        <w:t>Рисунок — Изменение рабочего времени: вкладка «Исключения»</w:t>
      </w:r>
    </w:p>
    <w:p>
      <w:r>
        <w:br w:type="page"/>
      </w:r>
    </w:p>
    <w:p>
      <w:pPr>
        <w:pStyle w:val="Heading1"/>
      </w:pPr>
      <w:r>
        <w:t>ЛР2. Планирование проекта: задачи, связи, ограничения</w:t>
      </w:r>
    </w:p>
    <w:p>
      <w:r>
        <w:t>Структура составлена методом «сверху вниз»: сначала 7 фаз жизненного цикла, затем их детализация. Каждая фаза завершается вехой (длительность 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Предш.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14.10.2026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Первое заседание оргкомитета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05.10.2026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Определение тематики и целевой аудитории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06.10.2026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09.10.2026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Разработка положения о конференции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14.10.2026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◆ Положение утверждено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14.10.2026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14.10.2026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1.3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Программный комитет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Сбор аннотаций и тезисов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21.10.2026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Рецензирование материалов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22.10.2026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27.10.2026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Формирование программы конференции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28.10.2026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◆ Программа утверждена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Логистика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27.10.2026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Подбор зала и технического оборудования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Организация кофе-брейков и обеда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16.10.2026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3.1НН+1 дн.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Транспорт и размещение спикеров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21.10.2026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27.10.2026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3.1, 3.2ОО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◆ Логистика подтверждена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27.10.2026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27.10.2026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3.2, 3.3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Материалы и публичность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28.10.2026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Создание сайта конференции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02.11.2026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10.11.2026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2.4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Рассылка первого сообщения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4.1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Печать программ и бейджей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28.10.2026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3.4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Подготовка сборника тезисов к печати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28.10.2026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02.11.2026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◆ Материалы готовы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4.3, 4.4, 4.2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Проведение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13.11.2026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19.11.2026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Регистрация участников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13.11.2026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13.11.2026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4.5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Открытие и пленарное заседание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16.11.2026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16.11.2026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5.1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Работа секций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18.11.2026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5.2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Заключительная сессия и подведение итогов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19.11.2026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19.11.2026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5.3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◆ Конференция завершена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19.11.2026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19.11.2026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5.4</w:t>
            </w:r>
          </w:p>
        </w:tc>
      </w:tr>
    </w:tbl>
    <w:p/>
    <w:p>
      <w:r>
        <w:t>Типы связей в плане: ОН (окончание–начало, создаётся по умолчанию), НН с запаздыванием (напр. «Дизайн интерфейса» начинается через 3 дня после начала прототипирования), ОО («Модульные тесты» не могут закончиться раньше «Песочницы»).</w:t>
      </w:r>
    </w:p>
    <w:p>
      <w:r>
        <w:t>Ограничение: задача 5.1 «Регистрация участников» — «Начало не ранее» 05.10.2026. Крайний срок: веха 5.5 «Конференция завершена» — 23.11.2026.</w:t>
      </w:r>
    </w:p>
    <w:p>
      <w:r>
        <w:t>Повторяющаяся задача «Еженедельное совещание рабочей группы» (каждый понедельник, 1 ч) добавляется вручную: Задача → Задача ▾ → Повторяющаяся задача (в XML не переносится).</w:t>
      </w:r>
    </w:p>
    <w:p>
      <w:pPr>
        <w:jc w:val="center"/>
      </w:pPr>
      <w:r>
        <w:rPr>
          <w:i/>
          <w:color w:val="808080"/>
        </w:rPr>
        <w:t>[ Вставьте скриншот lr2_01: Диаграмма Ганта с суммарной задачей проекта и вехами ]</w:t>
      </w:r>
    </w:p>
    <w:p>
      <w:pPr>
        <w:jc w:val="center"/>
      </w:pPr>
      <w:r>
        <w:t>Рисунок — Диаграмма Ганта с суммарной задачей проекта и вехами</w:t>
      </w:r>
    </w:p>
    <w:p>
      <w:pPr>
        <w:jc w:val="center"/>
      </w:pPr>
      <w:r>
        <w:rPr>
          <w:i/>
          <w:color w:val="808080"/>
        </w:rPr>
        <w:t>[ Вставьте скриншот lr2_02: Нарушение ограничения / крайнего срока (индикатор в столбце «Индикаторы») ]</w:t>
      </w:r>
    </w:p>
    <w:p>
      <w:pPr>
        <w:jc w:val="center"/>
      </w:pPr>
      <w:r>
        <w:t>Рисунок — Нарушение ограничения / крайнего срока (индикатор в столбце «Индикаторы»)</w:t>
      </w:r>
    </w:p>
    <w:p>
      <w:r>
        <w:br w:type="page"/>
      </w:r>
    </w:p>
    <w:p>
      <w:pPr>
        <w:pStyle w:val="Heading1"/>
      </w:pPr>
      <w:r>
        <w:t>ЛР3. Ресурсы и назначения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Должность / ед.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Макс. ед.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Ставка A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Сверхуроч.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Ставка B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 использ.</w:t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Иванов И.И.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1200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1800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1400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Сорокина С.Т.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Координатор конференции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1500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1150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Петров П.П.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Дизайнер афиш и программ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900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1350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Смирнова А.В.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Секретарь оргкомитета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1100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1650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1250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Кузнецов Д.А.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Технический специалист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1100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1650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1250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Орлова Е.Н.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Методист, программный комитет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700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800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Волков М.С.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Куратор приёмной комиссии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800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1200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900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500 ₽</w:t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Печать программ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Материальный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лист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5 ₽/лист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Аренда зала и техники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Затраты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</w:tbl>
    <w:p/>
    <w:p>
      <w:r>
        <w:t>Доступность Иванова И.И. (задание 2): 05.10.2026–16.10.2026: 50%; 17.10.2026–25.10.2026: 0%; с 26.10.2026: 100%.</w:t>
      </w:r>
    </w:p>
    <w:p>
      <w:r>
        <w:t>Назначения (столбец «Названия ресурсов»):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Первое заседание оргкомитета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Иванов И.И., Сорокина С.Т.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Определение тематики и целевой аудитории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Сорокина С.Т., Иванов И.И.[50%]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Разработка положения о конференции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Иванов И.И.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Сбор аннотаций и тезисов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Орлова Е.Н.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Рецензирование материалов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Орлова Е.Н.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Формирование программы конференции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Сорокина С.Т., Орлова Е.Н.[50%]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Подбор зала и технического оборудования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Кузнецов Д.А.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Организация кофе-брейков и обеда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Смирнова А.В., Кузнецов Д.А.[50%]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Транспорт и размещение спикеров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Смирнова А.В.[50%], Волков М.С.[50%]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Создание сайта конференции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Петров П.П.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Рассылка первого сообщения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Смирнова А.В.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Печать программ и бейджей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Печать программ[500 лист]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Подготовка сборника тезисов к печати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Орлова Е.Н., Печать программ[300 лист]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Регистрация участников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Волков М.С.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Открытие и пленарное заседание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Иванов И.И., Сорокина С.Т.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Работа секций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Орлова Е.Н., Кузнецов Д.А.[50%]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Заключительная сессия и подведение итогов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Иванов И.И.</w:t>
            </w:r>
          </w:p>
        </w:tc>
      </w:tr>
    </w:tbl>
    <w:p/>
    <w:p>
      <w:r>
        <w:t>Задание 4 (типы задач), формула: Трудозатраты = Длительность × Единицы. Фиксированные единицы — при добавлении ресурса сокращается длительность (если включено «Фиксированный объём работ») или растут трудозатраты. Фиксированная длительность — длительность не меняется, единицы каждого ресурса уменьшаются. Фиксированный объём работ — трудозатраты неизменны, длительность сокращается пропорционально числу ресурсов.</w:t>
      </w:r>
    </w:p>
    <w:p>
      <w:pPr>
        <w:jc w:val="center"/>
      </w:pPr>
      <w:r>
        <w:rPr>
          <w:i/>
          <w:color w:val="808080"/>
        </w:rPr>
        <w:t>[ Вставьте скриншот lr3_01: Лист ресурсов ]</w:t>
      </w:r>
    </w:p>
    <w:p>
      <w:pPr>
        <w:jc w:val="center"/>
      </w:pPr>
      <w:r>
        <w:t>Рисунок — Лист ресурсов</w:t>
      </w:r>
    </w:p>
    <w:p>
      <w:pPr>
        <w:jc w:val="center"/>
      </w:pPr>
      <w:r>
        <w:rPr>
          <w:i/>
          <w:color w:val="808080"/>
        </w:rPr>
        <w:t>[ Вставьте скриншот lr3_02: Сведения о ресурсе Иванов И.И. — доступность ]</w:t>
      </w:r>
    </w:p>
    <w:p>
      <w:pPr>
        <w:jc w:val="center"/>
      </w:pPr>
      <w:r>
        <w:t>Рисунок — Сведения о ресурсе Иванов И.И. — доступность</w:t>
      </w:r>
    </w:p>
    <w:p>
      <w:pPr>
        <w:jc w:val="center"/>
      </w:pPr>
      <w:r>
        <w:rPr>
          <w:i/>
          <w:color w:val="808080"/>
        </w:rPr>
        <w:t>[ Вставьте скриншот lr3_03: Использование задач: профиль загрузки «Загрузка в начале» ]</w:t>
      </w:r>
    </w:p>
    <w:p>
      <w:pPr>
        <w:jc w:val="center"/>
      </w:pPr>
      <w:r>
        <w:t>Рисунок — Использование задач: профиль загрузки «Загрузка в начале»</w:t>
      </w:r>
    </w:p>
    <w:p>
      <w:r>
        <w:br w:type="page"/>
      </w:r>
    </w:p>
    <w:p>
      <w:pPr>
        <w:pStyle w:val="Heading1"/>
      </w:pPr>
      <w:r>
        <w:t>ЛР4. Дополнительная информация: СДР, заметки, гиперссылки</w:t>
      </w:r>
    </w:p>
    <w:p>
      <w:r>
        <w:t>Маска кода СДР: уровень 1 — цифры, уровень 2 — цифры, разделитель «.» (Проект → СДР → Определить код). Для 4 уровней маска расширяется: 1.1.1.1.</w:t>
      </w:r>
    </w:p>
    <w:p>
      <w:r>
        <w:t>Заметка к задаче 1.1 «Первое заседание оргкомитета» содержит повестку дня; заметка к 4.2 «Рассылка первого сообщения» поясняет список адресатов.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Гиперссылка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Определение тематики и целевой аудитории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https://github.com/kadeom/project-management/blob/main/README.md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Сбор аннотаций и тезисов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https://github.com/kadeom/project-management/blob/main/project.yaml</w:t>
            </w:r>
          </w:p>
        </w:tc>
      </w:tr>
    </w:tbl>
    <w:p/>
    <w:p>
      <w:pPr>
        <w:jc w:val="center"/>
      </w:pPr>
      <w:r>
        <w:rPr>
          <w:i/>
          <w:color w:val="808080"/>
        </w:rPr>
        <w:t>[ Вставьте скриншот lr4_01: Окно «Определение кода СДР» ]</w:t>
      </w:r>
    </w:p>
    <w:p>
      <w:pPr>
        <w:jc w:val="center"/>
      </w:pPr>
      <w:r>
        <w:t>Рисунок — Окно «Определение кода СДР»</w:t>
      </w:r>
    </w:p>
    <w:p>
      <w:pPr>
        <w:jc w:val="center"/>
      </w:pPr>
      <w:r>
        <w:rPr>
          <w:i/>
          <w:color w:val="808080"/>
        </w:rPr>
        <w:t>[ Вставьте скриншот lr4_02: Заметка к задаче ]</w:t>
      </w:r>
    </w:p>
    <w:p>
      <w:pPr>
        <w:jc w:val="center"/>
      </w:pPr>
      <w:r>
        <w:t>Рисунок — Заметка к задаче</w:t>
      </w:r>
    </w:p>
    <w:p>
      <w:pPr>
        <w:jc w:val="center"/>
      </w:pPr>
      <w:r>
        <w:rPr>
          <w:i/>
          <w:color w:val="808080"/>
        </w:rPr>
        <w:t>[ Вставьте скриншот lr4_03: Индикаторы заметок и гиперссылок в диаграмме Ганта ]</w:t>
      </w:r>
    </w:p>
    <w:p>
      <w:pPr>
        <w:jc w:val="center"/>
      </w:pPr>
      <w:r>
        <w:t>Рисунок — Индикаторы заметок и гиперссылок в диаграмме Ганта</w:t>
      </w:r>
    </w:p>
    <w:p>
      <w:r>
        <w:br w:type="page"/>
      </w:r>
    </w:p>
    <w:p>
      <w:pPr>
        <w:pStyle w:val="Heading1"/>
      </w:pPr>
      <w:r>
        <w:t>ЛР5. Стоимость проекта</w:t>
      </w:r>
    </w:p>
    <w:p>
      <w:r>
        <w:t>Стоимость = фиксированные затраты задач + Σ(трудозатраты × ставка) + затраты на использование + материалы × цена + затратные ресурсы.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Трудовые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Материалы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Затратные рес.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Фикс. затраты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97 600,00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97 600,00 ₽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 Программный комитет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82 800,00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82 800,00 ₽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 Логистика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113 050,00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50 000,00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163 050,00 ₽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 Материалы и публичность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83 200,00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4 000,00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87 200,00 ₽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 Проведение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54 100,00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54 100,00 ₽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484 750,00 ₽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Стоимость (таблица A)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Иванов И.И.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76 800,00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Сорокина С.Т.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72 000,00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Орлова Е.Н.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92 400,00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Кузнецов Д.А.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57 200,00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Смирнова А.В.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66 000,00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Волков М.С.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23 150,00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Петров П.П.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43 200,00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Печать программ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4 000,00 ₽</w:t>
            </w:r>
          </w:p>
        </w:tc>
      </w:tr>
    </w:tbl>
    <w:p/>
    <w:p>
      <w:r>
        <w:t>Если для всех назначений выбрать таблицу норм затрат B, стоимость проекта составит 545 950,00 ₽ (+61 200,00 ₽). У Иванова И.И. с 11.01.2027 ставка 1300 ₽/ч (вторая строка таблицы A, поле «Дата действия»).</w:t>
      </w:r>
    </w:p>
    <w:p>
      <w:r>
        <w:t>Порядок начисления: для трудовых ресурсов — пропорциональное; фиксированные затраты «Подбора зала» — в начале. Смена способа начисления меняет денежный поток по периодам (Отчёт → Затраты → Денежный поток), но не итоговую сумму.</w:t>
      </w:r>
    </w:p>
    <w:p>
      <w:pPr>
        <w:jc w:val="center"/>
      </w:pPr>
      <w:r>
        <w:rPr>
          <w:i/>
          <w:color w:val="808080"/>
        </w:rPr>
        <w:t>[ Вставьте скриншот lr5_01: Таблица «Затраты» ]</w:t>
      </w:r>
    </w:p>
    <w:p>
      <w:pPr>
        <w:jc w:val="center"/>
      </w:pPr>
      <w:r>
        <w:t>Рисунок — Таблица «Затраты»</w:t>
      </w:r>
    </w:p>
    <w:p>
      <w:pPr>
        <w:jc w:val="center"/>
      </w:pPr>
      <w:r>
        <w:rPr>
          <w:i/>
          <w:color w:val="808080"/>
        </w:rPr>
        <w:t>[ Вставьте скриншот lr5_02: Отчёт «Денежный поток» ]</w:t>
      </w:r>
    </w:p>
    <w:p>
      <w:pPr>
        <w:jc w:val="center"/>
      </w:pPr>
      <w:r>
        <w:t>Рисунок — Отчёт «Денежный поток»</w:t>
      </w:r>
    </w:p>
    <w:p>
      <w:r>
        <w:br w:type="page"/>
      </w:r>
    </w:p>
    <w:p>
      <w:pPr>
        <w:pStyle w:val="Heading1"/>
      </w:pPr>
      <w:r>
        <w:t>ЛР6. Анализ доступности ресурсов</w:t>
      </w:r>
    </w:p>
    <w:p>
      <w:r>
        <w:t>Доступный объём работ = единицы ресурса × рабочее время календаря за период. Пример: Иванов И.И. 05.10–16.10: 0,5 × 10 дн. × 8 ч = 40 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Дней с превышением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Пик, доля от доступного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Задачи-конфликты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Иванов И.И.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1.1, 1.3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05.10–05.10: 8 ч из 4; 12.10–14.10: 8 ч из 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Орлова Е.Н.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2.3, 4.4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28.10–30.10: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Кузнецов Д.А.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3.1, 3.2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16.10–20.10: 12 ч из 8</w:t>
            </w:r>
          </w:p>
        </w:tc>
      </w:tr>
    </w:tbl>
    <w:p/>
    <w:p>
      <w:r>
        <w:t>Поле «Превышение доступности» = Да, когда в каком-либо интервале назначенные единицы («Пиковая нагрузка») больше доступных («Макс. единиц» с учётом таблицы доступности). Индикатор «требуется выравнивание» зависит от выбранной детализации (день за днём, неделя за неделей…): при «неделя за неделей» кратковременные перегрузки не отмечаются.</w:t>
      </w:r>
    </w:p>
    <w:p>
      <w:pPr>
        <w:jc w:val="center"/>
      </w:pPr>
      <w:r>
        <w:rPr>
          <w:i/>
          <w:color w:val="808080"/>
        </w:rPr>
        <w:t>[ Вставьте скриншот lr6_01: Лист ресурсов: ресурсы с превышением доступности выделены красным ]</w:t>
      </w:r>
    </w:p>
    <w:p>
      <w:pPr>
        <w:jc w:val="center"/>
      </w:pPr>
      <w:r>
        <w:t>Рисунок — Лист ресурсов: ресурсы с превышением доступности выделены красным</w:t>
      </w:r>
    </w:p>
    <w:p>
      <w:pPr>
        <w:jc w:val="center"/>
      </w:pPr>
      <w:r>
        <w:rPr>
          <w:i/>
          <w:color w:val="808080"/>
        </w:rPr>
        <w:t>[ Вставьте скриншот lr6_02: График ресурсов для Смирновой А.В. ]</w:t>
      </w:r>
    </w:p>
    <w:p>
      <w:pPr>
        <w:jc w:val="center"/>
      </w:pPr>
      <w:r>
        <w:t>Рисунок — График ресурсов для Смирновой А.В.</w:t>
      </w:r>
    </w:p>
    <w:p>
      <w:pPr>
        <w:jc w:val="center"/>
      </w:pPr>
      <w:r>
        <w:rPr>
          <w:i/>
          <w:color w:val="808080"/>
        </w:rPr>
        <w:t>[ Вставьте скриншот lr6_03: Использование ресурсов ]</w:t>
      </w:r>
    </w:p>
    <w:p>
      <w:pPr>
        <w:jc w:val="center"/>
      </w:pPr>
      <w:r>
        <w:t>Рисунок — Использование ресурсов</w:t>
      </w:r>
    </w:p>
    <w:p>
      <w:r>
        <w:br w:type="page"/>
      </w:r>
    </w:p>
    <w:p>
      <w:pPr>
        <w:pStyle w:val="Heading1"/>
      </w:pPr>
      <w:r>
        <w:t>ЛР7. Выравнивание загрузки ресурсов</w:t>
      </w:r>
    </w:p>
    <w:p>
      <w:r>
        <w:t>Способы устранения по ресурсам: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Рекомендуемый способ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Иванов И.И.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Выравнивание (задержка задачи с резервом) или перераспределение части работ на другой ресурс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Орлова Е.Н.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Сверхурочные в дни пика или выравнивание в пределах резерва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Кузнецов Д.А.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Сверхурочные в дни пика или выравнивание в пределах резерва</w:t>
            </w:r>
          </w:p>
        </w:tc>
      </w:tr>
    </w:tbl>
    <w:p/>
    <w:p>
      <w:r>
        <w:t>Автоматически: Ресурс → Параметры выравнивания: «день за днём», порядок «Стандартный», флажок «Выравнивание только в пределах имеющегося резерва» снят → «Выровнять все». Результат сравнить в представлении «Диаграмма Ганта с выравниванием». Выравнивание сдвигает задачи с резервом и может удлинить проект — в отчёте сравнить дату окончания до и после.</w:t>
      </w:r>
    </w:p>
    <w:p>
      <w:pPr>
        <w:jc w:val="center"/>
      </w:pPr>
      <w:r>
        <w:rPr>
          <w:i/>
          <w:color w:val="808080"/>
        </w:rPr>
        <w:t>[ Вставьте скриншот lr7_01: Параметры выравнивания ]</w:t>
      </w:r>
    </w:p>
    <w:p>
      <w:pPr>
        <w:jc w:val="center"/>
      </w:pPr>
      <w:r>
        <w:t>Рисунок — Параметры выравнивания</w:t>
      </w:r>
    </w:p>
    <w:p>
      <w:pPr>
        <w:jc w:val="center"/>
      </w:pPr>
      <w:r>
        <w:rPr>
          <w:i/>
          <w:color w:val="808080"/>
        </w:rPr>
        <w:t>[ Вставьте скриншот lr7_02: Диаграмма Ганта с выравниванием (до/после) ]</w:t>
      </w:r>
    </w:p>
    <w:p>
      <w:pPr>
        <w:jc w:val="center"/>
      </w:pPr>
      <w:r>
        <w:t>Рисунок — Диаграмма Ганта с выравниванием (до/после)</w:t>
      </w:r>
    </w:p>
    <w:p>
      <w:r>
        <w:br w:type="page"/>
      </w:r>
    </w:p>
    <w:p>
      <w:pPr>
        <w:pStyle w:val="Heading1"/>
      </w:pPr>
      <w:r>
        <w:t>ЛР8. Анализ длительностей методом PERT</w:t>
      </w:r>
    </w:p>
    <w:p>
      <w:r>
        <w:t>В MS Project 2010+ (в т.ч. Project профессиональный 365) панель «Анализ по методу PERT» удалена, поэтому расчёт выполняется настраиваемыми полями: Длительность1 — оптимистическая (О), Длительность2 — наиболее вероятная (М), Длительность3 — пессимистическая (П), Длительность4 — формула. Веса 1-4-1: T = (О + 4М + П) / 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 1-4-1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 1-3-2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 1-2-3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σ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Первое заседание оргкомитета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Определение тематики и целевой аудитории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Разработка положения о конференции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Сбор аннотаций и тезисов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0.67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Рецензирование материалов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Формирование программы конференции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Подбор зала и технического оборудования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Организация кофе-брейков и обеда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Транспорт и размещение спикеров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0.67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Создание сайта конференции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6.67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7.17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0.83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Рассылка первого сообщения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Печать программ и бейджей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Подготовка сборника тезисов к печати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0.67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Регистрация участников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Открытие и пленарное заседание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Работа секций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Заключительная сессия и подведение итогов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0.17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Вариант весов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 проекта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Исходные длительности (М)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19.11.2026 17:00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1-4-1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23.11.2026 12:00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1-3-2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27.11.2026 09:00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1-2-3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02.12.2026 11:00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 = М (задание 9), веса 1-4-1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18.11.2026 16:00</w:t>
            </w:r>
          </w:p>
        </w:tc>
      </w:tr>
    </w:tbl>
    <w:p/>
    <w:p>
      <w:r>
        <w:t>Стандартное отклонение длительности критического пути (PERT 1-4-1): σ ≈ 1.5 раб. дн. С вероятностью ≈ 84 % проект завершится не позднее T + σ. Чем больше вес пессимистической оценки, тем дальше срок окончания; при П = М ожидаемые длительности становятся меньше наиболее вероятных.</w:t>
      </w:r>
    </w:p>
    <w:p>
      <w:pPr>
        <w:jc w:val="center"/>
      </w:pPr>
      <w:r>
        <w:rPr>
          <w:i/>
          <w:color w:val="808080"/>
        </w:rPr>
        <w:t>[ Вставьте скриншот lr8_01: Таблица с полями Длительность1–4 ]</w:t>
      </w:r>
    </w:p>
    <w:p>
      <w:pPr>
        <w:jc w:val="center"/>
      </w:pPr>
      <w:r>
        <w:t>Рисунок — Таблица с полями Длительность1–4</w:t>
      </w:r>
    </w:p>
    <w:p>
      <w:pPr>
        <w:jc w:val="center"/>
      </w:pPr>
      <w:r>
        <w:rPr>
          <w:i/>
          <w:color w:val="808080"/>
        </w:rPr>
        <w:t>[ Вставьте скриншот lr8_02: Диаграмма Ганта до и после PERT ]</w:t>
      </w:r>
    </w:p>
    <w:p>
      <w:pPr>
        <w:jc w:val="center"/>
      </w:pPr>
      <w:r>
        <w:t>Рисунок — Диаграмма Ганта до и после PERT</w:t>
      </w:r>
    </w:p>
    <w:p>
      <w:r>
        <w:br w:type="page"/>
      </w:r>
    </w:p>
    <w:p>
      <w:pPr>
        <w:pStyle w:val="Heading1"/>
      </w:pPr>
      <w:r>
        <w:t>ЛР9. Критический путь и анализ стоимости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Критическая задача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Первое заседание оргкомитета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Определение тематики и целевой аудитории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06.10.2026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09.10.2026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Разработка положения о конференции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Положение утверждено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Сбор аннотаций и тезисов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21.10.2026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Рецензирование материалов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22.10.2026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Формирование программы конференции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28.10.2026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Программа утверждена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Создание сайта конференции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Рассылка первого сообщения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Материалы готовы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12.11.2026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Регистрация участников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Открытие и пленарное заседание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Работа секций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Заключительная сессия и подведение итогов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Конференция завершена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19.11.2026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19.11.2026 17:00</w:t>
            </w:r>
          </w:p>
        </w:tc>
      </w:tr>
    </w:tbl>
    <w:p/>
    <w:p>
      <w:r>
        <w:t>Способы сокращения критического пути (расчёт):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Способ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 проекта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Что изменено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Исходный план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19.11.2026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1) Сократить объём работ критической задачи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17.11.2026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4.1 «Создание сайта конференции»: 6 → 4 дн. (контент перенесён в отдельную задачу)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2) Добавить ресурс без изменения объёма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16.11.2026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4.1: тип «Фиксированный объём работ» + Смирнова А.В. 100 %: 48 ч / 2 ед. = 3 дн.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3) Разбить задачу на две параллельные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16.11.2026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4.1 → «дизайн и вёрстка» (Петров, 3 дн.) ‖ «наполнение и тексты» (Смирнова, 3 дн.)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4) Начало проекта сдвинуто на неделю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26.11.2026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срок позже крайнего срока вехи 5.5 — появляется отрицательный резерв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5) Сдвиг на неделю + ресурс на 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23.11.2026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как в способе 2: + Смирнова А.В. 100 % на 4.1 → 3 дн., проект снова укладывается в крайний срок</w:t>
            </w:r>
          </w:p>
        </w:tc>
      </w:tr>
    </w:tbl>
    <w:p/>
    <w:p>
      <w:r>
        <w:t>Распределение затрат по коду работ (поле «Код работ», группировка):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Код работ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% от общей стоимости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ЛОГ — Логистика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163 050,00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33.6%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ОРГ — Организация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144 800,00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29.9%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ПК — Программный комитет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82 800,00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17.1%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 — Публичность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60 800,00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12.5%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МАТ — Материалы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26 400,00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5.4%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ПРИЁМ — Приём участников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6 900,00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1.4%</w:t>
            </w:r>
          </w:p>
        </w:tc>
      </w:tr>
    </w:tbl>
    <w:p/>
    <w:p>
      <w:r>
        <w:t>Распределение затрат по фазам: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% от общей стоимости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97 600,00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20.1%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 Программный комитет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82 800,00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17.1%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 Логистика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163 050,00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33.6%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 Материалы и публичность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87 200,00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18.0%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 Проведение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54 100,00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11.2%</w:t>
            </w:r>
          </w:p>
        </w:tc>
      </w:tr>
    </w:tbl>
    <w:p/>
    <w:p>
      <w:r>
        <w:t>Наибольшая доля затрат — «Логистика».</w:t>
      </w:r>
    </w:p>
    <w:p>
      <w:pPr>
        <w:jc w:val="center"/>
      </w:pPr>
      <w:r>
        <w:rPr>
          <w:i/>
          <w:color w:val="808080"/>
        </w:rPr>
        <w:t>[ Вставьте скриншот lr9_01: Критический путь (Формат → Критические задачи) ]</w:t>
      </w:r>
    </w:p>
    <w:p>
      <w:pPr>
        <w:jc w:val="center"/>
      </w:pPr>
      <w:r>
        <w:t>Рисунок — Критический путь (Формат → Критические задачи)</w:t>
      </w:r>
    </w:p>
    <w:p>
      <w:pPr>
        <w:jc w:val="center"/>
      </w:pPr>
      <w:r>
        <w:rPr>
          <w:i/>
          <w:color w:val="808080"/>
        </w:rPr>
        <w:t>[ Вставьте скриншот lr9_02: Таблица «Затраты» с полями «Общая стоимость», «% от общей стоимости», «Код работ» ]</w:t>
      </w:r>
    </w:p>
    <w:p>
      <w:pPr>
        <w:jc w:val="center"/>
      </w:pPr>
      <w:r>
        <w:t>Рисунок — Таблица «Затраты» с полями «Общая стоимость», «% от общей стоимости», «Код работ»</w:t>
      </w:r>
    </w:p>
    <w:p>
      <w:pPr>
        <w:jc w:val="center"/>
      </w:pPr>
      <w:r>
        <w:rPr>
          <w:i/>
          <w:color w:val="808080"/>
        </w:rPr>
        <w:t>[ Вставьте скриншот lr9_03: Группировка по «Коду работ» ]</w:t>
      </w:r>
    </w:p>
    <w:p>
      <w:pPr>
        <w:jc w:val="center"/>
      </w:pPr>
      <w:r>
        <w:t>Рисунок — Группировка по «Коду работ»</w:t>
      </w:r>
    </w:p>
    <w:p>
      <w:pPr>
        <w:pStyle w:val="Heading1"/>
      </w:pPr>
      <w:r>
        <w:t>Выводы</w:t>
      </w:r>
    </w:p>
    <w:p>
      <w:r>
        <w:t>[ Сформулируйте выводы по каждой работе своими словами ]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