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96</w:t>
        <w:br/>
      </w:r>
      <w:r>
        <w:rPr>
          <w:b/>
          <w:color w:val="6F42C1"/>
          <w:sz w:val="56"/>
        </w:rPr>
        <w:t>Graph Neural Networks Deep Dive</w:t>
      </w:r>
    </w:p>
    <w:p>
      <w:pPr>
        <w:jc w:val="center"/>
      </w:pPr>
      <w:r>
        <w:rPr>
          <w:i/>
        </w:rPr>
        <w:br/>
        <w:t>GCN · GraphSAGE · GIN · GAT · MPNN · PinSAGE · Graphormer · GraphGPS · PyG · DGL</w:t>
        <w:br/>
      </w:r>
      <w:r>
        <w:rPr>
          <w:sz w:val="22"/>
        </w:rPr>
        <w:t>Phase 14 · UDL Chap 13 · Module 96</w:t>
      </w:r>
    </w:p>
    <w:p/>
    <w:p>
      <w:pPr>
        <w:ind w:left="360"/>
      </w:pPr>
      <w:r>
        <w:rPr>
          <w:b/>
          <w:color w:val="6F42C1"/>
        </w:rPr>
        <w:t xml:space="preserve">💡  </w:t>
      </w:r>
      <w:r>
        <w:rPr>
          <w:i/>
        </w:rPr>
        <w:t>🎯 Original roadmap left M24 ('GNNs') as TODO; M87 (GraphRAG) used graphs as retrieval substrate without explaining how to LEARN on them. This module closes both gaps, built around UDL Chap13's four notebooks (Graph Representation, Graph Classification, Neighborhood Sampling, GAT) and modernized to 2026 — MPNN framework, the four canonical layers (GCN/SAGE/GIN/GAT), scaling tricks that scaled to billion-edge graphs, and the Graph Transformer that beat purpose-built GNNs by 2024.</w:t>
      </w:r>
    </w:p>
    <w:p/>
    <w:p>
      <w:r>
        <w:rPr>
          <w:b w:val="0"/>
          <w:i/>
          <w:sz w:val="22"/>
        </w:rPr>
        <w:t>Prerequisites: M14 (model dev), M18 (six core models), M19/M20 (attention), M83 (CNNs), M87 (GraphRAG).</w:t>
      </w:r>
    </w:p>
    <w:p/>
    <w:p>
      <w:r>
        <w:rPr>
          <w:b/>
          <w:i w:val="0"/>
          <w:sz w:val="26"/>
        </w:rPr>
        <w:t>What you'll cover</w:t>
      </w:r>
    </w:p>
    <w:p>
      <w:r>
        <w:rPr>
          <w:b w:val="0"/>
          <w:i w:val="0"/>
        </w:rPr>
        <w:t>1. Graph data model — adjacency · features · tasks</w:t>
      </w:r>
    </w:p>
    <w:p>
      <w:r>
        <w:rPr>
          <w:b w:val="0"/>
          <w:i w:val="0"/>
        </w:rPr>
        <w:t>2. Why classical NNs can't ingest graphs — permutation invariance</w:t>
      </w:r>
    </w:p>
    <w:p>
      <w:r>
        <w:rPr>
          <w:b w:val="0"/>
          <w:i w:val="0"/>
        </w:rPr>
        <w:t>3. GCN (Kipf 2017) — spectral → spatial bridge</w:t>
      </w:r>
    </w:p>
    <w:p>
      <w:r>
        <w:rPr>
          <w:b w:val="0"/>
          <w:i w:val="0"/>
        </w:rPr>
        <w:t>4. GraphSAGE — neighborhood sampling for inductive learning</w:t>
      </w:r>
    </w:p>
    <w:p>
      <w:r>
        <w:rPr>
          <w:b w:val="0"/>
          <w:i w:val="0"/>
        </w:rPr>
        <w:t>5. GIN — Weisfeiler-Lehman expressive power</w:t>
      </w:r>
    </w:p>
    <w:p>
      <w:r>
        <w:rPr>
          <w:b w:val="0"/>
          <w:i w:val="0"/>
        </w:rPr>
        <w:t>6. GAT / GATv2 — attention over neighbors</w:t>
      </w:r>
    </w:p>
    <w:p>
      <w:r>
        <w:rPr>
          <w:b w:val="0"/>
          <w:i w:val="0"/>
        </w:rPr>
        <w:t>7. MPNN — one equation that subsumes all GNNs</w:t>
      </w:r>
    </w:p>
    <w:p>
      <w:r>
        <w:rPr>
          <w:b w:val="0"/>
          <w:i w:val="0"/>
        </w:rPr>
        <w:t>8. Scaling — Cluster-GCN, GraphSAINT, PinSAGE</w:t>
      </w:r>
    </w:p>
    <w:p>
      <w:r>
        <w:rPr>
          <w:b w:val="0"/>
          <w:i w:val="0"/>
        </w:rPr>
        <w:t>9. Graph Transformers — Graphormer, GraphGPS, TokenGT, GRIT</w:t>
      </w:r>
    </w:p>
    <w:p>
      <w:r>
        <w:rPr>
          <w:b w:val="0"/>
          <w:i w:val="0"/>
        </w:rPr>
        <w:t>10. 2026 production stack + bridge to M87 GraphRAG</w:t>
      </w:r>
    </w:p>
    <w:p>
      <w:r>
        <w:br w:type="page"/>
      </w:r>
    </w:p>
    <w:p>
      <w:pPr>
        <w:spacing w:before="160" w:after="80"/>
      </w:pPr>
      <w:r>
        <w:rPr>
          <w:b/>
          <w:color w:val="6F42C1"/>
          <w:sz w:val="36"/>
        </w:rPr>
        <w:t>1. The graph data model</w:t>
      </w:r>
    </w:p>
    <w:p>
      <w:r>
        <w:rPr>
          <w:b w:val="0"/>
          <w:i w:val="0"/>
        </w:rPr>
        <w:t>G = (V, E, X): N nodes, edges (sparse adjacency A), per-node features X ∈ R^{N×D}, optionally edge features e_ij. Three task tiers — node-level (classification per node: citation, fraud), edge-level (link prediction, recsys, drug interaction), graph-level (molecule property, code-bug). Transductive (train+test on same graph, Cora/CiteSeer/PubMed) vs inductive (generalize to new graphs/nodes, required for production — GraphSAGE was first to do it cleanly).</w:t>
      </w:r>
    </w:p>
    <w:p>
      <w:pPr>
        <w:ind w:left="360"/>
      </w:pPr>
      <w:r>
        <w:rPr>
          <w:b/>
          <w:color w:val="1865C5"/>
        </w:rPr>
        <w:t xml:space="preserve">ℹ️  </w:t>
      </w:r>
      <w:r>
        <w:rPr>
          <w:i/>
        </w:rPr>
        <w:t>Why graphs are everywhere: knowledge graphs (M87), social networks, recsys (PinSAGE), drug discovery, code (AST/data-flow), road networks (Google Maps), particle physics, traffic forecasting, fraud, GraphRAG retrieval. The substrate is general because relationships are general.</w:t>
      </w:r>
    </w:p>
    <w:p>
      <w:pPr>
        <w:spacing w:before="160" w:after="80"/>
      </w:pPr>
      <w:r>
        <w:rPr>
          <w:b/>
          <w:color w:val="6F42C1"/>
          <w:sz w:val="36"/>
        </w:rPr>
        <w:t>2. Permutation invariance</w:t>
      </w:r>
    </w:p>
    <w:p>
      <w:r>
        <w:rPr>
          <w:b w:val="0"/>
          <w:i w:val="0"/>
        </w:rPr>
        <w:t>A graph has no canonical node ordering. An MLP that takes a fixed vector violates permutation invariance: same graph with two orderings → different MLP inputs → different predictions. A GNN layer must satisfy f(P·X, P·A·P^T) = P·f(X, A) for any permutation P. The trick: aggregate only over the unordered neighborhood, then update. Message passing: m_v = Σ_{u∈N(v)} ψ(h_u, h_v, e_uv); h'_v = φ(h_v, m_v). Stack L layers → receptive field grows L hops. Every GNN — GCN, SAGE, GIN, GAT, MPNN, Graph Transformer — is a specific choice of ψ, Σ, φ.</w:t>
      </w:r>
    </w:p>
    <w:p>
      <w:pPr>
        <w:spacing w:before="160" w:after="80"/>
      </w:pPr>
      <w:r>
        <w:rPr>
          <w:b/>
          <w:color w:val="6F42C1"/>
          <w:sz w:val="36"/>
        </w:rPr>
        <w:t>3. GCN — Kipf &amp; Welling 2017</w:t>
      </w:r>
    </w:p>
    <w:p>
      <w:r>
        <w:rPr>
          <w:b w:val="0"/>
          <w:i w:val="0"/>
        </w:rPr>
        <w:t>H^{l+1} = σ(D̂^{-1/2} Â D̂^{-1/2} H^l W^l) where Â = A + I (self-loops). Two views: (1) spectral — first-order approx of a localized graph Fourier filter (ChebNet); (2) spatial — each node's new embedding = mean of (self + neighbors), projected by W. 2-layer GCN on Cora → ~81% test acc from ~140 labels. Semi-supervised because unlabeled nodes still propagate features.</w:t>
      </w:r>
    </w:p>
    <w:p>
      <w:pPr>
        <w:spacing w:after="0"/>
        <w:ind w:left="360"/>
      </w:pPr>
      <w:r>
        <w:rPr>
          <w:rFonts w:ascii="Menlo" w:hAnsi="Menlo"/>
          <w:b/>
          <w:color w:val="6F42C1"/>
          <w:sz w:val="18"/>
        </w:rPr>
        <w:t xml:space="preserve">● 1  </w:t>
      </w:r>
      <w:r>
        <w:rPr>
          <w:rFonts w:ascii="Menlo" w:hAnsi="Menlo"/>
          <w:color w:val="666666"/>
          <w:sz w:val="18"/>
        </w:rPr>
        <w:t>class GCNLayer(nn.Module):</w:t>
      </w:r>
    </w:p>
    <w:p>
      <w:pPr>
        <w:spacing w:after="0"/>
        <w:ind w:left="360"/>
      </w:pPr>
      <w:r>
        <w:rPr>
          <w:rFonts w:ascii="Menlo" w:hAnsi="Menlo"/>
          <w:b/>
          <w:color w:val="1865C5"/>
          <w:sz w:val="18"/>
        </w:rPr>
        <w:t xml:space="preserve">● 2  </w:t>
      </w:r>
      <w:r>
        <w:rPr>
          <w:rFonts w:ascii="Menlo" w:hAnsi="Menlo"/>
          <w:color w:val="666666"/>
          <w:sz w:val="18"/>
        </w:rPr>
        <w:t xml:space="preserve">    def __init__(self, in_dim, out_dim):</w:t>
      </w:r>
    </w:p>
    <w:p>
      <w:pPr>
        <w:spacing w:after="0"/>
        <w:ind w:left="360"/>
      </w:pPr>
      <w:r>
        <w:rPr>
          <w:rFonts w:ascii="Menlo" w:hAnsi="Menlo"/>
          <w:b/>
          <w:color w:val="22863A"/>
          <w:sz w:val="18"/>
        </w:rPr>
        <w:t xml:space="preserve">● 3  </w:t>
      </w:r>
      <w:r>
        <w:rPr>
          <w:rFonts w:ascii="Menlo" w:hAnsi="Menlo"/>
          <w:color w:val="666666"/>
          <w:sz w:val="18"/>
        </w:rPr>
        <w:t xml:space="preserve">        super().__init__()</w:t>
      </w:r>
    </w:p>
    <w:p>
      <w:pPr>
        <w:spacing w:after="0"/>
        <w:ind w:left="360"/>
      </w:pPr>
      <w:r>
        <w:rPr>
          <w:rFonts w:ascii="Menlo" w:hAnsi="Menlo"/>
          <w:b/>
          <w:color w:val="E36B09"/>
          <w:sz w:val="18"/>
        </w:rPr>
        <w:t xml:space="preserve">● 4  </w:t>
      </w:r>
      <w:r>
        <w:rPr>
          <w:rFonts w:ascii="Menlo" w:hAnsi="Menlo"/>
          <w:color w:val="666666"/>
          <w:sz w:val="18"/>
        </w:rPr>
        <w:t xml:space="preserve">        self.W = nn.Linear(in_dim, out_dim, bias=False)</w:t>
      </w:r>
    </w:p>
    <w:p>
      <w:pPr>
        <w:spacing w:after="0"/>
        <w:ind w:left="360"/>
      </w:pPr>
      <w:r>
        <w:rPr>
          <w:rFonts w:ascii="Menlo" w:hAnsi="Menlo"/>
          <w:b/>
          <w:color w:val="CB2231"/>
          <w:sz w:val="18"/>
        </w:rPr>
        <w:t xml:space="preserve">● 5  </w:t>
      </w:r>
      <w:r>
        <w:rPr>
          <w:rFonts w:ascii="Menlo" w:hAnsi="Menlo"/>
          <w:color w:val="666666"/>
          <w:sz w:val="18"/>
        </w:rPr>
        <w:t xml:space="preserve">    def forward(self, X, A_hat):           # A_hat = D^-1/2 (A+I) D^-1/2</w:t>
      </w:r>
    </w:p>
    <w:p>
      <w:pPr>
        <w:spacing w:after="0"/>
        <w:ind w:left="360"/>
      </w:pPr>
      <w:r>
        <w:rPr>
          <w:rFonts w:ascii="Menlo" w:hAnsi="Menlo"/>
          <w:b/>
          <w:color w:val="883DAE"/>
          <w:sz w:val="18"/>
        </w:rPr>
        <w:t xml:space="preserve">● 6  </w:t>
      </w:r>
      <w:r>
        <w:rPr>
          <w:rFonts w:ascii="Menlo" w:hAnsi="Menlo"/>
          <w:color w:val="666666"/>
          <w:sz w:val="18"/>
        </w:rPr>
        <w:t xml:space="preserve">        return self.W(A_hat @ X)</w:t>
      </w:r>
    </w:p>
    <w:p>
      <w:pPr>
        <w:spacing w:after="0"/>
        <w:ind w:left="360"/>
      </w:pPr>
      <w:r>
        <w:rPr>
          <w:rFonts w:ascii="Menlo" w:hAnsi="Menlo"/>
          <w:b/>
          <w:color w:val="6F42C1"/>
          <w:sz w:val="18"/>
        </w:rPr>
        <w:t xml:space="preserve">● 7  </w:t>
      </w:r>
      <w:r>
        <w:rPr>
          <w:rFonts w:ascii="Menlo" w:hAnsi="Menlo"/>
          <w:color w:val="666666"/>
          <w:sz w:val="18"/>
        </w:rPr>
        <w:t xml:space="preserve"> </w:t>
      </w:r>
    </w:p>
    <w:p>
      <w:pPr>
        <w:spacing w:after="0"/>
        <w:ind w:left="360"/>
      </w:pPr>
      <w:r>
        <w:rPr>
          <w:rFonts w:ascii="Menlo" w:hAnsi="Menlo"/>
          <w:b/>
          <w:color w:val="1865C5"/>
          <w:sz w:val="18"/>
        </w:rPr>
        <w:t xml:space="preserve">● 8  </w:t>
      </w:r>
      <w:r>
        <w:rPr>
          <w:rFonts w:ascii="Menlo" w:hAnsi="Menlo"/>
          <w:color w:val="666666"/>
          <w:sz w:val="18"/>
        </w:rPr>
        <w:t>class GCN(nn.Module):</w:t>
      </w:r>
    </w:p>
    <w:p>
      <w:pPr>
        <w:spacing w:after="0"/>
        <w:ind w:left="360"/>
      </w:pPr>
      <w:r>
        <w:rPr>
          <w:rFonts w:ascii="Menlo" w:hAnsi="Menlo"/>
          <w:b/>
          <w:color w:val="22863A"/>
          <w:sz w:val="18"/>
        </w:rPr>
        <w:t xml:space="preserve">● 9  </w:t>
      </w:r>
      <w:r>
        <w:rPr>
          <w:rFonts w:ascii="Menlo" w:hAnsi="Menlo"/>
          <w:color w:val="666666"/>
          <w:sz w:val="18"/>
        </w:rPr>
        <w:t xml:space="preserve">    def __init__(self, in_dim, hid, out_dim):</w:t>
      </w:r>
    </w:p>
    <w:p>
      <w:pPr>
        <w:spacing w:after="0"/>
        <w:ind w:left="360"/>
      </w:pPr>
      <w:r>
        <w:rPr>
          <w:rFonts w:ascii="Menlo" w:hAnsi="Menlo"/>
          <w:b/>
          <w:color w:val="E36B09"/>
          <w:sz w:val="18"/>
        </w:rPr>
        <w:t xml:space="preserve">●10  </w:t>
      </w:r>
      <w:r>
        <w:rPr>
          <w:rFonts w:ascii="Menlo" w:hAnsi="Menlo"/>
          <w:color w:val="666666"/>
          <w:sz w:val="18"/>
        </w:rPr>
        <w:t xml:space="preserve">        super().__init__()</w:t>
      </w:r>
    </w:p>
    <w:p>
      <w:pPr>
        <w:spacing w:after="0"/>
        <w:ind w:left="360"/>
      </w:pPr>
      <w:r>
        <w:rPr>
          <w:rFonts w:ascii="Menlo" w:hAnsi="Menlo"/>
          <w:b/>
          <w:color w:val="CB2231"/>
          <w:sz w:val="18"/>
        </w:rPr>
        <w:t xml:space="preserve">●11  </w:t>
      </w:r>
      <w:r>
        <w:rPr>
          <w:rFonts w:ascii="Menlo" w:hAnsi="Menlo"/>
          <w:color w:val="666666"/>
          <w:sz w:val="18"/>
        </w:rPr>
        <w:t xml:space="preserve">        self.g1 = GCNLayer(in_dim, hid)</w:t>
      </w:r>
    </w:p>
    <w:p>
      <w:pPr>
        <w:spacing w:after="0"/>
        <w:ind w:left="360"/>
      </w:pPr>
      <w:r>
        <w:rPr>
          <w:rFonts w:ascii="Menlo" w:hAnsi="Menlo"/>
          <w:b/>
          <w:color w:val="883DAE"/>
          <w:sz w:val="18"/>
        </w:rPr>
        <w:t xml:space="preserve">●12  </w:t>
      </w:r>
      <w:r>
        <w:rPr>
          <w:rFonts w:ascii="Menlo" w:hAnsi="Menlo"/>
          <w:color w:val="666666"/>
          <w:sz w:val="18"/>
        </w:rPr>
        <w:t xml:space="preserve">        self.g2 = GCNLayer(hid, out_dim)</w:t>
      </w:r>
    </w:p>
    <w:p>
      <w:pPr>
        <w:spacing w:after="0"/>
        <w:ind w:left="360"/>
      </w:pPr>
      <w:r>
        <w:rPr>
          <w:rFonts w:ascii="Menlo" w:hAnsi="Menlo"/>
          <w:b/>
          <w:color w:val="6F42C1"/>
          <w:sz w:val="18"/>
        </w:rPr>
        <w:t xml:space="preserve">●13  </w:t>
      </w:r>
      <w:r>
        <w:rPr>
          <w:rFonts w:ascii="Menlo" w:hAnsi="Menlo"/>
          <w:color w:val="666666"/>
          <w:sz w:val="18"/>
        </w:rPr>
        <w:t xml:space="preserve">    def forward(self, X, A_hat):</w:t>
      </w:r>
    </w:p>
    <w:p>
      <w:pPr>
        <w:spacing w:after="0"/>
        <w:ind w:left="360"/>
      </w:pPr>
      <w:r>
        <w:rPr>
          <w:rFonts w:ascii="Menlo" w:hAnsi="Menlo"/>
          <w:b/>
          <w:color w:val="1865C5"/>
          <w:sz w:val="18"/>
        </w:rPr>
        <w:t xml:space="preserve">●14  </w:t>
      </w:r>
      <w:r>
        <w:rPr>
          <w:rFonts w:ascii="Menlo" w:hAnsi="Menlo"/>
          <w:color w:val="666666"/>
          <w:sz w:val="18"/>
        </w:rPr>
        <w:t xml:space="preserve">        H = F.relu(self.g1(X, A_hat))</w:t>
      </w:r>
    </w:p>
    <w:p>
      <w:pPr>
        <w:spacing w:after="0"/>
        <w:ind w:left="360"/>
      </w:pPr>
      <w:r>
        <w:rPr>
          <w:rFonts w:ascii="Menlo" w:hAnsi="Menlo"/>
          <w:b/>
          <w:color w:val="22863A"/>
          <w:sz w:val="18"/>
        </w:rPr>
        <w:t xml:space="preserve">●15  </w:t>
      </w:r>
      <w:r>
        <w:rPr>
          <w:rFonts w:ascii="Menlo" w:hAnsi="Menlo"/>
          <w:color w:val="666666"/>
          <w:sz w:val="18"/>
        </w:rPr>
        <w:t xml:space="preserve">        H = F.dropout(H, p=0.5, training=self.training)</w:t>
      </w:r>
    </w:p>
    <w:p>
      <w:pPr>
        <w:spacing w:after="0"/>
        <w:ind w:left="360"/>
      </w:pPr>
      <w:r>
        <w:rPr>
          <w:rFonts w:ascii="Menlo" w:hAnsi="Menlo"/>
          <w:b/>
          <w:color w:val="E36B09"/>
          <w:sz w:val="18"/>
        </w:rPr>
        <w:t xml:space="preserve">●16  </w:t>
      </w:r>
      <w:r>
        <w:rPr>
          <w:rFonts w:ascii="Menlo" w:hAnsi="Menlo"/>
          <w:color w:val="666666"/>
          <w:sz w:val="18"/>
        </w:rPr>
        <w:t xml:space="preserve">        return self.g2(H, A_hat)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6F42C1"/>
              </w:rPr>
              <w:t>●1</w:t>
            </w:r>
          </w:p>
        </w:tc>
        <w:tc>
          <w:tcPr>
            <w:tcW w:type="dxa" w:w="4824"/>
          </w:tcPr>
          <w:p>
            <w:r>
              <w:t>GCN layer class.</w:t>
            </w:r>
          </w:p>
        </w:tc>
      </w:tr>
      <w:tr>
        <w:tc>
          <w:tcPr>
            <w:tcW w:type="dxa" w:w="4824"/>
          </w:tcPr>
          <w:p>
            <w:r>
              <w:rPr>
                <w:b/>
                <w:color w:val="1865C5"/>
              </w:rPr>
              <w:t>●2</w:t>
            </w:r>
          </w:p>
        </w:tc>
        <w:tc>
          <w:tcPr>
            <w:tcW w:type="dxa" w:w="4824"/>
          </w:tcPr>
          <w:p>
            <w:r>
              <w:t>Linear projection W; no bias (standard).</w:t>
            </w:r>
          </w:p>
        </w:tc>
      </w:tr>
      <w:tr>
        <w:tc>
          <w:tcPr>
            <w:tcW w:type="dxa" w:w="4824"/>
          </w:tcPr>
          <w:p>
            <w:r>
              <w:rPr>
                <w:b/>
                <w:color w:val="22863A"/>
              </w:rPr>
              <w:t>●3</w:t>
            </w:r>
          </w:p>
        </w:tc>
        <w:tc>
          <w:tcPr>
            <w:tcW w:type="dxa" w:w="4824"/>
          </w:tcPr>
          <w:p>
            <w:r>
              <w:t>(blank)</w:t>
            </w:r>
          </w:p>
        </w:tc>
      </w:tr>
      <w:tr>
        <w:tc>
          <w:tcPr>
            <w:tcW w:type="dxa" w:w="4824"/>
          </w:tcPr>
          <w:p>
            <w:r>
              <w:rPr>
                <w:b/>
                <w:color w:val="E36B09"/>
              </w:rPr>
              <w:t>●4</w:t>
            </w:r>
          </w:p>
        </w:tc>
        <w:tc>
          <w:tcPr>
            <w:tcW w:type="dxa" w:w="4824"/>
          </w:tcPr>
          <w:p>
            <w:r>
              <w:t>Forward — A_hat is precomputed symmetric-normalized adjacency.</w:t>
            </w:r>
          </w:p>
        </w:tc>
      </w:tr>
      <w:tr>
        <w:tc>
          <w:tcPr>
            <w:tcW w:type="dxa" w:w="4824"/>
          </w:tcPr>
          <w:p>
            <w:r>
              <w:rPr>
                <w:b/>
                <w:color w:val="CB2231"/>
              </w:rPr>
              <w:t>●5</w:t>
            </w:r>
          </w:p>
        </w:tc>
        <w:tc>
          <w:tcPr>
            <w:tcW w:type="dxa" w:w="4824"/>
          </w:tcPr>
          <w:p>
            <w:r>
              <w:t>Sparse mat-vec then projection.</w:t>
            </w:r>
          </w:p>
        </w:tc>
      </w:tr>
      <w:tr>
        <w:tc>
          <w:tcPr>
            <w:tcW w:type="dxa" w:w="4824"/>
          </w:tcPr>
          <w:p>
            <w:r>
              <w:rPr>
                <w:b/>
                <w:color w:val="883DAE"/>
              </w:rPr>
              <w:t>●6</w:t>
            </w:r>
          </w:p>
        </w:tc>
        <w:tc>
          <w:tcPr>
            <w:tcW w:type="dxa" w:w="4824"/>
          </w:tcPr>
          <w:p>
            <w:r>
              <w:t>(blank)</w:t>
            </w:r>
          </w:p>
        </w:tc>
      </w:tr>
      <w:tr>
        <w:tc>
          <w:tcPr>
            <w:tcW w:type="dxa" w:w="4824"/>
          </w:tcPr>
          <w:p>
            <w:r>
              <w:rPr>
                <w:b/>
                <w:color w:val="6F42C1"/>
              </w:rPr>
              <w:t>●7</w:t>
            </w:r>
          </w:p>
        </w:tc>
        <w:tc>
          <w:tcPr>
            <w:tcW w:type="dxa" w:w="4824"/>
          </w:tcPr>
          <w:p>
            <w:r>
              <w:t>Two-layer GCN.</w:t>
            </w:r>
          </w:p>
        </w:tc>
      </w:tr>
      <w:tr>
        <w:tc>
          <w:tcPr>
            <w:tcW w:type="dxa" w:w="4824"/>
          </w:tcPr>
          <w:p>
            <w:r>
              <w:rPr>
                <w:b/>
                <w:color w:val="1865C5"/>
              </w:rPr>
              <w:t>●8</w:t>
            </w:r>
          </w:p>
        </w:tc>
        <w:tc>
          <w:tcPr>
            <w:tcW w:type="dxa" w:w="4824"/>
          </w:tcPr>
          <w:p>
            <w:r>
              <w:t>First layer: in_dim → hid.</w:t>
            </w:r>
          </w:p>
        </w:tc>
      </w:tr>
      <w:tr>
        <w:tc>
          <w:tcPr>
            <w:tcW w:type="dxa" w:w="4824"/>
          </w:tcPr>
          <w:p>
            <w:r>
              <w:rPr>
                <w:b/>
                <w:color w:val="22863A"/>
              </w:rPr>
              <w:t>●9</w:t>
            </w:r>
          </w:p>
        </w:tc>
        <w:tc>
          <w:tcPr>
            <w:tcW w:type="dxa" w:w="4824"/>
          </w:tcPr>
          <w:p>
            <w:r>
              <w:t>Second layer: hid → out_dim (num classes).</w:t>
            </w:r>
          </w:p>
        </w:tc>
      </w:tr>
      <w:tr>
        <w:tc>
          <w:tcPr>
            <w:tcW w:type="dxa" w:w="4824"/>
          </w:tcPr>
          <w:p>
            <w:r>
              <w:rPr>
                <w:b/>
                <w:color w:val="E36B09"/>
              </w:rPr>
              <w:t>●10</w:t>
            </w:r>
          </w:p>
        </w:tc>
        <w:tc>
          <w:tcPr>
            <w:tcW w:type="dxa" w:w="4824"/>
          </w:tcPr>
          <w:p>
            <w:r>
              <w:t>(blank)</w:t>
            </w:r>
          </w:p>
        </w:tc>
      </w:tr>
      <w:tr>
        <w:tc>
          <w:tcPr>
            <w:tcW w:type="dxa" w:w="4824"/>
          </w:tcPr>
          <w:p>
            <w:r>
              <w:rPr>
                <w:b/>
                <w:color w:val="CB2231"/>
              </w:rPr>
              <w:t>●11</w:t>
            </w:r>
          </w:p>
        </w:tc>
        <w:tc>
          <w:tcPr>
            <w:tcW w:type="dxa" w:w="4824"/>
          </w:tcPr>
          <w:p>
            <w:r>
              <w:t>Forward.</w:t>
            </w:r>
          </w:p>
        </w:tc>
      </w:tr>
      <w:tr>
        <w:tc>
          <w:tcPr>
            <w:tcW w:type="dxa" w:w="4824"/>
          </w:tcPr>
          <w:p>
            <w:r>
              <w:rPr>
                <w:b/>
                <w:color w:val="883DAE"/>
              </w:rPr>
              <w:t>●12</w:t>
            </w:r>
          </w:p>
        </w:tc>
        <w:tc>
          <w:tcPr>
            <w:tcW w:type="dxa" w:w="4824"/>
          </w:tcPr>
          <w:p>
            <w:r>
              <w:t>Layer 1 + ReLU.</w:t>
            </w:r>
          </w:p>
        </w:tc>
      </w:tr>
      <w:tr>
        <w:tc>
          <w:tcPr>
            <w:tcW w:type="dxa" w:w="4824"/>
          </w:tcPr>
          <w:p>
            <w:r>
              <w:rPr>
                <w:b/>
                <w:color w:val="6F42C1"/>
              </w:rPr>
              <w:t>●13</w:t>
            </w:r>
          </w:p>
        </w:tc>
        <w:tc>
          <w:tcPr>
            <w:tcW w:type="dxa" w:w="4824"/>
          </w:tcPr>
          <w:p>
            <w:r>
              <w:t>Dropout for regularization.</w:t>
            </w:r>
          </w:p>
        </w:tc>
      </w:tr>
      <w:tr>
        <w:tc>
          <w:tcPr>
            <w:tcW w:type="dxa" w:w="4824"/>
          </w:tcPr>
          <w:p>
            <w:r>
              <w:rPr>
                <w:b/>
                <w:color w:val="1865C5"/>
              </w:rPr>
              <w:t>●14</w:t>
            </w:r>
          </w:p>
        </w:tc>
        <w:tc>
          <w:tcPr>
            <w:tcW w:type="dxa" w:w="4824"/>
          </w:tcPr>
          <w:p>
            <w:r>
              <w:t>Layer 2 → logits.</w:t>
            </w:r>
          </w:p>
        </w:tc>
      </w:tr>
    </w:tbl>
    <w:p/>
    <w:p>
      <w:pPr>
        <w:spacing w:before="160" w:after="80"/>
      </w:pPr>
      <w:r>
        <w:rPr>
          <w:b/>
          <w:color w:val="6F42C1"/>
          <w:sz w:val="36"/>
        </w:rPr>
        <w:t>4. GraphSAGE — neighborhood sampling</w:t>
      </w:r>
    </w:p>
    <w:p>
      <w:r>
        <w:rPr>
          <w:b w:val="0"/>
          <w:i w:val="0"/>
        </w:rPr>
        <w:t>GCN's A_hat @ X is O(N²) dense or O(|E|) sparse — fine for Cora (2708 nodes), impossible for Facebook (~3B users, ~300B edges). GraphSAGE (Hamilton, Ying, Leskovec NIPS 2017): (1) sample fixed-size neighborhood per node (e.g. 25 hop-1, 10 hop-2) — constant per-node cost; (2) inductive — learn an aggregator function rather than per-node embedding so new nodes can be embedded at test time. Aggregator: mean (default), pool (best on benchmarks), LSTM (relic). h_v^{l+1} = σ(W·[h_v^l ; AGG({h_u^l : u ∈ Sample(N(v))})]).</w:t>
      </w:r>
    </w:p>
    <w:p>
      <w:pPr>
        <w:ind w:left="360"/>
      </w:pPr>
      <w:r>
        <w:rPr>
          <w:b/>
          <w:color w:val="1865C5"/>
        </w:rPr>
        <w:t xml:space="preserve">ℹ️  </w:t>
      </w:r>
      <w:r>
        <w:rPr>
          <w:i/>
        </w:rPr>
        <w:t>PinSAGE (Ying 2018, Pinterest) scaled GraphSAGE to the 3B-node, 18B-edge Pinterest graph using random-walk sampling + importance pooling + curriculum training. Production recommender since 2018. Blueprint for every industrial GNN since.</w:t>
      </w:r>
    </w:p>
    <w:p>
      <w:pPr>
        <w:spacing w:before="160" w:after="80"/>
      </w:pPr>
      <w:r>
        <w:rPr>
          <w:b/>
          <w:color w:val="6F42C1"/>
          <w:sz w:val="36"/>
        </w:rPr>
        <w:t>5. GIN — 1-WL expressive power</w:t>
      </w:r>
    </w:p>
    <w:p>
      <w:r>
        <w:rPr>
          <w:b w:val="0"/>
          <w:i w:val="0"/>
        </w:rPr>
        <w:t>Xu, Hu, Leskovec, Jegelka ICLR 2019: how expressive are GNNs? MPNNs are at most as expressive as the 1-WL graph-isomorphism test; GIN achieves the bound. h_v^{l+1} = MLP^l((1 + ε^l)·h_v^l + Σ_{u∈N(v)} h_u^l). Sum aggregator (mean loses cardinality; max loses multiplicity) + MLP after aggregation (injective hash). GIN beats GCN/SAGE on most graph-classification benchmarks (TU Datasets, OGB-PPA); tied on node-classification.</w:t>
      </w:r>
    </w:p>
    <w:p>
      <w:pPr>
        <w:ind w:left="360"/>
      </w:pPr>
      <w:r>
        <w:rPr>
          <w:b/>
          <w:color w:val="1865C5"/>
        </w:rPr>
        <w:t xml:space="preserve">ℹ️  </w:t>
      </w:r>
      <w:r>
        <w:rPr>
          <w:i/>
        </w:rPr>
        <w:t>1-WL: iterative color-refinement algorithm distinguishing most non-isomorphic graphs but failing on symmetric pairs. To go beyond → k-WL GNNs (PPGN, k-GNN, Equivariant Subgraph Aggregation Networks) or Graph Transformers with structural encodings.</w:t>
      </w:r>
    </w:p>
    <w:p>
      <w:pPr>
        <w:spacing w:before="160" w:after="80"/>
      </w:pPr>
      <w:r>
        <w:rPr>
          <w:b/>
          <w:color w:val="6F42C1"/>
          <w:sz w:val="36"/>
        </w:rPr>
        <w:t>6. GAT / GATv2 — attention over neighbors</w:t>
      </w:r>
    </w:p>
    <w:p>
      <w:r>
        <w:rPr>
          <w:b w:val="0"/>
          <w:i w:val="0"/>
        </w:rPr>
        <w:t>Veličković et al. ICLR 2018. Neighbors get learned weights: α_{vu} = softmax_u(a^T · [W·h_v ; W·h_u]); h'_v = σ(Σ α_{vu} W·h_u). Multi-head exactly like Transformers (M19/M20). GAT is essentially a sparse Transformer where the only allowed attention edges are graph edges. GATv2 (Brody 2022) fixed v1's static-rank-1 issue by moving the activation: α = softmax(a^T · LeakyReLU(W·[h_v; h_u])).</w:t>
      </w:r>
    </w:p>
    <w:p>
      <w:pPr>
        <w:spacing w:after="0"/>
        <w:ind w:left="360"/>
      </w:pPr>
      <w:r>
        <w:rPr>
          <w:rFonts w:ascii="Menlo" w:hAnsi="Menlo"/>
          <w:b/>
          <w:color w:val="6F42C1"/>
          <w:sz w:val="18"/>
        </w:rPr>
        <w:t xml:space="preserve">● 1  </w:t>
      </w:r>
      <w:r>
        <w:rPr>
          <w:rFonts w:ascii="Menlo" w:hAnsi="Menlo"/>
          <w:color w:val="666666"/>
          <w:sz w:val="18"/>
        </w:rPr>
        <w:t>class GATLayer(nn.Module):</w:t>
      </w:r>
    </w:p>
    <w:p>
      <w:pPr>
        <w:spacing w:after="0"/>
        <w:ind w:left="360"/>
      </w:pPr>
      <w:r>
        <w:rPr>
          <w:rFonts w:ascii="Menlo" w:hAnsi="Menlo"/>
          <w:b/>
          <w:color w:val="1865C5"/>
          <w:sz w:val="18"/>
        </w:rPr>
        <w:t xml:space="preserve">● 2  </w:t>
      </w:r>
      <w:r>
        <w:rPr>
          <w:rFonts w:ascii="Menlo" w:hAnsi="Menlo"/>
          <w:color w:val="666666"/>
          <w:sz w:val="18"/>
        </w:rPr>
        <w:t xml:space="preserve">    def __init__(self, in_dim, out_dim, heads=8):</w:t>
      </w:r>
    </w:p>
    <w:p>
      <w:pPr>
        <w:spacing w:after="0"/>
        <w:ind w:left="360"/>
      </w:pPr>
      <w:r>
        <w:rPr>
          <w:rFonts w:ascii="Menlo" w:hAnsi="Menlo"/>
          <w:b/>
          <w:color w:val="22863A"/>
          <w:sz w:val="18"/>
        </w:rPr>
        <w:t xml:space="preserve">● 3  </w:t>
      </w:r>
      <w:r>
        <w:rPr>
          <w:rFonts w:ascii="Menlo" w:hAnsi="Menlo"/>
          <w:color w:val="666666"/>
          <w:sz w:val="18"/>
        </w:rPr>
        <w:t xml:space="preserve">        super().__init__()</w:t>
      </w:r>
    </w:p>
    <w:p>
      <w:pPr>
        <w:spacing w:after="0"/>
        <w:ind w:left="360"/>
      </w:pPr>
      <w:r>
        <w:rPr>
          <w:rFonts w:ascii="Menlo" w:hAnsi="Menlo"/>
          <w:b/>
          <w:color w:val="E36B09"/>
          <w:sz w:val="18"/>
        </w:rPr>
        <w:t xml:space="preserve">● 4  </w:t>
      </w:r>
      <w:r>
        <w:rPr>
          <w:rFonts w:ascii="Menlo" w:hAnsi="Menlo"/>
          <w:color w:val="666666"/>
          <w:sz w:val="18"/>
        </w:rPr>
        <w:t xml:space="preserve">        self.heads, self.out_dim = heads, out_dim</w:t>
      </w:r>
    </w:p>
    <w:p>
      <w:pPr>
        <w:spacing w:after="0"/>
        <w:ind w:left="360"/>
      </w:pPr>
      <w:r>
        <w:rPr>
          <w:rFonts w:ascii="Menlo" w:hAnsi="Menlo"/>
          <w:b/>
          <w:color w:val="CB2231"/>
          <w:sz w:val="18"/>
        </w:rPr>
        <w:t xml:space="preserve">● 5  </w:t>
      </w:r>
      <w:r>
        <w:rPr>
          <w:rFonts w:ascii="Menlo" w:hAnsi="Menlo"/>
          <w:color w:val="666666"/>
          <w:sz w:val="18"/>
        </w:rPr>
        <w:t xml:space="preserve">        self.W = nn.Linear(in_dim, out_dim * heads, bias=False)</w:t>
      </w:r>
    </w:p>
    <w:p>
      <w:pPr>
        <w:spacing w:after="0"/>
        <w:ind w:left="360"/>
      </w:pPr>
      <w:r>
        <w:rPr>
          <w:rFonts w:ascii="Menlo" w:hAnsi="Menlo"/>
          <w:b/>
          <w:color w:val="883DAE"/>
          <w:sz w:val="18"/>
        </w:rPr>
        <w:t xml:space="preserve">● 6  </w:t>
      </w:r>
      <w:r>
        <w:rPr>
          <w:rFonts w:ascii="Menlo" w:hAnsi="Menlo"/>
          <w:color w:val="666666"/>
          <w:sz w:val="18"/>
        </w:rPr>
        <w:t xml:space="preserve">        self.a = nn.Parameter(torch.empty(heads, 2 * out_dim))</w:t>
      </w:r>
    </w:p>
    <w:p>
      <w:pPr>
        <w:spacing w:after="0"/>
        <w:ind w:left="360"/>
      </w:pPr>
      <w:r>
        <w:rPr>
          <w:rFonts w:ascii="Menlo" w:hAnsi="Menlo"/>
          <w:b/>
          <w:color w:val="6F42C1"/>
          <w:sz w:val="18"/>
        </w:rPr>
        <w:t xml:space="preserve">● 7  </w:t>
      </w:r>
      <w:r>
        <w:rPr>
          <w:rFonts w:ascii="Menlo" w:hAnsi="Menlo"/>
          <w:color w:val="666666"/>
          <w:sz w:val="18"/>
        </w:rPr>
        <w:t xml:space="preserve">        nn.init.xavier_uniform_(self.a)</w:t>
      </w:r>
    </w:p>
    <w:p>
      <w:pPr>
        <w:spacing w:after="0"/>
        <w:ind w:left="360"/>
      </w:pPr>
      <w:r>
        <w:rPr>
          <w:rFonts w:ascii="Menlo" w:hAnsi="Menlo"/>
          <w:b/>
          <w:color w:val="1865C5"/>
          <w:sz w:val="18"/>
        </w:rPr>
        <w:t xml:space="preserve">● 8  </w:t>
      </w:r>
      <w:r>
        <w:rPr>
          <w:rFonts w:ascii="Menlo" w:hAnsi="Menlo"/>
          <w:color w:val="666666"/>
          <w:sz w:val="18"/>
        </w:rPr>
        <w:t xml:space="preserve">    def forward(self, X, edge_index):                      # edge_index: 2 × E</w:t>
      </w:r>
    </w:p>
    <w:p>
      <w:pPr>
        <w:spacing w:after="0"/>
        <w:ind w:left="360"/>
      </w:pPr>
      <w:r>
        <w:rPr>
          <w:rFonts w:ascii="Menlo" w:hAnsi="Menlo"/>
          <w:b/>
          <w:color w:val="22863A"/>
          <w:sz w:val="18"/>
        </w:rPr>
        <w:t xml:space="preserve">● 9  </w:t>
      </w:r>
      <w:r>
        <w:rPr>
          <w:rFonts w:ascii="Menlo" w:hAnsi="Menlo"/>
          <w:color w:val="666666"/>
          <w:sz w:val="18"/>
        </w:rPr>
        <w:t xml:space="preserve">        N = X.size(0)</w:t>
      </w:r>
    </w:p>
    <w:p>
      <w:pPr>
        <w:spacing w:after="0"/>
        <w:ind w:left="360"/>
      </w:pPr>
      <w:r>
        <w:rPr>
          <w:rFonts w:ascii="Menlo" w:hAnsi="Menlo"/>
          <w:b/>
          <w:color w:val="E36B09"/>
          <w:sz w:val="18"/>
        </w:rPr>
        <w:t xml:space="preserve">●10  </w:t>
      </w:r>
      <w:r>
        <w:rPr>
          <w:rFonts w:ascii="Menlo" w:hAnsi="Menlo"/>
          <w:color w:val="666666"/>
          <w:sz w:val="18"/>
        </w:rPr>
        <w:t xml:space="preserve">        H = self.W(X).view(N, self.heads, self.out_dim)</w:t>
      </w:r>
    </w:p>
    <w:p>
      <w:pPr>
        <w:spacing w:after="0"/>
        <w:ind w:left="360"/>
      </w:pPr>
      <w:r>
        <w:rPr>
          <w:rFonts w:ascii="Menlo" w:hAnsi="Menlo"/>
          <w:b/>
          <w:color w:val="CB2231"/>
          <w:sz w:val="18"/>
        </w:rPr>
        <w:t xml:space="preserve">●11  </w:t>
      </w:r>
      <w:r>
        <w:rPr>
          <w:rFonts w:ascii="Menlo" w:hAnsi="Menlo"/>
          <w:color w:val="666666"/>
          <w:sz w:val="18"/>
        </w:rPr>
        <w:t xml:space="preserve">        src, dst = edge_index</w:t>
      </w:r>
    </w:p>
    <w:p>
      <w:pPr>
        <w:spacing w:after="0"/>
        <w:ind w:left="360"/>
      </w:pPr>
      <w:r>
        <w:rPr>
          <w:rFonts w:ascii="Menlo" w:hAnsi="Menlo"/>
          <w:b/>
          <w:color w:val="883DAE"/>
          <w:sz w:val="18"/>
        </w:rPr>
        <w:t xml:space="preserve">●12  </w:t>
      </w:r>
      <w:r>
        <w:rPr>
          <w:rFonts w:ascii="Menlo" w:hAnsi="Menlo"/>
          <w:color w:val="666666"/>
          <w:sz w:val="18"/>
        </w:rPr>
        <w:t xml:space="preserve">        eij = (torch.cat([H[src], H[dst]], dim=-1) * self.a).sum(-1)</w:t>
      </w:r>
    </w:p>
    <w:p>
      <w:pPr>
        <w:spacing w:after="0"/>
        <w:ind w:left="360"/>
      </w:pPr>
      <w:r>
        <w:rPr>
          <w:rFonts w:ascii="Menlo" w:hAnsi="Menlo"/>
          <w:b/>
          <w:color w:val="6F42C1"/>
          <w:sz w:val="18"/>
        </w:rPr>
        <w:t xml:space="preserve">●13  </w:t>
      </w:r>
      <w:r>
        <w:rPr>
          <w:rFonts w:ascii="Menlo" w:hAnsi="Menlo"/>
          <w:color w:val="666666"/>
          <w:sz w:val="18"/>
        </w:rPr>
        <w:t xml:space="preserve">        eij = F.leaky_relu(eij, 0.2)</w:t>
      </w:r>
    </w:p>
    <w:p>
      <w:pPr>
        <w:spacing w:after="0"/>
        <w:ind w:left="360"/>
      </w:pPr>
      <w:r>
        <w:rPr>
          <w:rFonts w:ascii="Menlo" w:hAnsi="Menlo"/>
          <w:b/>
          <w:color w:val="1865C5"/>
          <w:sz w:val="18"/>
        </w:rPr>
        <w:t xml:space="preserve">●14  </w:t>
      </w:r>
      <w:r>
        <w:rPr>
          <w:rFonts w:ascii="Menlo" w:hAnsi="Menlo"/>
          <w:color w:val="666666"/>
          <w:sz w:val="18"/>
        </w:rPr>
        <w:t xml:space="preserve">        eij = eij - scatter_max(eij, dst)[0][dst]</w:t>
      </w:r>
    </w:p>
    <w:p>
      <w:pPr>
        <w:spacing w:after="0"/>
        <w:ind w:left="360"/>
      </w:pPr>
      <w:r>
        <w:rPr>
          <w:rFonts w:ascii="Menlo" w:hAnsi="Menlo"/>
          <w:b/>
          <w:color w:val="22863A"/>
          <w:sz w:val="18"/>
        </w:rPr>
        <w:t xml:space="preserve">●15  </w:t>
      </w:r>
      <w:r>
        <w:rPr>
          <w:rFonts w:ascii="Menlo" w:hAnsi="Menlo"/>
          <w:color w:val="666666"/>
          <w:sz w:val="18"/>
        </w:rPr>
        <w:t xml:space="preserve">        α = eij.exp() / scatter_add(eij.exp(), dst)[dst]</w:t>
      </w:r>
    </w:p>
    <w:p>
      <w:pPr>
        <w:spacing w:after="0"/>
        <w:ind w:left="360"/>
      </w:pPr>
      <w:r>
        <w:rPr>
          <w:rFonts w:ascii="Menlo" w:hAnsi="Menlo"/>
          <w:b/>
          <w:color w:val="E36B09"/>
          <w:sz w:val="18"/>
        </w:rPr>
        <w:t xml:space="preserve">●16  </w:t>
      </w:r>
      <w:r>
        <w:rPr>
          <w:rFonts w:ascii="Menlo" w:hAnsi="Menlo"/>
          <w:color w:val="666666"/>
          <w:sz w:val="18"/>
        </w:rPr>
        <w:t xml:space="preserve">        out = scatter_add(α.unsqueeze(-1) * H[src], dst, dim=0)</w:t>
      </w:r>
    </w:p>
    <w:p>
      <w:pPr>
        <w:spacing w:after="0"/>
        <w:ind w:left="360"/>
      </w:pPr>
      <w:r>
        <w:rPr>
          <w:rFonts w:ascii="Menlo" w:hAnsi="Menlo"/>
          <w:b/>
          <w:color w:val="CB2231"/>
          <w:sz w:val="18"/>
        </w:rPr>
        <w:t xml:space="preserve">●17  </w:t>
      </w:r>
      <w:r>
        <w:rPr>
          <w:rFonts w:ascii="Menlo" w:hAnsi="Menlo"/>
          <w:color w:val="666666"/>
          <w:sz w:val="18"/>
        </w:rPr>
        <w:t xml:space="preserve">        return out.flatten(1)</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6F42C1"/>
              </w:rPr>
              <w:t>●1</w:t>
            </w:r>
          </w:p>
        </w:tc>
        <w:tc>
          <w:tcPr>
            <w:tcW w:type="dxa" w:w="4824"/>
          </w:tcPr>
          <w:p>
            <w:r>
              <w:t>GAT layer class.</w:t>
            </w:r>
          </w:p>
        </w:tc>
      </w:tr>
      <w:tr>
        <w:tc>
          <w:tcPr>
            <w:tcW w:type="dxa" w:w="4824"/>
          </w:tcPr>
          <w:p>
            <w:r>
              <w:rPr>
                <w:b/>
                <w:color w:val="1865C5"/>
              </w:rPr>
              <w:t>●2</w:t>
            </w:r>
          </w:p>
        </w:tc>
        <w:tc>
          <w:tcPr>
            <w:tcW w:type="dxa" w:w="4824"/>
          </w:tcPr>
          <w:p>
            <w:r>
              <w:t>heads = parallel attention heads (like Transformer).</w:t>
            </w:r>
          </w:p>
        </w:tc>
      </w:tr>
      <w:tr>
        <w:tc>
          <w:tcPr>
            <w:tcW w:type="dxa" w:w="4824"/>
          </w:tcPr>
          <w:p>
            <w:r>
              <w:rPr>
                <w:b/>
                <w:color w:val="22863A"/>
              </w:rPr>
              <w:t>●3</w:t>
            </w:r>
          </w:p>
        </w:tc>
        <w:tc>
          <w:tcPr>
            <w:tcW w:type="dxa" w:w="4824"/>
          </w:tcPr>
          <w:p>
            <w:r>
              <w:t>Store config.</w:t>
            </w:r>
          </w:p>
        </w:tc>
      </w:tr>
      <w:tr>
        <w:tc>
          <w:tcPr>
            <w:tcW w:type="dxa" w:w="4824"/>
          </w:tcPr>
          <w:p>
            <w:r>
              <w:rPr>
                <w:b/>
                <w:color w:val="E36B09"/>
              </w:rPr>
              <w:t>●4</w:t>
            </w:r>
          </w:p>
        </w:tc>
        <w:tc>
          <w:tcPr>
            <w:tcW w:type="dxa" w:w="4824"/>
          </w:tcPr>
          <w:p>
            <w:r>
              <w:t>Single linear → fan out to heads × out_dim.</w:t>
            </w:r>
          </w:p>
        </w:tc>
      </w:tr>
      <w:tr>
        <w:tc>
          <w:tcPr>
            <w:tcW w:type="dxa" w:w="4824"/>
          </w:tcPr>
          <w:p>
            <w:r>
              <w:rPr>
                <w:b/>
                <w:color w:val="CB2231"/>
              </w:rPr>
              <w:t>●5</w:t>
            </w:r>
          </w:p>
        </w:tc>
        <w:tc>
          <w:tcPr>
            <w:tcW w:type="dxa" w:w="4824"/>
          </w:tcPr>
          <w:p>
            <w:r>
              <w:t>Attention vector per head.</w:t>
            </w:r>
          </w:p>
        </w:tc>
      </w:tr>
      <w:tr>
        <w:tc>
          <w:tcPr>
            <w:tcW w:type="dxa" w:w="4824"/>
          </w:tcPr>
          <w:p>
            <w:r>
              <w:rPr>
                <w:b/>
                <w:color w:val="883DAE"/>
              </w:rPr>
              <w:t>●6</w:t>
            </w:r>
          </w:p>
        </w:tc>
        <w:tc>
          <w:tcPr>
            <w:tcW w:type="dxa" w:w="4824"/>
          </w:tcPr>
          <w:p>
            <w:r>
              <w:t>Xavier init.</w:t>
            </w:r>
          </w:p>
        </w:tc>
      </w:tr>
      <w:tr>
        <w:tc>
          <w:tcPr>
            <w:tcW w:type="dxa" w:w="4824"/>
          </w:tcPr>
          <w:p>
            <w:r>
              <w:rPr>
                <w:b/>
                <w:color w:val="6F42C1"/>
              </w:rPr>
              <w:t>●7</w:t>
            </w:r>
          </w:p>
        </w:tc>
        <w:tc>
          <w:tcPr>
            <w:tcW w:type="dxa" w:w="4824"/>
          </w:tcPr>
          <w:p>
            <w:r>
              <w:t>Forward — edge_index lists all (src, dst) pairs.</w:t>
            </w:r>
          </w:p>
        </w:tc>
      </w:tr>
      <w:tr>
        <w:tc>
          <w:tcPr>
            <w:tcW w:type="dxa" w:w="4824"/>
          </w:tcPr>
          <w:p>
            <w:r>
              <w:rPr>
                <w:b/>
                <w:color w:val="1865C5"/>
              </w:rPr>
              <w:t>●8</w:t>
            </w:r>
          </w:p>
        </w:tc>
        <w:tc>
          <w:tcPr>
            <w:tcW w:type="dxa" w:w="4824"/>
          </w:tcPr>
          <w:p>
            <w:r>
              <w:t>N = number of nodes.</w:t>
            </w:r>
          </w:p>
        </w:tc>
      </w:tr>
      <w:tr>
        <w:tc>
          <w:tcPr>
            <w:tcW w:type="dxa" w:w="4824"/>
          </w:tcPr>
          <w:p>
            <w:r>
              <w:rPr>
                <w:b/>
                <w:color w:val="22863A"/>
              </w:rPr>
              <w:t>●9</w:t>
            </w:r>
          </w:p>
        </w:tc>
        <w:tc>
          <w:tcPr>
            <w:tcW w:type="dxa" w:w="4824"/>
          </w:tcPr>
          <w:p>
            <w:r>
              <w:t>Project features then reshape to heads.</w:t>
            </w:r>
          </w:p>
        </w:tc>
      </w:tr>
      <w:tr>
        <w:tc>
          <w:tcPr>
            <w:tcW w:type="dxa" w:w="4824"/>
          </w:tcPr>
          <w:p>
            <w:r>
              <w:rPr>
                <w:b/>
                <w:color w:val="E36B09"/>
              </w:rPr>
              <w:t>●10</w:t>
            </w:r>
          </w:p>
        </w:tc>
        <w:tc>
          <w:tcPr>
            <w:tcW w:type="dxa" w:w="4824"/>
          </w:tcPr>
          <w:p>
            <w:r>
              <w:t>Unpack edge endpoints.</w:t>
            </w:r>
          </w:p>
        </w:tc>
      </w:tr>
      <w:tr>
        <w:tc>
          <w:tcPr>
            <w:tcW w:type="dxa" w:w="4824"/>
          </w:tcPr>
          <w:p>
            <w:r>
              <w:rPr>
                <w:b/>
                <w:color w:val="CB2231"/>
              </w:rPr>
              <w:t>●11</w:t>
            </w:r>
          </w:p>
        </w:tc>
        <w:tc>
          <w:tcPr>
            <w:tcW w:type="dxa" w:w="4824"/>
          </w:tcPr>
          <w:p>
            <w:r>
              <w:t>Concatenate src + dst per-head, dot with a.</w:t>
            </w:r>
          </w:p>
        </w:tc>
      </w:tr>
      <w:tr>
        <w:tc>
          <w:tcPr>
            <w:tcW w:type="dxa" w:w="4824"/>
          </w:tcPr>
          <w:p>
            <w:r>
              <w:rPr>
                <w:b/>
                <w:color w:val="883DAE"/>
              </w:rPr>
              <w:t>●12</w:t>
            </w:r>
          </w:p>
        </w:tc>
        <w:tc>
          <w:tcPr>
            <w:tcW w:type="dxa" w:w="4824"/>
          </w:tcPr>
          <w:p>
            <w:r>
              <w:t>LeakyReLU (GATv2 ordering).</w:t>
            </w:r>
          </w:p>
        </w:tc>
      </w:tr>
      <w:tr>
        <w:tc>
          <w:tcPr>
            <w:tcW w:type="dxa" w:w="4824"/>
          </w:tcPr>
          <w:p>
            <w:r>
              <w:rPr>
                <w:b/>
                <w:color w:val="6F42C1"/>
              </w:rPr>
              <w:t>●13</w:t>
            </w:r>
          </w:p>
        </w:tc>
        <w:tc>
          <w:tcPr>
            <w:tcW w:type="dxa" w:w="4824"/>
          </w:tcPr>
          <w:p>
            <w:r>
              <w:t>Subtract per-dst max for numerical stability.</w:t>
            </w:r>
          </w:p>
        </w:tc>
      </w:tr>
      <w:tr>
        <w:tc>
          <w:tcPr>
            <w:tcW w:type="dxa" w:w="4824"/>
          </w:tcPr>
          <w:p>
            <w:r>
              <w:rPr>
                <w:b/>
                <w:color w:val="1865C5"/>
              </w:rPr>
              <w:t>●14</w:t>
            </w:r>
          </w:p>
        </w:tc>
        <w:tc>
          <w:tcPr>
            <w:tcW w:type="dxa" w:w="4824"/>
          </w:tcPr>
          <w:p>
            <w:r>
              <w:t>Segment-softmax over destination's incoming edges.</w:t>
            </w:r>
          </w:p>
        </w:tc>
      </w:tr>
      <w:tr>
        <w:tc>
          <w:tcPr>
            <w:tcW w:type="dxa" w:w="4824"/>
          </w:tcPr>
          <w:p>
            <w:r>
              <w:rPr>
                <w:b/>
                <w:color w:val="22863A"/>
              </w:rPr>
              <w:t>●15</w:t>
            </w:r>
          </w:p>
        </w:tc>
        <w:tc>
          <w:tcPr>
            <w:tcW w:type="dxa" w:w="4824"/>
          </w:tcPr>
          <w:p>
            <w:r>
              <w:t>Sum α-weighted source messages into destinations.</w:t>
            </w:r>
          </w:p>
        </w:tc>
      </w:tr>
      <w:tr>
        <w:tc>
          <w:tcPr>
            <w:tcW w:type="dxa" w:w="4824"/>
          </w:tcPr>
          <w:p>
            <w:r>
              <w:rPr>
                <w:b/>
                <w:color w:val="E36B09"/>
              </w:rPr>
              <w:t>●16</w:t>
            </w:r>
          </w:p>
        </w:tc>
        <w:tc>
          <w:tcPr>
            <w:tcW w:type="dxa" w:w="4824"/>
          </w:tcPr>
          <w:p>
            <w:r>
              <w:t>Flatten head dim for the next layer.</w:t>
            </w:r>
          </w:p>
        </w:tc>
      </w:tr>
    </w:tbl>
    <w:p/>
    <w:p>
      <w:pPr>
        <w:spacing w:before="160" w:after="80"/>
      </w:pPr>
      <w:r>
        <w:rPr>
          <w:b/>
          <w:color w:val="6F42C1"/>
          <w:sz w:val="36"/>
        </w:rPr>
        <w:t>7. MPNN — the unified abstraction</w:t>
      </w:r>
    </w:p>
    <w:p>
      <w:r>
        <w:rPr>
          <w:b w:val="0"/>
          <w:i w:val="0"/>
        </w:rPr>
        <w:t>Gilmer et al. ICML 2017. For each layer l: Message m_vu = M(h_v, h_u, e_vu); Aggregate m_v = Σ m_vu; Update h_v^{l+1} = U(h_v^l, m_v). For graph-level tasks, READOUT y = R({h_v^L}). Every GNN is a specific choice: GCN (M=h_u, U=σ(W·mean)), SAGE (M=h_u, U=σ(W·[h_v; mean])), GIN (M=h_u, U=MLP((1+ε)h_v + sum)), GAT (M=α·W·h_u, U=σ(sum)). Once you have the framework, every paper since 2017 is 'a new M or a new aggregator.'</w:t>
      </w:r>
    </w:p>
    <w:p>
      <w:pPr>
        <w:spacing w:before="160" w:after="80"/>
      </w:pPr>
      <w:r>
        <w:rPr>
          <w:b/>
          <w:color w:val="6F42C1"/>
          <w:sz w:val="36"/>
        </w:rPr>
        <w:t>8. Scaling tricks</w:t>
      </w:r>
    </w:p>
    <w:tbl>
      <w:tblPr>
        <w:tblW w:type="auto" w:w="0"/>
        <w:tblLook w:firstColumn="1" w:firstRow="1" w:lastColumn="0" w:lastRow="0" w:noHBand="0" w:noVBand="1" w:val="04A0"/>
      </w:tblPr>
      <w:tblGrid>
        <w:gridCol w:w="3216"/>
        <w:gridCol w:w="3216"/>
        <w:gridCol w:w="3216"/>
      </w:tblGrid>
      <w:tr>
        <w:tc>
          <w:tcPr>
            <w:tcW w:type="dxa" w:w="3216"/>
          </w:tcPr>
          <w:p>
            <w:r>
              <w:rPr>
                <w:b/>
                <w:color w:val="6F42C1"/>
              </w:rPr>
              <w:t>Method</w:t>
            </w:r>
          </w:p>
        </w:tc>
        <w:tc>
          <w:tcPr>
            <w:tcW w:type="dxa" w:w="3216"/>
          </w:tcPr>
          <w:p>
            <w:r>
              <w:rPr>
                <w:b/>
                <w:color w:val="6F42C1"/>
              </w:rPr>
              <w:t>Idea</w:t>
            </w:r>
          </w:p>
        </w:tc>
        <w:tc>
          <w:tcPr>
            <w:tcW w:type="dxa" w:w="3216"/>
          </w:tcPr>
          <w:p>
            <w:r>
              <w:rPr>
                <w:b/>
                <w:color w:val="6F42C1"/>
              </w:rPr>
              <w:t>When</w:t>
            </w:r>
          </w:p>
        </w:tc>
      </w:tr>
      <w:tr>
        <w:tc>
          <w:tcPr>
            <w:tcW w:type="dxa" w:w="3216"/>
          </w:tcPr>
          <w:p>
            <w:r>
              <w:t>NeighborSampler (PyG)</w:t>
            </w:r>
          </w:p>
        </w:tc>
        <w:tc>
          <w:tcPr>
            <w:tcW w:type="dxa" w:w="3216"/>
          </w:tcPr>
          <w:p>
            <w:r>
              <w:t>Sample k_l neighbors per layer; fan-out = Π k_l</w:t>
            </w:r>
          </w:p>
        </w:tc>
        <w:tc>
          <w:tcPr>
            <w:tcW w:type="dxa" w:w="3216"/>
          </w:tcPr>
          <w:p>
            <w:r>
              <w:t>2026 default trainer</w:t>
            </w:r>
          </w:p>
        </w:tc>
      </w:tr>
      <w:tr>
        <w:tc>
          <w:tcPr>
            <w:tcW w:type="dxa" w:w="3216"/>
          </w:tcPr>
          <w:p>
            <w:r>
              <w:t>Cluster-GCN (2019)</w:t>
            </w:r>
          </w:p>
        </w:tc>
        <w:tc>
          <w:tcPr>
            <w:tcW w:type="dxa" w:w="3216"/>
          </w:tcPr>
          <w:p>
            <w:r>
              <w:t>METIS partition; mini-batch = a few clusters</w:t>
            </w:r>
          </w:p>
        </w:tc>
        <w:tc>
          <w:tcPr>
            <w:tcW w:type="dxa" w:w="3216"/>
          </w:tcPr>
          <w:p>
            <w:r>
              <w:t>Memory-efficient</w:t>
            </w:r>
          </w:p>
        </w:tc>
      </w:tr>
      <w:tr>
        <w:tc>
          <w:tcPr>
            <w:tcW w:type="dxa" w:w="3216"/>
          </w:tcPr>
          <w:p>
            <w:r>
              <w:t>GraphSAINT (2020)</w:t>
            </w:r>
          </w:p>
        </w:tc>
        <w:tc>
          <w:tcPr>
            <w:tcW w:type="dxa" w:w="3216"/>
          </w:tcPr>
          <w:p>
            <w:r>
              <w:t>Subgraph sampling + unbiased reweighting</w:t>
            </w:r>
          </w:p>
        </w:tc>
        <w:tc>
          <w:tcPr>
            <w:tcW w:type="dxa" w:w="3216"/>
          </w:tcPr>
          <w:p>
            <w:r>
              <w:t>High accuracy on large</w:t>
            </w:r>
          </w:p>
        </w:tc>
      </w:tr>
      <w:tr>
        <w:tc>
          <w:tcPr>
            <w:tcW w:type="dxa" w:w="3216"/>
          </w:tcPr>
          <w:p>
            <w:r>
              <w:t>PinSAGE (2018)</w:t>
            </w:r>
          </w:p>
        </w:tc>
        <w:tc>
          <w:tcPr>
            <w:tcW w:type="dxa" w:w="3216"/>
          </w:tcPr>
          <w:p>
            <w:r>
              <w:t>Random-walk importance sampling + curriculum</w:t>
            </w:r>
          </w:p>
        </w:tc>
        <w:tc>
          <w:tcPr>
            <w:tcW w:type="dxa" w:w="3216"/>
          </w:tcPr>
          <w:p>
            <w:r>
              <w:t>Production recsys</w:t>
            </w:r>
          </w:p>
        </w:tc>
      </w:tr>
      <w:tr>
        <w:tc>
          <w:tcPr>
            <w:tcW w:type="dxa" w:w="3216"/>
          </w:tcPr>
          <w:p>
            <w:r>
              <w:t>ShaDow-GNN (2021)</w:t>
            </w:r>
          </w:p>
        </w:tc>
        <w:tc>
          <w:tcPr>
            <w:tcW w:type="dxa" w:w="3216"/>
          </w:tcPr>
          <w:p>
            <w:r>
              <w:t>Per-node PPR subgraph; trained independently</w:t>
            </w:r>
          </w:p>
        </w:tc>
        <w:tc>
          <w:tcPr>
            <w:tcW w:type="dxa" w:w="3216"/>
          </w:tcPr>
          <w:p>
            <w:r>
              <w:t>Highly parallel</w:t>
            </w:r>
          </w:p>
        </w:tc>
      </w:tr>
      <w:tr>
        <w:tc>
          <w:tcPr>
            <w:tcW w:type="dxa" w:w="3216"/>
          </w:tcPr>
          <w:p>
            <w:r>
              <w:t>GAS / GNNAutoScale (2021)</w:t>
            </w:r>
          </w:p>
        </w:tc>
        <w:tc>
          <w:tcPr>
            <w:tcW w:type="dxa" w:w="3216"/>
          </w:tcPr>
          <w:p>
            <w:r>
              <w:t>Cache stale historical embeddings</w:t>
            </w:r>
          </w:p>
        </w:tc>
        <w:tc>
          <w:tcPr>
            <w:tcW w:type="dxa" w:w="3216"/>
          </w:tcPr>
          <w:p>
            <w:r>
              <w:t>Easy speedup</w:t>
            </w:r>
          </w:p>
        </w:tc>
      </w:tr>
    </w:tbl>
    <w:p/>
    <w:p>
      <w:pPr>
        <w:ind w:left="360"/>
      </w:pPr>
      <w:r>
        <w:rPr>
          <w:b/>
          <w:color w:val="1865C5"/>
        </w:rPr>
        <w:t xml:space="preserve">ℹ️  </w:t>
      </w:r>
      <w:r>
        <w:rPr>
          <w:i/>
        </w:rPr>
        <w:t>OGB (Open Graph Benchmark, Hu 2020): ogbn-arxiv (170k), ogbn-products (2.4M), ogbn-papers100M (111M nodes). PyG + DGL ship reference impls of every method above against OGB.</w:t>
      </w:r>
    </w:p>
    <w:p>
      <w:pPr>
        <w:spacing w:before="160" w:after="80"/>
      </w:pPr>
      <w:r>
        <w:rPr>
          <w:b/>
          <w:color w:val="6F42C1"/>
          <w:sz w:val="36"/>
        </w:rPr>
        <w:t>9. Graph Transformers — beating MPNNs since 2022</w:t>
      </w:r>
    </w:p>
    <w:tbl>
      <w:tblPr>
        <w:tblW w:type="auto" w:w="0"/>
        <w:tblLook w:firstColumn="1" w:firstRow="1" w:lastColumn="0" w:lastRow="0" w:noHBand="0" w:noVBand="1" w:val="04A0"/>
      </w:tblPr>
      <w:tblGrid>
        <w:gridCol w:w="4824"/>
        <w:gridCol w:w="4824"/>
      </w:tblGrid>
      <w:tr>
        <w:tc>
          <w:tcPr>
            <w:tcW w:type="dxa" w:w="4824"/>
          </w:tcPr>
          <w:p>
            <w:r>
              <w:rPr>
                <w:b/>
                <w:color w:val="6F42C1"/>
              </w:rPr>
              <w:t>Method</w:t>
            </w:r>
          </w:p>
        </w:tc>
        <w:tc>
          <w:tcPr>
            <w:tcW w:type="dxa" w:w="4824"/>
          </w:tcPr>
          <w:p>
            <w:r>
              <w:rPr>
                <w:b/>
                <w:color w:val="6F42C1"/>
              </w:rPr>
              <w:t>Key idea</w:t>
            </w:r>
          </w:p>
        </w:tc>
      </w:tr>
      <w:tr>
        <w:tc>
          <w:tcPr>
            <w:tcW w:type="dxa" w:w="4824"/>
          </w:tcPr>
          <w:p>
            <w:r>
              <w:t>Graphormer (Ying 2021)</w:t>
            </w:r>
          </w:p>
        </w:tc>
        <w:tc>
          <w:tcPr>
            <w:tcW w:type="dxa" w:w="4824"/>
          </w:tcPr>
          <w:p>
            <w:r>
              <w:t>Standard Transformer + 3 graph-specific encodings: centrality (degree), spatial (shortest-path), edge (bond type)</w:t>
            </w:r>
          </w:p>
        </w:tc>
      </w:tr>
      <w:tr>
        <w:tc>
          <w:tcPr>
            <w:tcW w:type="dxa" w:w="4824"/>
          </w:tcPr>
          <w:p>
            <w:r>
              <w:t>SAN (Kreuzer 2021)</w:t>
            </w:r>
          </w:p>
        </w:tc>
        <w:tc>
          <w:tcPr>
            <w:tcW w:type="dxa" w:w="4824"/>
          </w:tcPr>
          <w:p>
            <w:r>
              <w:t>Spectral attention; Laplacian eigenvectors as positional encoding</w:t>
            </w:r>
          </w:p>
        </w:tc>
      </w:tr>
      <w:tr>
        <w:tc>
          <w:tcPr>
            <w:tcW w:type="dxa" w:w="4824"/>
          </w:tcPr>
          <w:p>
            <w:r>
              <w:t>GraphGPS (Rampášek 2022)</w:t>
            </w:r>
          </w:p>
        </w:tc>
        <w:tc>
          <w:tcPr>
            <w:tcW w:type="dxa" w:w="4824"/>
          </w:tcPr>
          <w:p>
            <w:r>
              <w:t>Hybrid: MPNN + Transformer layer per block; modular framework</w:t>
            </w:r>
          </w:p>
        </w:tc>
      </w:tr>
      <w:tr>
        <w:tc>
          <w:tcPr>
            <w:tcW w:type="dxa" w:w="4824"/>
          </w:tcPr>
          <w:p>
            <w:r>
              <w:t>TokenGT (Kim 2022)</w:t>
            </w:r>
          </w:p>
        </w:tc>
        <w:tc>
          <w:tcPr>
            <w:tcW w:type="dxa" w:w="4824"/>
          </w:tcPr>
          <w:p>
            <w:r>
              <w:t>Tokenize each node + edge; pure Transformer with structural input</w:t>
            </w:r>
          </w:p>
        </w:tc>
      </w:tr>
      <w:tr>
        <w:tc>
          <w:tcPr>
            <w:tcW w:type="dxa" w:w="4824"/>
          </w:tcPr>
          <w:p>
            <w:r>
              <w:t>GRIT (Ma 2023)</w:t>
            </w:r>
          </w:p>
        </w:tc>
        <w:tc>
          <w:tcPr>
            <w:tcW w:type="dxa" w:w="4824"/>
          </w:tcPr>
          <w:p>
            <w:r>
              <w:t>Relative attention with shortest-path bias; no positional encoding</w:t>
            </w:r>
          </w:p>
        </w:tc>
      </w:tr>
      <w:tr>
        <w:tc>
          <w:tcPr>
            <w:tcW w:type="dxa" w:w="4824"/>
          </w:tcPr>
          <w:p>
            <w:r>
              <w:t>GraphCheck (2024)</w:t>
            </w:r>
          </w:p>
        </w:tc>
        <w:tc>
          <w:tcPr>
            <w:tcW w:type="dxa" w:w="4824"/>
          </w:tcPr>
          <w:p>
            <w:r>
              <w:t>Diffusion + Transformer hybrid for OOD generalization</w:t>
            </w:r>
          </w:p>
        </w:tc>
      </w:tr>
    </w:tbl>
    <w:p/>
    <w:p>
      <w:pPr>
        <w:ind w:left="360"/>
      </w:pPr>
      <w:r>
        <w:rPr>
          <w:b/>
          <w:color w:val="1865C5"/>
        </w:rPr>
        <w:t xml:space="preserve">ℹ️  </w:t>
      </w:r>
      <w:r>
        <w:rPr>
          <w:i/>
        </w:rPr>
        <w:t>Why Transformers win: long-range deps (MPNNs lose info past 4-6 hops due to over-smoothing); better optimization landscape; composability with text/image Transformers. Counter-argument for MPNNs: explicit structure, better inductive bias on small data, O(|E|) vs O(N²) speed. 2026 picture: hybrid (GraphGPS) for production, pure Transformer for large benchmarks, pure GNN for few-shot / dense clusters.</w:t>
      </w:r>
    </w:p>
    <w:p>
      <w:pPr>
        <w:spacing w:before="160" w:after="80"/>
      </w:pPr>
      <w:r>
        <w:rPr>
          <w:b/>
          <w:color w:val="6F42C1"/>
          <w:sz w:val="36"/>
        </w:rPr>
        <w:t>10. The 2026 production stack + GraphRAG bridge</w:t>
      </w:r>
    </w:p>
    <w:tbl>
      <w:tblPr>
        <w:tblW w:type="auto" w:w="0"/>
        <w:tblLook w:firstColumn="1" w:firstRow="1" w:lastColumn="0" w:lastRow="0" w:noHBand="0" w:noVBand="1" w:val="04A0"/>
      </w:tblPr>
      <w:tblGrid>
        <w:gridCol w:w="4824"/>
        <w:gridCol w:w="4824"/>
      </w:tblGrid>
      <w:tr>
        <w:tc>
          <w:tcPr>
            <w:tcW w:type="dxa" w:w="4824"/>
          </w:tcPr>
          <w:p>
            <w:r>
              <w:rPr>
                <w:b/>
                <w:color w:val="6F42C1"/>
              </w:rPr>
              <w:t>Tool</w:t>
            </w:r>
          </w:p>
        </w:tc>
        <w:tc>
          <w:tcPr>
            <w:tcW w:type="dxa" w:w="4824"/>
          </w:tcPr>
          <w:p>
            <w:r>
              <w:rPr>
                <w:b/>
                <w:color w:val="6F42C1"/>
              </w:rPr>
              <w:t>Use</w:t>
            </w:r>
          </w:p>
        </w:tc>
      </w:tr>
      <w:tr>
        <w:tc>
          <w:tcPr>
            <w:tcW w:type="dxa" w:w="4824"/>
          </w:tcPr>
          <w:p>
            <w:r>
              <w:t>PyTorch Geometric (PyG)</w:t>
            </w:r>
          </w:p>
        </w:tc>
        <w:tc>
          <w:tcPr>
            <w:tcW w:type="dxa" w:w="4824"/>
          </w:tcPr>
          <w:p>
            <w:r>
              <w:t>De-facto Python GNN library; full PyTorch integration</w:t>
            </w:r>
          </w:p>
        </w:tc>
      </w:tr>
      <w:tr>
        <w:tc>
          <w:tcPr>
            <w:tcW w:type="dxa" w:w="4824"/>
          </w:tcPr>
          <w:p>
            <w:r>
              <w:t>DGL</w:t>
            </w:r>
          </w:p>
        </w:tc>
        <w:tc>
          <w:tcPr>
            <w:tcW w:type="dxa" w:w="4824"/>
          </w:tcPr>
          <w:p>
            <w:r>
              <w:t>Production-friendly; bigger distributed-training support</w:t>
            </w:r>
          </w:p>
        </w:tc>
      </w:tr>
      <w:tr>
        <w:tc>
          <w:tcPr>
            <w:tcW w:type="dxa" w:w="4824"/>
          </w:tcPr>
          <w:p>
            <w:r>
              <w:t>GraphScope / NebulaGraph</w:t>
            </w:r>
          </w:p>
        </w:tc>
        <w:tc>
          <w:tcPr>
            <w:tcW w:type="dxa" w:w="4824"/>
          </w:tcPr>
          <w:p>
            <w:r>
              <w:t>Storage + query layer (M87)</w:t>
            </w:r>
          </w:p>
        </w:tc>
      </w:tr>
      <w:tr>
        <w:tc>
          <w:tcPr>
            <w:tcW w:type="dxa" w:w="4824"/>
          </w:tcPr>
          <w:p>
            <w:r>
              <w:t>Neo4j + GDS</w:t>
            </w:r>
          </w:p>
        </w:tc>
        <w:tc>
          <w:tcPr>
            <w:tcW w:type="dxa" w:w="4824"/>
          </w:tcPr>
          <w:p>
            <w:r>
              <w:t>Property graph + native graph algorithms</w:t>
            </w:r>
          </w:p>
        </w:tc>
      </w:tr>
      <w:tr>
        <w:tc>
          <w:tcPr>
            <w:tcW w:type="dxa" w:w="4824"/>
          </w:tcPr>
          <w:p>
            <w:r>
              <w:t>OGB / OGB-LSC</w:t>
            </w:r>
          </w:p>
        </w:tc>
        <w:tc>
          <w:tcPr>
            <w:tcW w:type="dxa" w:w="4824"/>
          </w:tcPr>
          <w:p>
            <w:r>
              <w:t>Standard benchmarks</w:t>
            </w:r>
          </w:p>
        </w:tc>
      </w:tr>
      <w:tr>
        <w:tc>
          <w:tcPr>
            <w:tcW w:type="dxa" w:w="4824"/>
          </w:tcPr>
          <w:p>
            <w:r>
              <w:t>TorchDrug / DGL-LifeSci</w:t>
            </w:r>
          </w:p>
        </w:tc>
        <w:tc>
          <w:tcPr>
            <w:tcW w:type="dxa" w:w="4824"/>
          </w:tcPr>
          <w:p>
            <w:r>
              <w:t>Drug / molecule domain extensions</w:t>
            </w:r>
          </w:p>
        </w:tc>
      </w:tr>
      <w:tr>
        <w:tc>
          <w:tcPr>
            <w:tcW w:type="dxa" w:w="4824"/>
          </w:tcPr>
          <w:p>
            <w:r>
              <w:t>PinSAGE / Twin-Tower / SAGE</w:t>
            </w:r>
          </w:p>
        </w:tc>
        <w:tc>
          <w:tcPr>
            <w:tcW w:type="dxa" w:w="4824"/>
          </w:tcPr>
          <w:p>
            <w:r>
              <w:t>Production recsys architectures</w:t>
            </w:r>
          </w:p>
        </w:tc>
      </w:tr>
      <w:tr>
        <w:tc>
          <w:tcPr>
            <w:tcW w:type="dxa" w:w="4824"/>
          </w:tcPr>
          <w:p>
            <w:r>
              <w:t>NeMo-Graph (NVIDIA)</w:t>
            </w:r>
          </w:p>
        </w:tc>
        <w:tc>
          <w:tcPr>
            <w:tcW w:type="dxa" w:w="4824"/>
          </w:tcPr>
          <w:p>
            <w:r>
              <w:t>GPU-accelerated GNN training stack</w:t>
            </w:r>
          </w:p>
        </w:tc>
      </w:tr>
    </w:tbl>
    <w:p/>
    <w:p>
      <w:r>
        <w:rPr>
          <w:b w:val="0"/>
          <w:i w:val="0"/>
        </w:rPr>
        <w:t>Bridge back to M87 GraphRAG: GraphRAG builds an LLM-extracted KG and retrieves over it; M96 LEARNS on graphs. The two are complementary — GraphRAG-aware GNN trains embeddings on the KG and uses them as reranker features at retrieval time. Pinterest, LinkedIn, and TikTok all run this hybrid: GNN-trained embedding → ANN retrieval → LLM reranker.</w:t>
      </w:r>
    </w:p>
    <w:p>
      <w:pPr>
        <w:ind w:left="360"/>
      </w:pPr>
      <w:r>
        <w:rPr>
          <w:b/>
          <w:color w:val="6F42C1"/>
        </w:rPr>
        <w:t xml:space="preserve">💡  </w:t>
      </w:r>
      <w:r>
        <w:rPr>
          <w:i/>
        </w:rPr>
        <w:t>The intellectual triangle: M19/M20 (Transformer attention) ↔ M83 (CNN convolution) ↔ M96 (GNN message passing). All three are equivariance-aware feature aggregators differing only in what symmetry they respect: 1D order (RNN), 2D translation (CNN), graph permutation (GNN), sequence permutation + content (Transformer). Knowing them as one family is the maturity threshold of deep-learning intuition.</w:t>
      </w:r>
    </w:p>
    <w:p>
      <w:pPr>
        <w:spacing w:before="160" w:after="80"/>
      </w:pPr>
      <w:r>
        <w:rPr>
          <w:b/>
          <w:color w:val="6F42C1"/>
          <w:sz w:val="36"/>
        </w:rPr>
        <w:t>Recap</w:t>
      </w:r>
    </w:p>
    <w:p>
      <w:r>
        <w:rPr>
          <w:b w:val="0"/>
          <w:i w:val="0"/>
        </w:rPr>
        <w:t>• GNNs respect graph permutation by aggregating only over unordered neighborhoods → message passing.</w:t>
      </w:r>
    </w:p>
    <w:p>
      <w:r>
        <w:rPr>
          <w:b w:val="0"/>
          <w:i w:val="0"/>
        </w:rPr>
        <w:t>• GCN = mean of neighbors + linear projection. The first practical GNN.</w:t>
      </w:r>
    </w:p>
    <w:p>
      <w:r>
        <w:rPr>
          <w:b w:val="0"/>
          <w:i w:val="0"/>
        </w:rPr>
        <w:t>• GraphSAGE = neighborhood sampling for inductive, billion-edge scale. PinSAGE is the canonical production app.</w:t>
      </w:r>
    </w:p>
    <w:p>
      <w:r>
        <w:rPr>
          <w:b w:val="0"/>
          <w:i w:val="0"/>
        </w:rPr>
        <w:t>• GIN = sum aggregator + MLP achieves 1-WL expressive power.</w:t>
      </w:r>
    </w:p>
    <w:p>
      <w:r>
        <w:rPr>
          <w:b w:val="0"/>
          <w:i w:val="0"/>
        </w:rPr>
        <w:t>• GAT / GATv2 = attention over neighbors; sparse Transformer over graph edges.</w:t>
      </w:r>
    </w:p>
    <w:p>
      <w:r>
        <w:rPr>
          <w:b w:val="0"/>
          <w:i w:val="0"/>
        </w:rPr>
        <w:t>• MPNN = unified abstraction; every GNN is a choice of M, Σ, U.</w:t>
      </w:r>
    </w:p>
    <w:p>
      <w:r>
        <w:rPr>
          <w:b w:val="0"/>
          <w:i w:val="0"/>
        </w:rPr>
        <w:t>• Scaling: NeighborSampler, Cluster-GCN, GraphSAINT, ShaDow-GNN, GAS, PinSAGE.</w:t>
      </w:r>
    </w:p>
    <w:p>
      <w:r>
        <w:rPr>
          <w:b w:val="0"/>
          <w:i w:val="0"/>
        </w:rPr>
        <w:t>• Graph Transformers (Graphormer, GraphGPS, TokenGT, GRIT) match/beat MPNNs since 2022 — but hybrid is production pick.</w:t>
      </w:r>
    </w:p>
    <w:p>
      <w:r>
        <w:rPr>
          <w:b w:val="0"/>
          <w:i w:val="0"/>
        </w:rPr>
        <w:t>• 2026 stack: PyTorch Geometric + DGL + OGB + NeMo-Graph. Bridge to M87 via GNN-aware GraphRAG.</w:t>
      </w:r>
    </w:p>
    <w:p/>
    <w:p>
      <w:r>
        <w:rPr>
          <w:b w:val="0"/>
          <w:i/>
        </w:rPr>
        <w:t>Next: M97 — Normalizing Flows + Likelihood Models.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