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80</w:t>
        <w:br/>
      </w:r>
      <w:r>
        <w:rPr>
          <w:b/>
          <w:color w:val="1882C4"/>
          <w:sz w:val="56"/>
        </w:rPr>
        <w:t>Multi-Tenant AI Platform Patterns</w:t>
      </w:r>
    </w:p>
    <w:p>
      <w:pPr>
        <w:jc w:val="center"/>
      </w:pPr>
      <w:r>
        <w:rPr>
          <w:i/>
        </w:rPr>
        <w:br/>
        <w:t>One platform, many tenants — without leaks</w:t>
        <w:br/>
      </w:r>
      <w:r>
        <w:rPr>
          <w:sz w:val="22"/>
        </w:rPr>
        <w:t>Phase 10 · Master-Plan Gaps · Module 80</w:t>
      </w:r>
    </w:p>
    <w:p/>
    <w:p>
      <w:pPr>
        <w:ind w:left="216" w:right="216"/>
      </w:pPr>
      <w:r>
        <w:rPr>
          <w:color w:val="1B5E20"/>
          <w:sz w:val="21"/>
        </w:rPr>
        <w:t>🎯 Why this module matters: every AI platform that grows past one product hits the same wall — many teams or paying customers share one platform without their data, models, costs, or noise leaking into each other. Get it wrong and a single tenant can leak another's RAG corpus, eat all the GPU budget, or DoS the cluster.</w:t>
      </w:r>
    </w:p>
    <w:p/>
    <w:p>
      <w:r>
        <w:rPr>
          <w:b w:val="0"/>
          <w:i/>
          <w:sz w:val="22"/>
        </w:rPr>
        <w:t>Prerequisites: M44 (vLLM), M46 (Kubernetes), M64/M75 (MCP/A2A), M74 (security), M79 (FinOps).</w:t>
      </w:r>
    </w:p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  <w:sz w:val="22"/>
        </w:rPr>
        <w:t>1. The four tenant archetypes</w:t>
      </w:r>
    </w:p>
    <w:p>
      <w:r>
        <w:rPr>
          <w:b w:val="0"/>
          <w:i w:val="0"/>
          <w:sz w:val="22"/>
        </w:rPr>
        <w:t>2. Four isolation models — shared / namespaced / silo / dedicated</w:t>
      </w:r>
    </w:p>
    <w:p>
      <w:r>
        <w:rPr>
          <w:b w:val="0"/>
          <w:i w:val="0"/>
          <w:sz w:val="22"/>
        </w:rPr>
        <w:t>3. Request path — how a request finds its tenant</w:t>
      </w:r>
    </w:p>
    <w:p>
      <w:r>
        <w:rPr>
          <w:b w:val="0"/>
          <w:i w:val="0"/>
          <w:sz w:val="22"/>
        </w:rPr>
        <w:t>4. Data isolation across RAG / vector DB / feature store</w:t>
      </w:r>
    </w:p>
    <w:p>
      <w:r>
        <w:rPr>
          <w:b w:val="0"/>
          <w:i w:val="0"/>
          <w:sz w:val="22"/>
        </w:rPr>
        <w:t>5. Per-tenant LoRA on one shared base model</w:t>
      </w:r>
    </w:p>
    <w:p>
      <w:r>
        <w:rPr>
          <w:b w:val="0"/>
          <w:i w:val="0"/>
          <w:sz w:val="22"/>
        </w:rPr>
        <w:t>6. Quotas + rate limits + fair-share scheduling</w:t>
      </w:r>
    </w:p>
    <w:p>
      <w:r>
        <w:rPr>
          <w:b w:val="0"/>
          <w:i w:val="0"/>
          <w:sz w:val="22"/>
        </w:rPr>
        <w:t>7. Tenant-aware observability</w:t>
      </w:r>
    </w:p>
    <w:p>
      <w:r>
        <w:rPr>
          <w:b w:val="0"/>
          <w:i w:val="0"/>
          <w:sz w:val="22"/>
        </w:rPr>
        <w:t>8. Auth + OIDC + scoped tokens</w:t>
      </w:r>
    </w:p>
    <w:p>
      <w:r>
        <w:rPr>
          <w:b w:val="0"/>
          <w:i w:val="0"/>
          <w:sz w:val="22"/>
        </w:rPr>
        <w:t>9. Tenant lifecycle — provisioning, suspension, deletion (GDPR)</w:t>
      </w:r>
    </w:p>
    <w:p>
      <w:r>
        <w:rPr>
          <w:b w:val="0"/>
          <w:i w:val="0"/>
          <w:sz w:val="22"/>
        </w:rPr>
        <w:t>10. Reference architecture + anti-patterns</w:t>
      </w:r>
    </w:p>
    <w:p>
      <w:r>
        <w:br w:type="page"/>
      </w:r>
    </w:p>
    <w:p>
      <w:pPr>
        <w:pStyle w:val="Heading1"/>
      </w:pPr>
      <w:r>
        <w:rPr>
          <w:color w:val="1865C5"/>
        </w:rPr>
        <w:t>1. Four tenant archetypes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color w:val="1882C4"/>
              </w:rPr>
              <w:t>Archetype</w:t>
            </w:r>
          </w:p>
        </w:tc>
        <w:tc>
          <w:tcPr>
            <w:tcW w:type="dxa" w:w="2412"/>
          </w:tcPr>
          <w:p>
            <w:r>
              <w:rPr>
                <w:b/>
                <w:color w:val="1882C4"/>
              </w:rPr>
              <w:t>Tenants are…</w:t>
            </w:r>
          </w:p>
        </w:tc>
        <w:tc>
          <w:tcPr>
            <w:tcW w:type="dxa" w:w="2412"/>
          </w:tcPr>
          <w:p>
            <w:r>
              <w:rPr>
                <w:b/>
                <w:color w:val="1882C4"/>
              </w:rPr>
              <w:t>Examples</w:t>
            </w:r>
          </w:p>
        </w:tc>
        <w:tc>
          <w:tcPr>
            <w:tcW w:type="dxa" w:w="2412"/>
          </w:tcPr>
          <w:p>
            <w:r>
              <w:rPr>
                <w:b/>
                <w:color w:val="1882C4"/>
              </w:rPr>
              <w:t>Drives…</w:t>
            </w:r>
          </w:p>
        </w:tc>
      </w:tr>
      <w:tr>
        <w:tc>
          <w:tcPr>
            <w:tcW w:type="dxa" w:w="2412"/>
          </w:tcPr>
          <w:p>
            <w:r>
              <w:t>B2B SaaS</w:t>
            </w:r>
          </w:p>
        </w:tc>
        <w:tc>
          <w:tcPr>
            <w:tcW w:type="dxa" w:w="2412"/>
          </w:tcPr>
          <w:p>
            <w:r>
              <w:t>paying customer companies</w:t>
            </w:r>
          </w:p>
        </w:tc>
        <w:tc>
          <w:tcPr>
            <w:tcW w:type="dxa" w:w="2412"/>
          </w:tcPr>
          <w:p>
            <w:r>
              <w:t>Notion AI, Intercom Fin, Vanta</w:t>
            </w:r>
          </w:p>
        </w:tc>
        <w:tc>
          <w:tcPr>
            <w:tcW w:type="dxa" w:w="2412"/>
          </w:tcPr>
          <w:p>
            <w:r>
              <w:t>data isolation + billing</w:t>
            </w:r>
          </w:p>
        </w:tc>
      </w:tr>
      <w:tr>
        <w:tc>
          <w:tcPr>
            <w:tcW w:type="dxa" w:w="2412"/>
          </w:tcPr>
          <w:p>
            <w:r>
              <w:t>Internal platform</w:t>
            </w:r>
          </w:p>
        </w:tc>
        <w:tc>
          <w:tcPr>
            <w:tcW w:type="dxa" w:w="2412"/>
          </w:tcPr>
          <w:p>
            <w:r>
              <w:t>other teams in your co.</w:t>
            </w:r>
          </w:p>
        </w:tc>
        <w:tc>
          <w:tcPr>
            <w:tcW w:type="dxa" w:w="2412"/>
          </w:tcPr>
          <w:p>
            <w:r>
              <w:t>Spotify ML, Uber Michelangelo</w:t>
            </w:r>
          </w:p>
        </w:tc>
        <w:tc>
          <w:tcPr>
            <w:tcW w:type="dxa" w:w="2412"/>
          </w:tcPr>
          <w:p>
            <w:r>
              <w:t>quota / chargeback (M79)</w:t>
            </w:r>
          </w:p>
        </w:tc>
      </w:tr>
      <w:tr>
        <w:tc>
          <w:tcPr>
            <w:tcW w:type="dxa" w:w="2412"/>
          </w:tcPr>
          <w:p>
            <w:r>
              <w:t>Model marketplace</w:t>
            </w:r>
          </w:p>
        </w:tc>
        <w:tc>
          <w:tcPr>
            <w:tcW w:type="dxa" w:w="2412"/>
          </w:tcPr>
          <w:p>
            <w:r>
              <w:t>end-developers</w:t>
            </w:r>
          </w:p>
        </w:tc>
        <w:tc>
          <w:tcPr>
            <w:tcW w:type="dxa" w:w="2412"/>
          </w:tcPr>
          <w:p>
            <w:r>
              <w:t>OpenAI, Anthropic, Together</w:t>
            </w:r>
          </w:p>
        </w:tc>
        <w:tc>
          <w:tcPr>
            <w:tcW w:type="dxa" w:w="2412"/>
          </w:tcPr>
          <w:p>
            <w:r>
              <w:t>abuse + per-key budgets</w:t>
            </w:r>
          </w:p>
        </w:tc>
      </w:tr>
      <w:tr>
        <w:tc>
          <w:tcPr>
            <w:tcW w:type="dxa" w:w="2412"/>
          </w:tcPr>
          <w:p>
            <w:r>
              <w:t>Gov / regulated</w:t>
            </w:r>
          </w:p>
        </w:tc>
        <w:tc>
          <w:tcPr>
            <w:tcW w:type="dxa" w:w="2412"/>
          </w:tcPr>
          <w:p>
            <w:r>
              <w:t>agencies / banks / hospitals</w:t>
            </w:r>
          </w:p>
        </w:tc>
        <w:tc>
          <w:tcPr>
            <w:tcW w:type="dxa" w:w="2412"/>
          </w:tcPr>
          <w:p>
            <w:r>
              <w:t>Palantir, Anthropic Gov, Mistral EU</w:t>
            </w:r>
          </w:p>
        </w:tc>
        <w:tc>
          <w:tcPr>
            <w:tcW w:type="dxa" w:w="2412"/>
          </w:tcPr>
          <w:p>
            <w:r>
              <w:t>data residency, FedRAMP / SOC2 / HIPAA</w:t>
            </w:r>
          </w:p>
        </w:tc>
      </w:tr>
    </w:tbl>
    <w:p/>
    <w:p>
      <w:pPr>
        <w:pStyle w:val="Heading1"/>
      </w:pPr>
      <w:r>
        <w:rPr>
          <w:color w:val="1865C5"/>
        </w:rPr>
        <w:t>2. Four isolation models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  <w:color w:val="1882C4"/>
              </w:rPr>
              <w:t>Layer</w:t>
            </w:r>
          </w:p>
        </w:tc>
        <w:tc>
          <w:tcPr>
            <w:tcW w:type="dxa" w:w="1930"/>
          </w:tcPr>
          <w:p>
            <w:r>
              <w:rPr>
                <w:b/>
                <w:color w:val="1882C4"/>
              </w:rPr>
              <w:t>Shared</w:t>
            </w:r>
          </w:p>
        </w:tc>
        <w:tc>
          <w:tcPr>
            <w:tcW w:type="dxa" w:w="1930"/>
          </w:tcPr>
          <w:p>
            <w:r>
              <w:rPr>
                <w:b/>
                <w:color w:val="1882C4"/>
              </w:rPr>
              <w:t>Namespaced</w:t>
            </w:r>
          </w:p>
        </w:tc>
        <w:tc>
          <w:tcPr>
            <w:tcW w:type="dxa" w:w="1930"/>
          </w:tcPr>
          <w:p>
            <w:r>
              <w:rPr>
                <w:b/>
                <w:color w:val="1882C4"/>
              </w:rPr>
              <w:t>Silo</w:t>
            </w:r>
          </w:p>
        </w:tc>
        <w:tc>
          <w:tcPr>
            <w:tcW w:type="dxa" w:w="1930"/>
          </w:tcPr>
          <w:p>
            <w:r>
              <w:rPr>
                <w:b/>
                <w:color w:val="1882C4"/>
              </w:rPr>
              <w:t>Dedicated</w:t>
            </w:r>
          </w:p>
        </w:tc>
      </w:tr>
      <w:tr>
        <w:tc>
          <w:tcPr>
            <w:tcW w:type="dxa" w:w="1930"/>
          </w:tcPr>
          <w:p>
            <w:r>
              <w:t>DB</w:t>
            </w:r>
          </w:p>
        </w:tc>
        <w:tc>
          <w:tcPr>
            <w:tcW w:type="dxa" w:w="1930"/>
          </w:tcPr>
          <w:p>
            <w:r>
              <w:t>one table + tenant_id</w:t>
            </w:r>
          </w:p>
        </w:tc>
        <w:tc>
          <w:tcPr>
            <w:tcW w:type="dxa" w:w="1930"/>
          </w:tcPr>
          <w:p>
            <w:r>
              <w:t>schema per tenant</w:t>
            </w:r>
          </w:p>
        </w:tc>
        <w:tc>
          <w:tcPr>
            <w:tcW w:type="dxa" w:w="1930"/>
          </w:tcPr>
          <w:p>
            <w:r>
              <w:t>DB per tenant</w:t>
            </w:r>
          </w:p>
        </w:tc>
        <w:tc>
          <w:tcPr>
            <w:tcW w:type="dxa" w:w="1930"/>
          </w:tcPr>
          <w:p>
            <w:r>
              <w:t>DB instance per tenant</w:t>
            </w:r>
          </w:p>
        </w:tc>
      </w:tr>
      <w:tr>
        <w:tc>
          <w:tcPr>
            <w:tcW w:type="dxa" w:w="1930"/>
          </w:tcPr>
          <w:p>
            <w:r>
              <w:t>Vector</w:t>
            </w:r>
          </w:p>
        </w:tc>
        <w:tc>
          <w:tcPr>
            <w:tcW w:type="dxa" w:w="1930"/>
          </w:tcPr>
          <w:p>
            <w:r>
              <w:t>one collection + filter</w:t>
            </w:r>
          </w:p>
        </w:tc>
        <w:tc>
          <w:tcPr>
            <w:tcW w:type="dxa" w:w="1930"/>
          </w:tcPr>
          <w:p>
            <w:r>
              <w:t>collection per tenant</w:t>
            </w:r>
          </w:p>
        </w:tc>
        <w:tc>
          <w:tcPr>
            <w:tcW w:type="dxa" w:w="1930"/>
          </w:tcPr>
          <w:p>
            <w:r>
              <w:t>vector DB per tenant</w:t>
            </w:r>
          </w:p>
        </w:tc>
        <w:tc>
          <w:tcPr>
            <w:tcW w:type="dxa" w:w="1930"/>
          </w:tcPr>
          <w:p>
            <w:r>
              <w:t>dedicated cluster</w:t>
            </w:r>
          </w:p>
        </w:tc>
      </w:tr>
      <w:tr>
        <w:tc>
          <w:tcPr>
            <w:tcW w:type="dxa" w:w="1930"/>
          </w:tcPr>
          <w:p>
            <w:r>
              <w:t>Inference</w:t>
            </w:r>
          </w:p>
        </w:tc>
        <w:tc>
          <w:tcPr>
            <w:tcW w:type="dxa" w:w="1930"/>
          </w:tcPr>
          <w:p>
            <w:r>
              <w:t>one vLLM pool</w:t>
            </w:r>
          </w:p>
        </w:tc>
        <w:tc>
          <w:tcPr>
            <w:tcW w:type="dxa" w:w="1930"/>
          </w:tcPr>
          <w:p>
            <w:r>
              <w:t>pool per tier</w:t>
            </w:r>
          </w:p>
        </w:tc>
        <w:tc>
          <w:tcPr>
            <w:tcW w:type="dxa" w:w="1930"/>
          </w:tcPr>
          <w:p>
            <w:r>
              <w:t>per-tenant LoRA</w:t>
            </w:r>
          </w:p>
        </w:tc>
        <w:tc>
          <w:tcPr>
            <w:tcW w:type="dxa" w:w="1930"/>
          </w:tcPr>
          <w:p>
            <w:r>
              <w:t>dedicated vLLM cluster</w:t>
            </w:r>
          </w:p>
        </w:tc>
      </w:tr>
      <w:tr>
        <w:tc>
          <w:tcPr>
            <w:tcW w:type="dxa" w:w="1930"/>
          </w:tcPr>
          <w:p>
            <w:r>
              <w:t>K8s</w:t>
            </w:r>
          </w:p>
        </w:tc>
        <w:tc>
          <w:tcPr>
            <w:tcW w:type="dxa" w:w="1930"/>
          </w:tcPr>
          <w:p>
            <w:r>
              <w:t>shared cluster + namespace</w:t>
            </w:r>
          </w:p>
        </w:tc>
        <w:tc>
          <w:tcPr>
            <w:tcW w:type="dxa" w:w="1930"/>
          </w:tcPr>
          <w:p>
            <w:r>
              <w:t>namespace per tenant</w:t>
            </w:r>
          </w:p>
        </w:tc>
        <w:tc>
          <w:tcPr>
            <w:tcW w:type="dxa" w:w="1930"/>
          </w:tcPr>
          <w:p>
            <w:r>
              <w:t>dedicated node pool</w:t>
            </w:r>
          </w:p>
        </w:tc>
        <w:tc>
          <w:tcPr>
            <w:tcW w:type="dxa" w:w="1930"/>
          </w:tcPr>
          <w:p>
            <w:r>
              <w:t>dedicated cluster</w:t>
            </w:r>
          </w:p>
        </w:tc>
      </w:tr>
      <w:tr>
        <w:tc>
          <w:tcPr>
            <w:tcW w:type="dxa" w:w="1930"/>
          </w:tcPr>
          <w:p>
            <w:r>
              <w:t>Cost</w:t>
            </w:r>
          </w:p>
        </w:tc>
        <w:tc>
          <w:tcPr>
            <w:tcW w:type="dxa" w:w="1930"/>
          </w:tcPr>
          <w:p>
            <w:r>
              <w:t>low</w:t>
            </w:r>
          </w:p>
        </w:tc>
        <w:tc>
          <w:tcPr>
            <w:tcW w:type="dxa" w:w="1930"/>
          </w:tcPr>
          <w:p>
            <w:r>
              <w:t>medium</w:t>
            </w:r>
          </w:p>
        </w:tc>
        <w:tc>
          <w:tcPr>
            <w:tcW w:type="dxa" w:w="1930"/>
          </w:tcPr>
          <w:p>
            <w:r>
              <w:t>high</w:t>
            </w:r>
          </w:p>
        </w:tc>
        <w:tc>
          <w:tcPr>
            <w:tcW w:type="dxa" w:w="1930"/>
          </w:tcPr>
          <w:p>
            <w:r>
              <w:t>very high</w:t>
            </w:r>
          </w:p>
        </w:tc>
      </w:tr>
      <w:tr>
        <w:tc>
          <w:tcPr>
            <w:tcW w:type="dxa" w:w="1930"/>
          </w:tcPr>
          <w:p>
            <w:r>
              <w:t>Tenant size</w:t>
            </w:r>
          </w:p>
        </w:tc>
        <w:tc>
          <w:tcPr>
            <w:tcW w:type="dxa" w:w="1930"/>
          </w:tcPr>
          <w:p>
            <w:r>
              <w:t>startups / SMB</w:t>
            </w:r>
          </w:p>
        </w:tc>
        <w:tc>
          <w:tcPr>
            <w:tcW w:type="dxa" w:w="1930"/>
          </w:tcPr>
          <w:p>
            <w:r>
              <w:t>most SaaS</w:t>
            </w:r>
          </w:p>
        </w:tc>
        <w:tc>
          <w:tcPr>
            <w:tcW w:type="dxa" w:w="1930"/>
          </w:tcPr>
          <w:p>
            <w:r>
              <w:t>enterprise</w:t>
            </w:r>
          </w:p>
        </w:tc>
        <w:tc>
          <w:tcPr>
            <w:tcW w:type="dxa" w:w="1930"/>
          </w:tcPr>
          <w:p>
            <w:r>
              <w:t>regulated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🟡 Most production B2B SaaS = NAMESPACED default + SILO for the top 5-10% of customers who pay for it. Pure shared-everything stops scaling at thousands of tenants when row-level filters become a leak-audit risk.</w:t>
      </w:r>
    </w:p>
    <w:p>
      <w:pPr>
        <w:pStyle w:val="Heading1"/>
      </w:pPr>
      <w:r>
        <w:rPr>
          <w:color w:val="1865C5"/>
        </w:rPr>
        <w:t>3. Request path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@</w:t>
      </w:r>
      <w:r>
        <w:rPr>
          <w:rFonts w:ascii="Menlo" w:hAnsi="Menlo"/>
          <w:sz w:val="19"/>
        </w:rPr>
        <w:t>app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middleware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168249"/>
          <w:sz w:val="19"/>
        </w:rPr>
        <w:t>"http"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color w:val="0047AB"/>
          <w:sz w:val="19"/>
        </w:rPr>
        <w:t>async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tenant_middleware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request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Request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call_next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tid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request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headers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get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168249"/>
          <w:sz w:val="19"/>
        </w:rPr>
        <w:t>"x-tenant-id"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if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not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tid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and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"authorization"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request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headers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tid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"demo-tenant-from-jwt"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if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not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tid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color w:val="0047AB"/>
          <w:sz w:val="19"/>
        </w:rPr>
        <w:t>return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await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call_next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request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token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_tenant</w:t>
      </w:r>
      <w:r>
        <w:rPr>
          <w:rFonts w:ascii="Menlo" w:hAnsi="Menlo"/>
          <w:sz w:val="19"/>
        </w:rPr>
        <w:t>.</w:t>
      </w:r>
      <w:r>
        <w:rPr>
          <w:rFonts w:ascii="Menlo" w:hAnsi="Menlo"/>
          <w:color w:val="8B4E00"/>
          <w:sz w:val="19"/>
        </w:rPr>
        <w:t>set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tid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try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●11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response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await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call_next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request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●12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finally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●13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_tenant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reset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token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●14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return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response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FastAPI ASGI middleware — runs before every handler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Async signature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1) Extract — first try header (API gateway puts it there)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If no header, parse the JWT and read the tenant claim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Fallback for demo only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Allow unauthenticated paths to pass (healthchecks, public assets)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(close)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2) Propagate via contextvar (carries across `await`)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●10</w:t>
            </w:r>
          </w:p>
        </w:tc>
        <w:tc>
          <w:tcPr>
            <w:tcW w:type="dxa" w:w="4824"/>
          </w:tcPr>
          <w:p>
            <w:r>
              <w:t>Try/finally so we always reset even on exception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●11</w:t>
            </w:r>
          </w:p>
        </w:tc>
        <w:tc>
          <w:tcPr>
            <w:tcW w:type="dxa" w:w="4824"/>
          </w:tcPr>
          <w:p>
            <w:r>
              <w:t>Run the handler with tenant context bound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●12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●13</w:t>
            </w:r>
          </w:p>
        </w:tc>
        <w:tc>
          <w:tcPr>
            <w:tcW w:type="dxa" w:w="4824"/>
          </w:tcPr>
          <w:p>
            <w:r>
              <w:t>Reset to previous value on exit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●14</w:t>
            </w:r>
          </w:p>
        </w:tc>
        <w:tc>
          <w:tcPr>
            <w:tcW w:type="dxa" w:w="4824"/>
          </w:tcPr>
          <w:p>
            <w:r>
              <w:t>Return the response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Golden rule: tenant context is CARRIED by the request, ENFORCED at every persistence + resource-allocation point. Never let the caller pass tenant_id as a function arg that a downstream 'trusts' — always re-derive from the request principal or a short-lived signed claim.</w:t>
      </w:r>
    </w:p>
    <w:p>
      <w:pPr>
        <w:ind w:left="216" w:right="216"/>
      </w:pPr>
      <w:r>
        <w:rPr>
          <w:color w:val="B22D2D"/>
          <w:sz w:val="21"/>
        </w:rPr>
        <w:t>🚫 Two propagation traps: (1) mixed sync/async — contextvars are async-safe but break across thread-pool executors; propagate explicitly through gRPC metadata (M45) or A2A `caller` (M75); (2) background workers — Celery/RQ/k8s Job process tasks from a queue; the tenant must be ON THE MESSAGE, not the worker's environment.</w:t>
      </w:r>
    </w:p>
    <w:p>
      <w:pPr>
        <w:pStyle w:val="Heading1"/>
      </w:pPr>
      <w:r>
        <w:rPr>
          <w:color w:val="1865C5"/>
        </w:rPr>
        <w:t>4. Data isolation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color w:val="707070"/>
          <w:sz w:val="19"/>
        </w:rPr>
        <w:t># Pattern A — one collection + tenant_id filter (cheap)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>results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qdrant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search</w:t>
      </w:r>
      <w:r>
        <w:rPr>
          <w:rFonts w:ascii="Menlo" w:hAnsi="Menlo"/>
          <w:sz w:val="19"/>
        </w:rPr>
        <w:t>(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collection_name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168249"/>
          <w:sz w:val="19"/>
        </w:rPr>
        <w:t>"docs"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query_vector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query_emb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query_filter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Filter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must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FieldCondition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key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168249"/>
          <w:sz w:val="19"/>
        </w:rPr>
        <w:t>"tenant_id"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                                            </w:t>
      </w:r>
      <w:r>
        <w:rPr>
          <w:rFonts w:ascii="Menlo" w:hAnsi="Menlo"/>
          <w:sz w:val="19"/>
        </w:rPr>
        <w:t>match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MatchValue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value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tid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limit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5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color w:val="707070"/>
          <w:sz w:val="19"/>
        </w:rPr>
        <w:t># Pattern B — one collection per tenant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●11  </w:t>
      </w:r>
      <w:r>
        <w:rPr>
          <w:rFonts w:ascii="Menlo" w:hAnsi="Menlo"/>
          <w:sz w:val="19"/>
        </w:rPr>
        <w:t>qdrant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search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collection_name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f</w:t>
      </w:r>
      <w:r>
        <w:rPr>
          <w:rFonts w:ascii="Menlo" w:hAnsi="Menlo"/>
          <w:color w:val="168249"/>
          <w:sz w:val="19"/>
        </w:rPr>
        <w:t>"docs__{tid}"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●12  </w:t>
      </w:r>
      <w:r>
        <w:rPr>
          <w:rFonts w:ascii="Menlo" w:hAnsi="Menlo"/>
          <w:sz w:val="19"/>
        </w:rPr>
        <w:t xml:space="preserve">              </w:t>
      </w:r>
      <w:r>
        <w:rPr>
          <w:rFonts w:ascii="Menlo" w:hAnsi="Menlo"/>
          <w:sz w:val="19"/>
        </w:rPr>
        <w:t>query_vector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query_emb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limit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5</w:t>
      </w:r>
      <w:r>
        <w:rPr>
          <w:rFonts w:ascii="Menlo" w:hAnsi="Menlo"/>
          <w:sz w:val="19"/>
        </w:rPr>
        <w:t>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Pattern A — cheap; one collection serves all tenants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Standard search call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MUST filter on tenant_id — Qdrant filters DURING ANN traversal (M42)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Pattern B — one collection per tenant; stronger isolation; harder to manage at thousands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Naming convention: doc__{tid}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1882C4"/>
              </w:rPr>
              <w:t>Pattern</w:t>
            </w:r>
          </w:p>
        </w:tc>
        <w:tc>
          <w:tcPr>
            <w:tcW w:type="dxa" w:w="4824"/>
          </w:tcPr>
          <w:p>
            <w:r>
              <w:rPr>
                <w:b/>
                <w:color w:val="1882C4"/>
              </w:rPr>
              <w:t>Trade-off</w:t>
            </w:r>
          </w:p>
        </w:tc>
      </w:tr>
      <w:tr>
        <w:tc>
          <w:tcPr>
            <w:tcW w:type="dxa" w:w="4824"/>
          </w:tcPr>
          <w:p>
            <w:r>
              <w:t>A: shared + tenant_id filter</w:t>
            </w:r>
          </w:p>
        </w:tc>
        <w:tc>
          <w:tcPr>
            <w:tcW w:type="dxa" w:w="4824"/>
          </w:tcPr>
          <w:p>
            <w:r>
              <w:t>cheap; one typo and you leak</w:t>
            </w:r>
          </w:p>
        </w:tc>
      </w:tr>
      <w:tr>
        <w:tc>
          <w:tcPr>
            <w:tcW w:type="dxa" w:w="4824"/>
          </w:tcPr>
          <w:p>
            <w:r>
              <w:t>B: one collection per tenant</w:t>
            </w:r>
          </w:p>
        </w:tc>
        <w:tc>
          <w:tcPr>
            <w:tcW w:type="dxa" w:w="4824"/>
          </w:tcPr>
          <w:p>
            <w:r>
              <w:t>stronger; managed natively by Pinecone namespaces / Weaviate tenants</w:t>
            </w:r>
          </w:p>
        </w:tc>
      </w:tr>
      <w:tr>
        <w:tc>
          <w:tcPr>
            <w:tcW w:type="dxa" w:w="4824"/>
          </w:tcPr>
          <w:p>
            <w:r>
              <w:t>C: dedicated vector DB / cluster</w:t>
            </w:r>
          </w:p>
        </w:tc>
        <w:tc>
          <w:tcPr>
            <w:tcW w:type="dxa" w:w="4824"/>
          </w:tcPr>
          <w:p>
            <w:r>
              <w:t>for top-paying or regulated; highest isolation, highest cost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✅ The rule: tenant filter on EVERY query, code-reviewed; integration tests assert no leakage; audit logs of every retriever call with tenant_id attached.</w:t>
      </w:r>
    </w:p>
    <w:p>
      <w:pPr>
        <w:pStyle w:val="Heading1"/>
      </w:pPr>
      <w:r>
        <w:rPr>
          <w:color w:val="1865C5"/>
        </w:rPr>
        <w:t>5. Per-tenant LoRA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python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m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vllm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entrypoints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openai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api_server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\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model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meta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llama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Llama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3.3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70B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Instruct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\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enable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lora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\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lora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modules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\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tenant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acme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s3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my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bucket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loras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acme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v2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tar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\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tenant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foo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s3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my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bucket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loras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foo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v1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tar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\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tenant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bar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s3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my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bucket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loras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bar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v3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tar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\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8B4E00"/>
          <w:sz w:val="19"/>
        </w:rPr>
        <w:t>max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loras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8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8B4E00"/>
          <w:sz w:val="19"/>
        </w:rPr>
        <w:t>max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lora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rank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64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color w:val="707070"/>
          <w:sz w:val="19"/>
        </w:rPr>
        <w:t># Client picks the adapter via the `model` field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●11  </w:t>
      </w:r>
      <w:r>
        <w:rPr>
          <w:rFonts w:ascii="Menlo" w:hAnsi="Menlo"/>
          <w:sz w:val="19"/>
        </w:rPr>
        <w:t>curl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http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vllm</w:t>
      </w:r>
      <w:r>
        <w:rPr>
          <w:rFonts w:ascii="Menlo" w:hAnsi="Menlo"/>
          <w:sz w:val="19"/>
        </w:rPr>
        <w:t>:</w:t>
      </w:r>
      <w:r>
        <w:rPr>
          <w:rFonts w:ascii="Menlo" w:hAnsi="Menlo"/>
          <w:color w:val="6F42C1"/>
          <w:sz w:val="19"/>
        </w:rPr>
        <w:t>8000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v1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chat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completions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\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●12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H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"Authorization: Bearer $API_KEY"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\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●13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d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'</w:t>
      </w:r>
      <w:r>
        <w:rPr>
          <w:rFonts w:ascii="Menlo" w:hAnsi="Menlo"/>
          <w:sz w:val="19"/>
        </w:rPr>
        <w:t>{</w:t>
      </w:r>
      <w:r>
        <w:rPr>
          <w:rFonts w:ascii="Menlo" w:hAnsi="Menlo"/>
          <w:color w:val="168249"/>
          <w:sz w:val="19"/>
        </w:rPr>
        <w:t>"model"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"tenant-acme"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●14  </w:t>
      </w:r>
      <w:r>
        <w:rPr>
          <w:rFonts w:ascii="Menlo" w:hAnsi="Menlo"/>
          <w:sz w:val="19"/>
        </w:rPr>
        <w:t xml:space="preserve">         </w:t>
      </w:r>
      <w:r>
        <w:rPr>
          <w:rFonts w:ascii="Menlo" w:hAnsi="Menlo"/>
          <w:color w:val="168249"/>
          <w:sz w:val="19"/>
        </w:rPr>
        <w:t>"messages"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{</w:t>
      </w:r>
      <w:r>
        <w:rPr>
          <w:rFonts w:ascii="Menlo" w:hAnsi="Menlo"/>
          <w:color w:val="168249"/>
          <w:sz w:val="19"/>
        </w:rPr>
        <w:t>"role"</w:t>
      </w:r>
      <w:r>
        <w:rPr>
          <w:rFonts w:ascii="Menlo" w:hAnsi="Menlo"/>
          <w:sz w:val="19"/>
        </w:rPr>
        <w:t>:</w:t>
      </w:r>
      <w:r>
        <w:rPr>
          <w:rFonts w:ascii="Menlo" w:hAnsi="Menlo"/>
          <w:color w:val="168249"/>
          <w:sz w:val="19"/>
        </w:rPr>
        <w:t>"user"</w:t>
      </w:r>
      <w:r>
        <w:rPr>
          <w:rFonts w:ascii="Menlo" w:hAnsi="Menlo"/>
          <w:sz w:val="19"/>
        </w:rPr>
        <w:t>,</w:t>
      </w:r>
      <w:r>
        <w:rPr>
          <w:rFonts w:ascii="Menlo" w:hAnsi="Menlo"/>
          <w:color w:val="168249"/>
          <w:sz w:val="19"/>
        </w:rPr>
        <w:t>"content"</w:t>
      </w:r>
      <w:r>
        <w:rPr>
          <w:rFonts w:ascii="Menlo" w:hAnsi="Menlo"/>
          <w:sz w:val="19"/>
        </w:rPr>
        <w:t>:</w:t>
      </w:r>
      <w:r>
        <w:rPr>
          <w:rFonts w:ascii="Menlo" w:hAnsi="Menlo"/>
          <w:color w:val="168249"/>
          <w:sz w:val="19"/>
        </w:rPr>
        <w:t>"…"</w:t>
      </w:r>
      <w:r>
        <w:rPr>
          <w:rFonts w:ascii="Menlo" w:hAnsi="Menlo"/>
          <w:sz w:val="19"/>
        </w:rPr>
        <w:t>}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}</w:t>
      </w:r>
      <w:r>
        <w:rPr>
          <w:rFonts w:ascii="Menlo" w:hAnsi="Menlo"/>
          <w:color w:val="168249"/>
          <w:sz w:val="19"/>
        </w:rPr>
        <w:t>'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Launch vLLM with multi-LoRA support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One shared base model in VRAM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Turn on LoRA hot-swap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Register per-tenant adapters from object storage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Cap how many LoRAs can be resident at once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●10</w:t>
            </w:r>
          </w:p>
        </w:tc>
        <w:tc>
          <w:tcPr>
            <w:tcW w:type="dxa" w:w="4824"/>
          </w:tcPr>
          <w:p>
            <w:r>
              <w:t>Client side — pick LoRA by name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●11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●12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●13</w:t>
            </w:r>
          </w:p>
        </w:tc>
        <w:tc>
          <w:tcPr>
            <w:tcW w:type="dxa" w:w="4824"/>
          </w:tcPr>
          <w:p>
            <w:r>
              <w:t>model field selects the adapter; everything else is normal OpenAI API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1882C4"/>
              </w:rPr>
              <w:t>Property</w:t>
            </w:r>
          </w:p>
        </w:tc>
        <w:tc>
          <w:tcPr>
            <w:tcW w:type="dxa" w:w="4824"/>
          </w:tcPr>
          <w:p>
            <w:r>
              <w:rPr>
                <w:b/>
                <w:color w:val="1882C4"/>
              </w:rPr>
              <w:t>Why it scales</w:t>
            </w:r>
          </w:p>
        </w:tc>
      </w:tr>
      <w:tr>
        <w:tc>
          <w:tcPr>
            <w:tcW w:type="dxa" w:w="4824"/>
          </w:tcPr>
          <w:p>
            <w:r>
              <w:t>Shared 70B base in VRAM</w:t>
            </w:r>
          </w:p>
        </w:tc>
        <w:tc>
          <w:tcPr>
            <w:tcW w:type="dxa" w:w="4824"/>
          </w:tcPr>
          <w:p>
            <w:r>
              <w:t>KV cache amortised across the fleet (M60)</w:t>
            </w:r>
          </w:p>
        </w:tc>
      </w:tr>
      <w:tr>
        <w:tc>
          <w:tcPr>
            <w:tcW w:type="dxa" w:w="4824"/>
          </w:tcPr>
          <w:p>
            <w:r>
              <w:t>Hot-swap LoRA at ~10ms</w:t>
            </w:r>
          </w:p>
        </w:tc>
        <w:tc>
          <w:tcPr>
            <w:tcW w:type="dxa" w:w="4824"/>
          </w:tcPr>
          <w:p>
            <w:r>
              <w:t>hundreds of tenants per pod</w:t>
            </w:r>
          </w:p>
        </w:tc>
      </w:tr>
      <w:tr>
        <w:tc>
          <w:tcPr>
            <w:tcW w:type="dxa" w:w="4824"/>
          </w:tcPr>
          <w:p>
            <w:r>
              <w:t>Cold tenants paged out</w:t>
            </w:r>
          </w:p>
        </w:tc>
        <w:tc>
          <w:tcPr>
            <w:tcW w:type="dxa" w:w="4824"/>
          </w:tcPr>
          <w:p>
            <w:r>
              <w:t>vLLM keeps recently-used ones resident</w:t>
            </w:r>
          </w:p>
        </w:tc>
      </w:tr>
      <w:tr>
        <w:tc>
          <w:tcPr>
            <w:tcW w:type="dxa" w:w="4824"/>
          </w:tcPr>
          <w:p>
            <w:r>
              <w:t>LoRAX / SGLang / Triton</w:t>
            </w:r>
          </w:p>
        </w:tc>
        <w:tc>
          <w:tcPr>
            <w:tcW w:type="dxa" w:w="4824"/>
          </w:tcPr>
          <w:p>
            <w:r>
              <w:t>same pattern, alternative servers (M71)</w:t>
            </w:r>
          </w:p>
        </w:tc>
      </w:tr>
    </w:tbl>
    <w:p/>
    <w:p>
      <w:pPr>
        <w:ind w:left="216" w:right="216"/>
      </w:pPr>
      <w:r>
        <w:rPr>
          <w:color w:val="B22D2D"/>
          <w:sz w:val="21"/>
        </w:rPr>
        <w:t>🔒 A poisoned LoRA can break the base model's safety training. Scan adapter datasets (M74) before training, SIGN the adapter on completion, verify the signature at load.</w:t>
      </w:r>
    </w:p>
    <w:p>
      <w:pPr>
        <w:pStyle w:val="Heading1"/>
      </w:pPr>
      <w:r>
        <w:rPr>
          <w:color w:val="1865C5"/>
        </w:rPr>
        <w:t>6. Quotas + rate limits + fair-share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1882C4"/>
              </w:rPr>
              <w:t>Layer</w:t>
            </w:r>
          </w:p>
        </w:tc>
        <w:tc>
          <w:tcPr>
            <w:tcW w:type="dxa" w:w="3216"/>
          </w:tcPr>
          <w:p>
            <w:r>
              <w:rPr>
                <w:b/>
                <w:color w:val="1882C4"/>
              </w:rPr>
              <w:t>Tool</w:t>
            </w:r>
          </w:p>
        </w:tc>
        <w:tc>
          <w:tcPr>
            <w:tcW w:type="dxa" w:w="3216"/>
          </w:tcPr>
          <w:p>
            <w:r>
              <w:rPr>
                <w:b/>
                <w:color w:val="1882C4"/>
              </w:rPr>
              <w:t>Enforces</w:t>
            </w:r>
          </w:p>
        </w:tc>
      </w:tr>
      <w:tr>
        <w:tc>
          <w:tcPr>
            <w:tcW w:type="dxa" w:w="3216"/>
          </w:tcPr>
          <w:p>
            <w:r>
              <w:t>Edge gateway</w:t>
            </w:r>
          </w:p>
        </w:tc>
        <w:tc>
          <w:tcPr>
            <w:tcW w:type="dxa" w:w="3216"/>
          </w:tcPr>
          <w:p>
            <w:r>
              <w:t>Kong / Envoy / Apigee / LiteLLM</w:t>
            </w:r>
          </w:p>
        </w:tc>
        <w:tc>
          <w:tcPr>
            <w:tcW w:type="dxa" w:w="3216"/>
          </w:tcPr>
          <w:p>
            <w:r>
              <w:t>RPS / TPS / monthly $</w:t>
            </w:r>
          </w:p>
        </w:tc>
      </w:tr>
      <w:tr>
        <w:tc>
          <w:tcPr>
            <w:tcW w:type="dxa" w:w="3216"/>
          </w:tcPr>
          <w:p>
            <w:r>
              <w:t>Token meter</w:t>
            </w:r>
          </w:p>
        </w:tc>
        <w:tc>
          <w:tcPr>
            <w:tcW w:type="dxa" w:w="3216"/>
          </w:tcPr>
          <w:p>
            <w:r>
              <w:t>LiteLLM, Helicone</w:t>
            </w:r>
          </w:p>
        </w:tc>
        <w:tc>
          <w:tcPr>
            <w:tcW w:type="dxa" w:w="3216"/>
          </w:tcPr>
          <w:p>
            <w:r>
              <w:t>$/Mtok per tier (M79)</w:t>
            </w:r>
          </w:p>
        </w:tc>
      </w:tr>
      <w:tr>
        <w:tc>
          <w:tcPr>
            <w:tcW w:type="dxa" w:w="3216"/>
          </w:tcPr>
          <w:p>
            <w:r>
              <w:t>k8s ResourceQuota</w:t>
            </w:r>
          </w:p>
        </w:tc>
        <w:tc>
          <w:tcPr>
            <w:tcW w:type="dxa" w:w="3216"/>
          </w:tcPr>
          <w:p>
            <w:r>
              <w:t>namespaces (M46)</w:t>
            </w:r>
          </w:p>
        </w:tc>
        <w:tc>
          <w:tcPr>
            <w:tcW w:type="dxa" w:w="3216"/>
          </w:tcPr>
          <w:p>
            <w:r>
              <w:t>CPU / RAM / GPU per tenant</w:t>
            </w:r>
          </w:p>
        </w:tc>
      </w:tr>
      <w:tr>
        <w:tc>
          <w:tcPr>
            <w:tcW w:type="dxa" w:w="3216"/>
          </w:tcPr>
          <w:p>
            <w:r>
              <w:t>Fair-share scheduler</w:t>
            </w:r>
          </w:p>
        </w:tc>
        <w:tc>
          <w:tcPr>
            <w:tcW w:type="dxa" w:w="3216"/>
          </w:tcPr>
          <w:p>
            <w:r>
              <w:t>Volcano / Kueue / Run:ai</w:t>
            </w:r>
          </w:p>
        </w:tc>
        <w:tc>
          <w:tcPr>
            <w:tcW w:type="dxa" w:w="3216"/>
          </w:tcPr>
          <w:p>
            <w:r>
              <w:t>who runs next under contention</w:t>
            </w:r>
          </w:p>
        </w:tc>
      </w:tr>
    </w:tbl>
    <w:p/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allow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tenant_id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str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route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str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limit_per_min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int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&gt;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bool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key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f</w:t>
      </w:r>
      <w:r>
        <w:rPr>
          <w:rFonts w:ascii="Menlo" w:hAnsi="Menlo"/>
          <w:color w:val="168249"/>
          <w:sz w:val="19"/>
        </w:rPr>
        <w:t>"rl:{tenant_id}:{route}:{int(time.time() // 60)}"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incr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key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if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expire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key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120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return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&lt;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limit_per_min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Redis sliding-window per-tenant rate limit (M37 §6 in spirit)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Key buckets requests per minute per tenant per route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INCR atomically — Redis-native counter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Set TTL on first hit so old keys expire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Return True if the new count fits the limit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Three quota tiers most platforms expose: FREE (small RPS, $ cap, cheap model tier), PRO (larger caps, all routes, caching), ENTERPRISE (custom contract, dedicated capacity, SLA, optional silo).</w:t>
      </w:r>
    </w:p>
    <w:p>
      <w:pPr>
        <w:pStyle w:val="Heading1"/>
      </w:pPr>
      <w:r>
        <w:rPr>
          <w:color w:val="1865C5"/>
        </w:rPr>
        <w:t>7. Tenant-aware observability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span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set_attribute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168249"/>
          <w:sz w:val="19"/>
        </w:rPr>
        <w:t>"tenant.id"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tenant_id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>span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set_attribute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168249"/>
          <w:sz w:val="19"/>
        </w:rPr>
        <w:t>"tenant.tier"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"pro"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>span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set_attribute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168249"/>
          <w:sz w:val="19"/>
        </w:rPr>
        <w:t>"model.id"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"tenant-acme"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>LLM_REQUESTS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Counter</w:t>
      </w:r>
      <w:r>
        <w:rPr>
          <w:rFonts w:ascii="Menlo" w:hAnsi="Menlo"/>
          <w:sz w:val="19"/>
        </w:rPr>
        <w:t>(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168249"/>
          <w:sz w:val="19"/>
        </w:rPr>
        <w:t>"llm_requests_total"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"Number of LLM requests"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168249"/>
          <w:sz w:val="19"/>
        </w:rPr>
        <w:t>"tenant_id"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"tier"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"model"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"route"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"status"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>LLM_REQUESTS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labels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tenant_id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tid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tier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168249"/>
          <w:sz w:val="19"/>
        </w:rPr>
        <w:t>"pro"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sz w:val="19"/>
        </w:rPr>
        <w:t xml:space="preserve">                     </w:t>
      </w:r>
      <w:r>
        <w:rPr>
          <w:rFonts w:ascii="Menlo" w:hAnsi="Menlo"/>
          <w:sz w:val="19"/>
        </w:rPr>
        <w:t>model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168249"/>
          <w:sz w:val="19"/>
        </w:rPr>
        <w:t>"acme"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route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168249"/>
          <w:sz w:val="19"/>
        </w:rPr>
        <w:t>"chat"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status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168249"/>
          <w:sz w:val="19"/>
        </w:rPr>
        <w:t>"ok"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inc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OTel attribute — tenant.id on every span (M51)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Tier as a separate attribute for tier-level slicing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Which model / LoRA served this request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Prometheus counter with tenant labels (M50)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Description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Label dimensions — incl. tenant_id, tier, model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(close)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Increment per request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●10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</w:tbl>
    <w:p/>
    <w:p>
      <w:pPr>
        <w:ind w:left="216" w:right="216"/>
      </w:pPr>
      <w:r>
        <w:rPr>
          <w:color w:val="B22D2D"/>
          <w:sz w:val="21"/>
        </w:rPr>
        <w:t>⚠ Don't over-label. tenant_id is HIGH-cardinality — at 100k+ tenants, Prometheus bites. Common compromise: per-tenant counters only at the TIER LEVEL in Prom; token-level metering in Langfuse / ClickHouse / Snowflake for the per-tenant slice.</w:t>
      </w:r>
    </w:p>
    <w:p>
      <w:pPr>
        <w:pStyle w:val="Heading1"/>
      </w:pPr>
      <w:r>
        <w:rPr>
          <w:color w:val="1865C5"/>
        </w:rPr>
        <w:t>8. Auth + OIDC</w:t>
      </w:r>
    </w:p>
    <w:p>
      <w:r>
        <w:rPr>
          <w:b w:val="0"/>
          <w:i w:val="0"/>
          <w:sz w:val="22"/>
        </w:rPr>
        <w:t>Trust chain: user / service → IdP (Auth0 / Cognito / Okta / Entra / Keycloak) issues OIDC JWT → API gateway verifies and reads tenant_id + scopes from the claim → propagates via header / gRPC metadata / A2A caller → services re-verify and enforce.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1882C4"/>
              </w:rPr>
              <w:t>Rule</w:t>
            </w:r>
          </w:p>
        </w:tc>
        <w:tc>
          <w:tcPr>
            <w:tcW w:type="dxa" w:w="4824"/>
          </w:tcPr>
          <w:p>
            <w:r>
              <w:rPr>
                <w:b/>
                <w:color w:val="1882C4"/>
              </w:rPr>
              <w:t>Why</w:t>
            </w:r>
          </w:p>
        </w:tc>
      </w:tr>
      <w:tr>
        <w:tc>
          <w:tcPr>
            <w:tcW w:type="dxa" w:w="4824"/>
          </w:tcPr>
          <w:p>
            <w:r>
              <w:t>Never trust client-supplied tenant_id</w:t>
            </w:r>
          </w:p>
        </w:tc>
        <w:tc>
          <w:tcPr>
            <w:tcW w:type="dxa" w:w="4824"/>
          </w:tcPr>
          <w:p>
            <w:r>
              <w:t>always derive from the verified JWT claim</w:t>
            </w:r>
          </w:p>
        </w:tc>
      </w:tr>
      <w:tr>
        <w:tc>
          <w:tcPr>
            <w:tcW w:type="dxa" w:w="4824"/>
          </w:tcPr>
          <w:p>
            <w:r>
              <w:t>Per-key scopes (read / write / admin)</w:t>
            </w:r>
          </w:p>
        </w:tc>
        <w:tc>
          <w:tcPr>
            <w:tcW w:type="dxa" w:w="4824"/>
          </w:tcPr>
          <w:p>
            <w:r>
              <w:t>leaked read key can't fine-tune</w:t>
            </w:r>
          </w:p>
        </w:tc>
      </w:tr>
      <w:tr>
        <w:tc>
          <w:tcPr>
            <w:tcW w:type="dxa" w:w="4824"/>
          </w:tcPr>
          <w:p>
            <w:r>
              <w:t>Short-lived tokens between services</w:t>
            </w:r>
          </w:p>
        </w:tc>
        <w:tc>
          <w:tcPr>
            <w:tcW w:type="dxa" w:w="4824"/>
          </w:tcPr>
          <w:p>
            <w:r>
              <w:t>15-min JWTs &gt; eternal API keys</w:t>
            </w:r>
          </w:p>
        </w:tc>
      </w:tr>
      <w:tr>
        <w:tc>
          <w:tcPr>
            <w:tcW w:type="dxa" w:w="4824"/>
          </w:tcPr>
          <w:p>
            <w:r>
              <w:t>Tools / system prompts are part of boundary</w:t>
            </w:r>
          </w:p>
        </w:tc>
        <w:tc>
          <w:tcPr>
            <w:tcW w:type="dxa" w:w="4824"/>
          </w:tcPr>
          <w:p>
            <w:r>
              <w:t>tenant A can't see tenant B's delete_user tool</w:t>
            </w:r>
          </w:p>
        </w:tc>
      </w:tr>
    </w:tbl>
    <w:p/>
    <w:p>
      <w:pPr>
        <w:pStyle w:val="Heading1"/>
      </w:pPr>
      <w:r>
        <w:rPr>
          <w:color w:val="1865C5"/>
        </w:rPr>
        <w:t>9. Tenant lifecycle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1882C4"/>
              </w:rPr>
              <w:t>Phase</w:t>
            </w:r>
          </w:p>
        </w:tc>
        <w:tc>
          <w:tcPr>
            <w:tcW w:type="dxa" w:w="3216"/>
          </w:tcPr>
          <w:p>
            <w:r>
              <w:rPr>
                <w:b/>
                <w:color w:val="1882C4"/>
              </w:rPr>
              <w:t>Happens</w:t>
            </w:r>
          </w:p>
        </w:tc>
        <w:tc>
          <w:tcPr>
            <w:tcW w:type="dxa" w:w="3216"/>
          </w:tcPr>
          <w:p>
            <w:r>
              <w:rPr>
                <w:b/>
                <w:color w:val="1882C4"/>
              </w:rPr>
              <w:t>Gotcha</w:t>
            </w:r>
          </w:p>
        </w:tc>
      </w:tr>
      <w:tr>
        <w:tc>
          <w:tcPr>
            <w:tcW w:type="dxa" w:w="3216"/>
          </w:tcPr>
          <w:p>
            <w:r>
              <w:t>Onboard</w:t>
            </w:r>
          </w:p>
        </w:tc>
        <w:tc>
          <w:tcPr>
            <w:tcW w:type="dxa" w:w="3216"/>
          </w:tcPr>
          <w:p>
            <w:r>
              <w:t>provision namespace, schema, vector collection, LoRA, keys, billing</w:t>
            </w:r>
          </w:p>
        </w:tc>
        <w:tc>
          <w:tcPr>
            <w:tcW w:type="dxa" w:w="3216"/>
          </w:tcPr>
          <w:p>
            <w:r>
              <w:t>atomic — rollback all on failure</w:t>
            </w:r>
          </w:p>
        </w:tc>
      </w:tr>
      <w:tr>
        <w:tc>
          <w:tcPr>
            <w:tcW w:type="dxa" w:w="3216"/>
          </w:tcPr>
          <w:p>
            <w:r>
              <w:t>Active</w:t>
            </w:r>
          </w:p>
        </w:tc>
        <w:tc>
          <w:tcPr>
            <w:tcW w:type="dxa" w:w="3216"/>
          </w:tcPr>
          <w:p>
            <w:r>
              <w:t>monitored</w:t>
            </w:r>
          </w:p>
        </w:tc>
        <w:tc>
          <w:tcPr>
            <w:tcW w:type="dxa" w:w="3216"/>
          </w:tcPr>
          <w:p>
            <w:r>
              <w:t>flag idle tenants for downgrade</w:t>
            </w:r>
          </w:p>
        </w:tc>
      </w:tr>
      <w:tr>
        <w:tc>
          <w:tcPr>
            <w:tcW w:type="dxa" w:w="3216"/>
          </w:tcPr>
          <w:p>
            <w:r>
              <w:t>Suspend</w:t>
            </w:r>
          </w:p>
        </w:tc>
        <w:tc>
          <w:tcPr>
            <w:tcW w:type="dxa" w:w="3216"/>
          </w:tcPr>
          <w:p>
            <w:r>
              <w:t>rate-limit to 0; keep data</w:t>
            </w:r>
          </w:p>
        </w:tc>
        <w:tc>
          <w:tcPr>
            <w:tcW w:type="dxa" w:w="3216"/>
          </w:tcPr>
          <w:p>
            <w:r>
              <w:t>reversible within SLA</w:t>
            </w:r>
          </w:p>
        </w:tc>
      </w:tr>
      <w:tr>
        <w:tc>
          <w:tcPr>
            <w:tcW w:type="dxa" w:w="3216"/>
          </w:tcPr>
          <w:p>
            <w:r>
              <w:t>Trial-end</w:t>
            </w:r>
          </w:p>
        </w:tc>
        <w:tc>
          <w:tcPr>
            <w:tcW w:type="dxa" w:w="3216"/>
          </w:tcPr>
          <w:p>
            <w:r>
              <w:t>email; route to free tier</w:t>
            </w:r>
          </w:p>
        </w:tc>
        <w:tc>
          <w:tcPr>
            <w:tcW w:type="dxa" w:w="3216"/>
          </w:tcPr>
          <w:p>
            <w:r>
              <w:t>not deletion</w:t>
            </w:r>
          </w:p>
        </w:tc>
      </w:tr>
      <w:tr>
        <w:tc>
          <w:tcPr>
            <w:tcW w:type="dxa" w:w="3216"/>
          </w:tcPr>
          <w:p>
            <w:r>
              <w:t>Decommission</w:t>
            </w:r>
          </w:p>
        </w:tc>
        <w:tc>
          <w:tcPr>
            <w:tcW w:type="dxa" w:w="3216"/>
          </w:tcPr>
          <w:p>
            <w:r>
              <w:t>nudge to export</w:t>
            </w:r>
          </w:p>
        </w:tc>
        <w:tc>
          <w:tcPr>
            <w:tcW w:type="dxa" w:w="3216"/>
          </w:tcPr>
          <w:p>
            <w:r>
              <w:t>give 30-90 days</w:t>
            </w:r>
          </w:p>
        </w:tc>
      </w:tr>
      <w:tr>
        <w:tc>
          <w:tcPr>
            <w:tcW w:type="dxa" w:w="3216"/>
          </w:tcPr>
          <w:p>
            <w:r>
              <w:t>Delete (GDPR / DSAR)</w:t>
            </w:r>
          </w:p>
        </w:tc>
        <w:tc>
          <w:tcPr>
            <w:tcW w:type="dxa" w:w="3216"/>
          </w:tcPr>
          <w:p>
            <w:r>
              <w:t>hard-delete PII, embeddings, LoRAs, audit logs</w:t>
            </w:r>
          </w:p>
        </w:tc>
        <w:tc>
          <w:tcPr>
            <w:tcW w:type="dxa" w:w="3216"/>
          </w:tcPr>
          <w:p>
            <w:r>
              <w:t>irrevocable; needs verifiable proof</w:t>
            </w:r>
          </w:p>
        </w:tc>
      </w:tr>
    </w:tbl>
    <w:p/>
    <w:p>
      <w:pPr>
        <w:ind w:left="216" w:right="216"/>
      </w:pPr>
      <w:r>
        <w:rPr>
          <w:color w:val="B22D2D"/>
          <w:sz w:val="21"/>
        </w:rPr>
        <w:t>🚨 Right to erasure includes vector DBs, model fine-tunes (LoRAs), training-set caches, log archives. The hard part is TRAINING DATA — a fine-tune that learned from tenant data isn't easily 'unlearned.' Mitigation: never train general models on tenant data without consent; isolate per-tenant LoRAs that can be deleted with the tenant.</w:t>
      </w:r>
    </w:p>
    <w:p>
      <w:pPr>
        <w:pStyle w:val="Heading1"/>
      </w:pPr>
      <w:r>
        <w:rPr>
          <w:color w:val="1865C5"/>
        </w:rPr>
        <w:t>10. Reference architecture</w:t>
      </w:r>
    </w:p>
    <w:p>
      <w:r>
        <w:rPr>
          <w:b/>
          <w:i w:val="0"/>
          <w:sz w:val="22"/>
        </w:rPr>
        <w:t>The shape:</w:t>
      </w:r>
    </w:p>
    <w:p>
      <w:r>
        <w:rPr>
          <w:b w:val="0"/>
          <w:i w:val="0"/>
          <w:sz w:val="22"/>
        </w:rPr>
        <w:t>• IdP (OIDC) + secrets manager</w:t>
      </w:r>
    </w:p>
    <w:p>
      <w:r>
        <w:rPr>
          <w:b w:val="0"/>
          <w:i w:val="0"/>
          <w:sz w:val="22"/>
        </w:rPr>
        <w:t>• API gateway / LiteLLM router — auth, rate-limit, tenant tag, per-tier model routing (M79)</w:t>
      </w:r>
    </w:p>
    <w:p>
      <w:r>
        <w:rPr>
          <w:b w:val="0"/>
          <w:i w:val="0"/>
          <w:sz w:val="22"/>
        </w:rPr>
        <w:t>• Inference pool — vLLM + LoRA registry (M44 + M71)</w:t>
      </w:r>
    </w:p>
    <w:p>
      <w:r>
        <w:rPr>
          <w:b w:val="0"/>
          <w:i w:val="0"/>
          <w:sz w:val="22"/>
        </w:rPr>
        <w:t>• Retriever — vector DB + feature store (M42 + M69)</w:t>
      </w:r>
    </w:p>
    <w:p>
      <w:r>
        <w:rPr>
          <w:b w:val="0"/>
          <w:i w:val="0"/>
          <w:sz w:val="22"/>
        </w:rPr>
        <w:t>• Tools / MCP — scoped per tenant (M64)</w:t>
      </w:r>
    </w:p>
    <w:p>
      <w:r>
        <w:rPr>
          <w:b w:val="0"/>
          <w:i w:val="0"/>
          <w:sz w:val="22"/>
        </w:rPr>
        <w:t>• Observability — OTel + Prometheus with tenant_id labels (M50 + M51)</w:t>
      </w:r>
    </w:p>
    <w:p>
      <w:r>
        <w:rPr>
          <w:b w:val="0"/>
          <w:i w:val="0"/>
          <w:sz w:val="22"/>
        </w:rPr>
        <w:t>• Cost — Langfuse / OpenCost with tenant_id labels (M79)</w:t>
      </w:r>
    </w:p>
    <w:p>
      <w:pPr>
        <w:ind w:left="216" w:right="216"/>
      </w:pPr>
      <w:r>
        <w:rPr>
          <w:color w:val="B22D2D"/>
          <w:sz w:val="21"/>
        </w:rPr>
        <w:t>🚫 Anti-patterns: trusting client tenant_id; no fair-share scheduling; cross-tenant vector store without filter audits; same Slack alert for every tenant; one giant shared LoRA; no tenant in your traces/logs/metrics; no way to delete a tenant; 'we'll add multi-tenancy later' (retrofitting is 10× harder).</w:t>
      </w:r>
    </w:p>
    <w:p>
      <w:pPr>
        <w:pStyle w:val="Heading1"/>
      </w:pPr>
      <w:r>
        <w:rPr>
          <w:color w:val="1865C5"/>
        </w:rPr>
        <w:t>Recap</w:t>
      </w:r>
    </w:p>
    <w:p>
      <w:r>
        <w:rPr>
          <w:b w:val="0"/>
          <w:i w:val="0"/>
          <w:sz w:val="22"/>
        </w:rPr>
        <w:t>• Four archetypes: B2B SaaS · internal platform · model marketplace · regulated</w:t>
      </w:r>
    </w:p>
    <w:p>
      <w:r>
        <w:rPr>
          <w:b w:val="0"/>
          <w:i w:val="0"/>
          <w:sz w:val="22"/>
        </w:rPr>
        <w:t>• Four isolation models: shared · namespaced · silo · dedicated. Default = namespaced + silo for top customers</w:t>
      </w:r>
    </w:p>
    <w:p>
      <w:r>
        <w:rPr>
          <w:b w:val="0"/>
          <w:i w:val="0"/>
          <w:sz w:val="22"/>
        </w:rPr>
        <w:t>• Tenant context is CARRIED by the request; ENFORCED at every persistence + resource layer</w:t>
      </w:r>
    </w:p>
    <w:p>
      <w:r>
        <w:rPr>
          <w:b w:val="0"/>
          <w:i w:val="0"/>
          <w:sz w:val="22"/>
        </w:rPr>
        <w:t>• Data isolation: tenant filter on every query; integration-tested; per-tenant LoRA for inference</w:t>
      </w:r>
    </w:p>
    <w:p>
      <w:r>
        <w:rPr>
          <w:b w:val="0"/>
          <w:i w:val="0"/>
          <w:sz w:val="22"/>
        </w:rPr>
        <w:t>• Quotas + rate limits + fair-share (Volcano/Kueue) so one greedy tenant can't eat the cluster</w:t>
      </w:r>
    </w:p>
    <w:p>
      <w:r>
        <w:rPr>
          <w:b w:val="0"/>
          <w:i w:val="0"/>
          <w:sz w:val="22"/>
        </w:rPr>
        <w:t>• Observability must label every metric/log/trace with tenant_id (cardinality care)</w:t>
      </w:r>
    </w:p>
    <w:p>
      <w:r>
        <w:rPr>
          <w:b w:val="0"/>
          <w:i w:val="0"/>
          <w:sz w:val="22"/>
        </w:rPr>
        <w:t>• OIDC at the gateway; short-lived scoped tokens inside; mTLS where stakes are high</w:t>
      </w:r>
    </w:p>
    <w:p>
      <w:r>
        <w:rPr>
          <w:b w:val="0"/>
          <w:i w:val="0"/>
          <w:sz w:val="22"/>
        </w:rPr>
        <w:t>• Tenant lifecycle must support hard-delete (GDPR / DSAR); design from day one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