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440"/>
      </w:pPr>
      <w:r>
        <w:t>SNV  •  LICENCE 2  •  2026 / 2027</w:t>
      </w:r>
    </w:p>
    <w:p>
      <w:pPr>
        <w:pStyle w:val="Title"/>
        <w:spacing w:after="320"/>
      </w:pPr>
      <w:r>
        <w:rPr>
          <w:sz w:val="68"/>
        </w:rPr>
        <w:t>BIOCHIMIE</w:t>
        <w:br/>
        <w:t>STRUCTURALE</w:t>
      </w:r>
    </w:p>
    <w:p>
      <w:pPr>
        <w:pStyle w:val="Kicker"/>
        <w:spacing w:after="240"/>
      </w:pPr>
      <w:r>
        <w:rPr>
          <w:sz w:val="24"/>
        </w:rPr>
        <w:t>COURS</w:t>
      </w:r>
    </w:p>
    <w:p>
      <w:pPr>
        <w:pStyle w:val="Subtitle"/>
        <w:spacing w:after="200"/>
      </w:pPr>
      <w:r>
        <w:rPr>
          <w:b/>
          <w:color w:val="17324D"/>
          <w:sz w:val="48"/>
        </w:rPr>
        <w:t>La structure</w:t>
        <w:br/>
        <w:t>des glucides</w:t>
      </w:r>
    </w:p>
    <w:p>
      <w:pPr>
        <w:pStyle w:val="Subtitle"/>
        <w:spacing w:after="320"/>
      </w:pPr>
      <w:r>
        <w:rPr>
          <w:sz w:val="26"/>
        </w:rPr>
        <w:t>Stéréochimie • Représentations • Diholosides</w:t>
      </w:r>
    </w:p>
    <w:p>
      <w:pPr>
        <w:keepNext/>
        <w:spacing w:before="60" w:after="20"/>
        <w:jc w:val="center"/>
      </w:pPr>
      <w:r>
        <w:drawing>
          <wp:inline xmlns:a="http://schemas.openxmlformats.org/drawingml/2006/main" xmlns:pic="http://schemas.openxmlformats.org/drawingml/2006/picture">
            <wp:extent cx="6120000" cy="2522480"/>
            <wp:docPr id="1" name="Picture 1"/>
            <wp:cNvGraphicFramePr>
              <a:graphicFrameLocks noChangeAspect="1"/>
            </wp:cNvGraphicFramePr>
            <a:graphic>
              <a:graphicData uri="http://schemas.openxmlformats.org/drawingml/2006/picture">
                <pic:pic>
                  <pic:nvPicPr>
                    <pic:cNvPr id="0" name="c00_couverture.png"/>
                    <pic:cNvPicPr/>
                  </pic:nvPicPr>
                  <pic:blipFill>
                    <a:blip r:embed="rId13"/>
                    <a:stretch>
                      <a:fillRect/>
                    </a:stretch>
                  </pic:blipFill>
                  <pic:spPr>
                    <a:xfrm>
                      <a:off x="0" y="0"/>
                      <a:ext cx="6120000" cy="2522480"/>
                    </a:xfrm>
                    <a:prstGeom prst="rect"/>
                  </pic:spPr>
                </pic:pic>
              </a:graphicData>
            </a:graphic>
          </wp:inline>
        </w:drawing>
      </w:r>
    </w:p>
    <w:p>
      <w:pPr>
        <w:spacing w:after="240"/>
      </w:pPr>
      <w:r>
        <w:rPr>
          <w:sz w:val="22"/>
        </w:rPr>
        <w:t>Un cours progressif pour passer de la formule ouverte d’un ose à la structure d’un diholoside, puis déterminer son pouvoir réducteur.</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REPÈRE PÉDAGOGIQUE</w:t>
            </w:r>
          </w:p>
          <w:p>
            <w:pPr>
              <w:pStyle w:val="Callout"/>
              <w:spacing w:after="0"/>
            </w:pPr>
            <w:r>
              <w:t>Niveau L2 SNV. Prérequis : liaisons covalentes, groupes fonctionnels, notions de molécule et d’isomérie. Le chapitre suit les compétences évaluées dans le TD n°1.</w:t>
            </w:r>
          </w:p>
        </w:tc>
      </w:tr>
    </w:tbl>
    <w:p>
      <w:pPr>
        <w:spacing w:after="20"/>
      </w:pPr>
    </w:p>
    <w:p>
      <w:pPr>
        <w:pStyle w:val="Small"/>
        <w:spacing w:before="240"/>
      </w:pPr>
      <w:r>
        <w:t>Support original construit à partir du TD n°1 fourni.</w:t>
        <w:br/>
        <w:t>Mise en page et figures générées avec Python.</w:t>
      </w:r>
    </w:p>
    <w:p>
      <w:pPr>
        <w:pStyle w:val="Kicker"/>
        <w:pageBreakBefore/>
      </w:pPr>
      <w:r>
        <w:t>ENTRER DANS LE CHAPITRE</w:t>
      </w:r>
    </w:p>
    <w:p>
      <w:bookmarkStart w:id="10" w:name="objectif"/>
      <w:pPr>
        <w:pStyle w:val="Heading1"/>
      </w:pPr>
      <w:r>
        <w:t>Objectifs et parcours</w:t>
      </w:r>
      <w:bookmarkEnd w:id="10"/>
    </w:p>
    <w:p>
      <w:r>
        <w:t>À la fin de ce chapitre, vous devrez savoir :</w:t>
      </w:r>
    </w:p>
    <w:p>
      <w:pPr>
        <w:pStyle w:val="ListBullet"/>
      </w:pPr>
      <w:r>
        <w:t>classer un glucide et distinguer aldose, cétose, ose et oside ;</w:t>
      </w:r>
    </w:p>
    <w:p>
      <w:pPr>
        <w:pStyle w:val="ListBullet"/>
      </w:pPr>
      <w:r>
        <w:t>lire une projection de Fischer, repérer les centres chiraux et attribuer la série D ou L ;</w:t>
      </w:r>
    </w:p>
    <w:p>
      <w:pPr>
        <w:pStyle w:val="ListBullet"/>
      </w:pPr>
      <w:r>
        <w:t>reconnaître énantiomères, diastéréoisomères, épimères et anomères ;</w:t>
      </w:r>
    </w:p>
    <w:p>
      <w:pPr>
        <w:pStyle w:val="ListBullet"/>
      </w:pPr>
      <w:r>
        <w:t>construire une projection de Haworth et nommer les formes cycliques ;</w:t>
      </w:r>
    </w:p>
    <w:p>
      <w:pPr>
        <w:pStyle w:val="ListBullet"/>
      </w:pPr>
      <w:r>
        <w:t>décoder une liaison osidique et justifier le caractère réducteur d’un sucre.</w:t>
      </w:r>
    </w:p>
    <w:p>
      <w:pPr>
        <w:pStyle w:val="Heading2"/>
      </w:pPr>
      <w:r>
        <w:t>Sommaire interactif</w:t>
      </w:r>
    </w:p>
    <w:tbl>
      <w:tblPr>
        <w:tblW w:type="dxa" w:w="9639"/>
        <w:jc w:val="center"/>
        <w:tblLayout w:type="fixed"/>
        <w:tblLook w:firstColumn="1" w:firstRow="1" w:lastColumn="0" w:lastRow="0" w:noHBand="0" w:noVBand="1" w:val="04A0"/>
      </w:tblPr>
      <w:tblGrid>
        <w:gridCol w:w="2835"/>
        <w:gridCol w:w="5839"/>
        <w:gridCol w:w="964"/>
      </w:tblGrid>
      <w:tr>
        <w:trPr>
          <w:tblHeader/>
          <w:cantSplit/>
        </w:trPr>
        <w:tc>
          <w:tcPr>
            <w:tcW w:type="dxa" w:w="2835"/>
            <w:shd w:fill="17324D" w:val="clear"/>
            <w:tcMar>
              <w:top w:w="100" w:type="dxa"/>
              <w:start w:w="115" w:type="dxa"/>
              <w:bottom w:w="100" w:type="dxa"/>
              <w:end w:w="115" w:type="dxa"/>
            </w:tcMar>
            <w:vAlign w:val="center"/>
          </w:tcPr>
          <w:p>
            <w:pPr>
              <w:pStyle w:val="TableText"/>
              <w:keepNext/>
            </w:pPr>
            <w:r>
              <w:rPr>
                <w:b/>
                <w:color w:val="FFFFFF"/>
                <w:sz w:val="20"/>
              </w:rPr>
              <w:t>Module</w:t>
            </w:r>
          </w:p>
        </w:tc>
        <w:tc>
          <w:tcPr>
            <w:tcW w:type="dxa" w:w="5839"/>
            <w:shd w:fill="17324D" w:val="clear"/>
            <w:tcMar>
              <w:top w:w="100" w:type="dxa"/>
              <w:start w:w="115" w:type="dxa"/>
              <w:bottom w:w="100" w:type="dxa"/>
              <w:end w:w="115" w:type="dxa"/>
            </w:tcMar>
            <w:vAlign w:val="center"/>
          </w:tcPr>
          <w:p>
            <w:pPr>
              <w:pStyle w:val="TableText"/>
              <w:keepNext/>
            </w:pPr>
            <w:r>
              <w:rPr>
                <w:b/>
                <w:color w:val="FFFFFF"/>
                <w:sz w:val="20"/>
              </w:rPr>
              <w:t>Compétences travaillées</w:t>
            </w:r>
          </w:p>
        </w:tc>
        <w:tc>
          <w:tcPr>
            <w:tcW w:type="dxa" w:w="964"/>
            <w:shd w:fill="17324D" w:val="clear"/>
            <w:tcMar>
              <w:top w:w="100" w:type="dxa"/>
              <w:start w:w="115" w:type="dxa"/>
              <w:bottom w:w="100" w:type="dxa"/>
              <w:end w:w="115" w:type="dxa"/>
            </w:tcMar>
            <w:vAlign w:val="center"/>
          </w:tcPr>
          <w:p>
            <w:pPr>
              <w:pStyle w:val="TableText"/>
              <w:keepNext/>
            </w:pPr>
            <w:r>
              <w:rPr>
                <w:b/>
                <w:color w:val="FFFFFF"/>
                <w:sz w:val="20"/>
              </w:rPr>
              <w:t>Page</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hyperlink w:anchor="classer" w:history="1">
              <w:r>
                <w:rPr>
                  <w:rFonts w:ascii="Calibri" w:hAnsi="Calibri"/>
                  <w:color w:val="137C7A"/>
                  <w:sz w:val="20"/>
                  <w:b/>
                </w:rPr>
                <w:t>1. Définir et classer</w:t>
              </w:r>
            </w:hyperlink>
          </w:p>
        </w:tc>
        <w:tc>
          <w:tcPr>
            <w:tcW w:type="dxa" w:w="5839"/>
            <w:shd w:fill="F4F8F9" w:val="clear"/>
            <w:tcMar>
              <w:top w:w="90" w:type="dxa"/>
              <w:start w:w="115" w:type="dxa"/>
              <w:bottom w:w="90" w:type="dxa"/>
              <w:end w:w="115" w:type="dxa"/>
            </w:tcMar>
            <w:tcBorders>
              <w:bottom w:val="single" w:sz="4" w:color="D7E3E7"/>
            </w:tcBorders>
            <w:vAlign w:val="center"/>
          </w:tcPr>
          <w:p>
            <w:pPr>
              <w:pStyle w:val="TableText"/>
            </w:pPr>
            <w:r>
              <w:rPr>
                <w:sz w:val="20"/>
              </w:rPr>
              <w:t>Glucides, oses, oligosides et polyosides</w:t>
            </w:r>
          </w:p>
        </w:tc>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sz w:val="20"/>
              </w:rPr>
              <w:t>3</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hyperlink w:anchor="fischer" w:history="1">
              <w:r>
                <w:rPr>
                  <w:rFonts w:ascii="Calibri" w:hAnsi="Calibri"/>
                  <w:color w:val="137C7A"/>
                  <w:sz w:val="20"/>
                  <w:b/>
                </w:rPr>
                <w:t>2. Lire Fischer</w:t>
              </w:r>
            </w:hyperlink>
          </w:p>
        </w:tc>
        <w:tc>
          <w:tcPr>
            <w:tcW w:type="dxa" w:w="5839"/>
            <w:shd w:fill="FFFFFF" w:val="clear"/>
            <w:tcMar>
              <w:top w:w="90" w:type="dxa"/>
              <w:start w:w="115" w:type="dxa"/>
              <w:bottom w:w="90" w:type="dxa"/>
              <w:end w:w="115" w:type="dxa"/>
            </w:tcMar>
            <w:tcBorders>
              <w:bottom w:val="single" w:sz="4" w:color="D7E3E7"/>
            </w:tcBorders>
            <w:vAlign w:val="center"/>
          </w:tcPr>
          <w:p>
            <w:pPr>
              <w:pStyle w:val="TableText"/>
            </w:pPr>
            <w:r>
              <w:rPr>
                <w:sz w:val="20"/>
              </w:rPr>
              <w:t>Numérotation, D/L et chiralité</w:t>
            </w:r>
          </w:p>
        </w:tc>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sz w:val="20"/>
              </w:rPr>
              <w:t>4</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hyperlink w:anchor="denombrement" w:history="1">
              <w:r>
                <w:rPr>
                  <w:rFonts w:ascii="Calibri" w:hAnsi="Calibri"/>
                  <w:color w:val="137C7A"/>
                  <w:sz w:val="20"/>
                  <w:b/>
                </w:rPr>
                <w:t>3. Comparer les oses</w:t>
              </w:r>
            </w:hyperlink>
          </w:p>
        </w:tc>
        <w:tc>
          <w:tcPr>
            <w:tcW w:type="dxa" w:w="5839"/>
            <w:shd w:fill="F4F8F9" w:val="clear"/>
            <w:tcMar>
              <w:top w:w="90" w:type="dxa"/>
              <w:start w:w="115" w:type="dxa"/>
              <w:bottom w:w="90" w:type="dxa"/>
              <w:end w:w="115" w:type="dxa"/>
            </w:tcMar>
            <w:tcBorders>
              <w:bottom w:val="single" w:sz="4" w:color="D7E3E7"/>
            </w:tcBorders>
            <w:vAlign w:val="center"/>
          </w:tcPr>
          <w:p>
            <w:pPr>
              <w:pStyle w:val="TableText"/>
            </w:pPr>
            <w:r>
              <w:rPr>
                <w:sz w:val="20"/>
              </w:rPr>
              <w:t>Dénombrement et relations stéréochimiques</w:t>
            </w:r>
          </w:p>
        </w:tc>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sz w:val="20"/>
              </w:rPr>
              <w:t>6</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hyperlink w:anchor="cyclisation" w:history="1">
              <w:r>
                <w:rPr>
                  <w:rFonts w:ascii="Calibri" w:hAnsi="Calibri"/>
                  <w:color w:val="137C7A"/>
                  <w:sz w:val="20"/>
                  <w:b/>
                </w:rPr>
                <w:t>4. Fermer le cycle</w:t>
              </w:r>
            </w:hyperlink>
          </w:p>
        </w:tc>
        <w:tc>
          <w:tcPr>
            <w:tcW w:type="dxa" w:w="5839"/>
            <w:shd w:fill="FFFFFF" w:val="clear"/>
            <w:tcMar>
              <w:top w:w="90" w:type="dxa"/>
              <w:start w:w="115" w:type="dxa"/>
              <w:bottom w:w="90" w:type="dxa"/>
              <w:end w:w="115" w:type="dxa"/>
            </w:tcMar>
            <w:tcBorders>
              <w:bottom w:val="single" w:sz="4" w:color="D7E3E7"/>
            </w:tcBorders>
            <w:vAlign w:val="center"/>
          </w:tcPr>
          <w:p>
            <w:pPr>
              <w:pStyle w:val="TableText"/>
            </w:pPr>
            <w:r>
              <w:rPr>
                <w:sz w:val="20"/>
              </w:rPr>
              <w:t>Hémiacétals, anomères et Haworth</w:t>
            </w:r>
          </w:p>
        </w:tc>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sz w:val="20"/>
              </w:rPr>
              <w:t>10</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hyperlink w:anchor="liaison" w:history="1">
              <w:r>
                <w:rPr>
                  <w:rFonts w:ascii="Calibri" w:hAnsi="Calibri"/>
                  <w:color w:val="137C7A"/>
                  <w:sz w:val="20"/>
                  <w:b/>
                </w:rPr>
                <w:t>5. Relier deux oses</w:t>
              </w:r>
            </w:hyperlink>
          </w:p>
        </w:tc>
        <w:tc>
          <w:tcPr>
            <w:tcW w:type="dxa" w:w="5839"/>
            <w:shd w:fill="F4F8F9" w:val="clear"/>
            <w:tcMar>
              <w:top w:w="90" w:type="dxa"/>
              <w:start w:w="115" w:type="dxa"/>
              <w:bottom w:w="90" w:type="dxa"/>
              <w:end w:w="115" w:type="dxa"/>
            </w:tcMar>
            <w:tcBorders>
              <w:bottom w:val="single" w:sz="4" w:color="D7E3E7"/>
            </w:tcBorders>
            <w:vAlign w:val="center"/>
          </w:tcPr>
          <w:p>
            <w:pPr>
              <w:pStyle w:val="TableText"/>
            </w:pPr>
            <w:r>
              <w:rPr>
                <w:sz w:val="20"/>
              </w:rPr>
              <w:t>Liaison osidique et trois diholosides</w:t>
            </w:r>
          </w:p>
        </w:tc>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sz w:val="20"/>
              </w:rPr>
              <w:t>14</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hyperlink w:anchor="reducteur" w:history="1">
              <w:r>
                <w:rPr>
                  <w:rFonts w:ascii="Calibri" w:hAnsi="Calibri"/>
                  <w:color w:val="137C7A"/>
                  <w:sz w:val="20"/>
                  <w:b/>
                </w:rPr>
                <w:t>6. Conclure et vérifier</w:t>
              </w:r>
            </w:hyperlink>
          </w:p>
        </w:tc>
        <w:tc>
          <w:tcPr>
            <w:tcW w:type="dxa" w:w="5839"/>
            <w:shd w:fill="FFFFFF" w:val="clear"/>
            <w:tcMar>
              <w:top w:w="90" w:type="dxa"/>
              <w:start w:w="115" w:type="dxa"/>
              <w:bottom w:w="90" w:type="dxa"/>
              <w:end w:w="115" w:type="dxa"/>
            </w:tcMar>
            <w:tcBorders>
              <w:bottom w:val="single" w:sz="4" w:color="D7E3E7"/>
            </w:tcBorders>
            <w:vAlign w:val="center"/>
          </w:tcPr>
          <w:p>
            <w:pPr>
              <w:pStyle w:val="TableText"/>
            </w:pPr>
            <w:r>
              <w:rPr>
                <w:sz w:val="20"/>
              </w:rPr>
              <w:t>Pouvoir réducteur, méthode et entraînement</w:t>
            </w:r>
          </w:p>
        </w:tc>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sz w:val="20"/>
              </w:rPr>
              <w:t>18</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hyperlink w:anchor="revision" w:history="1">
              <w:r>
                <w:rPr>
                  <w:rFonts w:ascii="Calibri" w:hAnsi="Calibri"/>
                  <w:color w:val="137C7A"/>
                  <w:sz w:val="20"/>
                  <w:b/>
                </w:rPr>
                <w:t>7. Réviser</w:t>
              </w:r>
            </w:hyperlink>
          </w:p>
        </w:tc>
        <w:tc>
          <w:tcPr>
            <w:tcW w:type="dxa" w:w="5839"/>
            <w:shd w:fill="F4F8F9" w:val="clear"/>
            <w:tcMar>
              <w:top w:w="90" w:type="dxa"/>
              <w:start w:w="115" w:type="dxa"/>
              <w:bottom w:w="90" w:type="dxa"/>
              <w:end w:w="115" w:type="dxa"/>
            </w:tcMar>
            <w:tcBorders>
              <w:bottom w:val="single" w:sz="4" w:color="D7E3E7"/>
            </w:tcBorders>
            <w:vAlign w:val="center"/>
          </w:tcPr>
          <w:p>
            <w:pPr>
              <w:pStyle w:val="TableText"/>
            </w:pPr>
            <w:r>
              <w:rPr>
                <w:sz w:val="20"/>
              </w:rPr>
              <w:t>Erreurs fréquentes et fiche de synthèse</w:t>
            </w:r>
          </w:p>
        </w:tc>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sz w:val="20"/>
              </w:rPr>
              <w:t>22</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hyperlink w:anchor="references" w:history="1">
              <w:r>
                <w:rPr>
                  <w:rFonts w:ascii="Calibri" w:hAnsi="Calibri"/>
                  <w:color w:val="137C7A"/>
                  <w:sz w:val="20"/>
                  <w:b/>
                </w:rPr>
                <w:t>Références</w:t>
              </w:r>
            </w:hyperlink>
          </w:p>
        </w:tc>
        <w:tc>
          <w:tcPr>
            <w:tcW w:type="dxa" w:w="5839"/>
            <w:shd w:fill="FFFFFF" w:val="clear"/>
            <w:tcMar>
              <w:top w:w="90" w:type="dxa"/>
              <w:start w:w="115" w:type="dxa"/>
              <w:bottom w:w="90" w:type="dxa"/>
              <w:end w:w="115" w:type="dxa"/>
            </w:tcMar>
            <w:tcBorders>
              <w:bottom w:val="single" w:sz="4" w:color="D7E3E7"/>
            </w:tcBorders>
            <w:vAlign w:val="center"/>
          </w:tcPr>
          <w:p>
            <w:pPr>
              <w:pStyle w:val="TableText"/>
            </w:pPr>
            <w:r>
              <w:rPr>
                <w:sz w:val="20"/>
              </w:rPr>
              <w:t>Sources et conventions du support</w:t>
            </w:r>
          </w:p>
        </w:tc>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sz w:val="20"/>
              </w:rPr>
              <w:t>23</w:t>
            </w:r>
          </w:p>
        </w:tc>
      </w:tr>
    </w:tbl>
    <w:p>
      <w:pPr>
        <w:spacing w:after="20"/>
      </w:pP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TROIS NOTATIONS À NE PAS CONFONDRE</w:t>
            </w:r>
          </w:p>
          <w:p>
            <w:pPr>
              <w:pStyle w:val="Callout"/>
              <w:spacing w:after="0"/>
            </w:pPr>
            <w:r>
              <w:t>D/L décrit une configuration de référence. α/β décrit la configuration du carbone anomérique. (+)/(−) décrit le sens mesuré de rotation de la lumière polarisée. Ce sont trois informations différentes.</w:t>
            </w:r>
          </w:p>
        </w:tc>
      </w:tr>
    </w:tbl>
    <w:p>
      <w:pPr>
        <w:spacing w:after="20"/>
      </w:pPr>
    </w:p>
    <w:p>
      <w:pPr>
        <w:pStyle w:val="Small"/>
      </w:pPr>
      <w:r>
        <w:t>Les figures sont des représentations pédagogiques originales. En Haworth, les atomes d’hydrogène liés aux carbones sont implicites, sauf indication contraire.</w:t>
      </w:r>
    </w:p>
    <w:p>
      <w:pPr>
        <w:pStyle w:val="Kicker"/>
        <w:pageBreakBefore/>
      </w:pPr>
      <w:r>
        <w:t>MODULE 1 • DÉFINITIONS</w:t>
      </w:r>
    </w:p>
    <w:p>
      <w:bookmarkStart w:id="11" w:name="classer"/>
      <w:pPr>
        <w:pStyle w:val="Heading1"/>
      </w:pPr>
      <w:r>
        <w:t>1. Classer les glucides</w:t>
      </w:r>
      <w:bookmarkEnd w:id="11"/>
    </w:p>
    <w:p>
      <w:r>
        <w:t>Les glucides comprennent notamment des polyhydroxyaldéhydes, des polyhydroxycétones et leurs dérivés, ainsi que les substances qui libèrent de tels composés par hydrolyse. Le terme « hydrate de carbone » est historique : il ne signifie pas que la molécule contient des molécules d’eau.</w:t>
      </w:r>
    </w:p>
    <w:p>
      <w:pPr>
        <w:keepNext/>
        <w:spacing w:before="60" w:after="20"/>
        <w:jc w:val="center"/>
      </w:pPr>
      <w:r>
        <w:drawing>
          <wp:inline xmlns:a="http://schemas.openxmlformats.org/drawingml/2006/main" xmlns:pic="http://schemas.openxmlformats.org/drawingml/2006/picture">
            <wp:extent cx="5580000" cy="2417342"/>
            <wp:docPr id="2" name="Picture 2"/>
            <wp:cNvGraphicFramePr>
              <a:graphicFrameLocks noChangeAspect="1"/>
            </wp:cNvGraphicFramePr>
            <a:graphic>
              <a:graphicData uri="http://schemas.openxmlformats.org/drawingml/2006/picture">
                <pic:pic>
                  <pic:nvPicPr>
                    <pic:cNvPr id="0" name="c01_classification.png"/>
                    <pic:cNvPicPr/>
                  </pic:nvPicPr>
                  <pic:blipFill>
                    <a:blip r:embed="rId14"/>
                    <a:stretch>
                      <a:fillRect/>
                    </a:stretch>
                  </pic:blipFill>
                  <pic:spPr>
                    <a:xfrm>
                      <a:off x="0" y="0"/>
                      <a:ext cx="5580000" cy="2417342"/>
                    </a:xfrm>
                    <a:prstGeom prst="rect"/>
                  </pic:spPr>
                </pic:pic>
              </a:graphicData>
            </a:graphic>
          </wp:inline>
        </w:drawing>
      </w:r>
    </w:p>
    <w:p>
      <w:pPr>
        <w:pStyle w:val="Caption"/>
        <w:jc w:val="center"/>
      </w:pPr>
      <w:r>
        <w:t>Figure 1. Classification selon le nombre d’unités osidiques. Les oses peuvent aussi être classés par fonction carbonyle et nombre de carbones.</w:t>
      </w:r>
    </w:p>
    <w:tbl>
      <w:tblPr>
        <w:tblW w:type="dxa" w:w="9639"/>
        <w:jc w:val="center"/>
        <w:tblLayout w:type="fixed"/>
        <w:tblLook w:firstColumn="1" w:firstRow="1" w:lastColumn="0" w:lastRow="0" w:noHBand="0" w:noVBand="1" w:val="04A0"/>
      </w:tblPr>
      <w:tblGrid>
        <w:gridCol w:w="1701"/>
        <w:gridCol w:w="4535"/>
        <w:gridCol w:w="3402"/>
      </w:tblGrid>
      <w:tr>
        <w:trPr>
          <w:tblHeader/>
          <w:cantSplit/>
        </w:trPr>
        <w:tc>
          <w:tcPr>
            <w:tcW w:type="dxa" w:w="1701"/>
            <w:shd w:fill="17324D" w:val="clear"/>
            <w:tcMar>
              <w:top w:w="100" w:type="dxa"/>
              <w:start w:w="115" w:type="dxa"/>
              <w:bottom w:w="100" w:type="dxa"/>
              <w:end w:w="115" w:type="dxa"/>
            </w:tcMar>
            <w:vAlign w:val="center"/>
          </w:tcPr>
          <w:p>
            <w:pPr>
              <w:pStyle w:val="TableText"/>
              <w:keepNext/>
            </w:pPr>
            <w:r>
              <w:rPr>
                <w:b/>
                <w:color w:val="FFFFFF"/>
                <w:sz w:val="20"/>
              </w:rPr>
              <w:t>Catégorie</w:t>
            </w:r>
          </w:p>
        </w:tc>
        <w:tc>
          <w:tcPr>
            <w:tcW w:type="dxa" w:w="4535"/>
            <w:shd w:fill="17324D" w:val="clear"/>
            <w:tcMar>
              <w:top w:w="100" w:type="dxa"/>
              <w:start w:w="115" w:type="dxa"/>
              <w:bottom w:w="100" w:type="dxa"/>
              <w:end w:w="115" w:type="dxa"/>
            </w:tcMar>
            <w:vAlign w:val="center"/>
          </w:tcPr>
          <w:p>
            <w:pPr>
              <w:pStyle w:val="TableText"/>
              <w:keepNext/>
            </w:pPr>
            <w:r>
              <w:rPr>
                <w:b/>
                <w:color w:val="FFFFFF"/>
                <w:sz w:val="20"/>
              </w:rPr>
              <w:t>Critère</w:t>
            </w:r>
          </w:p>
        </w:tc>
        <w:tc>
          <w:tcPr>
            <w:tcW w:type="dxa" w:w="3402"/>
            <w:shd w:fill="17324D" w:val="clear"/>
            <w:tcMar>
              <w:top w:w="100" w:type="dxa"/>
              <w:start w:w="115" w:type="dxa"/>
              <w:bottom w:w="100" w:type="dxa"/>
              <w:end w:w="115" w:type="dxa"/>
            </w:tcMar>
            <w:vAlign w:val="center"/>
          </w:tcPr>
          <w:p>
            <w:pPr>
              <w:pStyle w:val="TableText"/>
              <w:keepNext/>
            </w:pPr>
            <w:r>
              <w:rPr>
                <w:b/>
                <w:color w:val="FFFFFF"/>
                <w:sz w:val="20"/>
              </w:rPr>
              <w:t>Exemples</w:t>
            </w:r>
          </w:p>
        </w:tc>
      </w:tr>
      <w:tr>
        <w:trPr>
          <w:cantSplit/>
        </w:trPr>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Ose</w:t>
            </w:r>
          </w:p>
        </w:tc>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sz w:val="20"/>
              </w:rPr>
              <w:t>Unité glucidique simple, non hydrolysable en oses plus petits</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20"/>
              </w:rPr>
              <w:t>Glucose, fructose, ribose</w:t>
            </w:r>
          </w:p>
        </w:tc>
      </w:tr>
      <w:tr>
        <w:trPr>
          <w:cantSplit/>
        </w:trPr>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Diholoside</w:t>
            </w:r>
          </w:p>
        </w:tc>
        <w:tc>
          <w:tcPr>
            <w:tcW w:type="dxa" w:w="4535"/>
            <w:shd w:fill="FFFFFF" w:val="clear"/>
            <w:tcMar>
              <w:top w:w="90" w:type="dxa"/>
              <w:start w:w="115" w:type="dxa"/>
              <w:bottom w:w="90" w:type="dxa"/>
              <w:end w:w="115" w:type="dxa"/>
            </w:tcMar>
            <w:tcBorders>
              <w:bottom w:val="single" w:sz="4" w:color="D7E3E7"/>
            </w:tcBorders>
            <w:vAlign w:val="center"/>
          </w:tcPr>
          <w:p>
            <w:pPr>
              <w:pStyle w:val="TableText"/>
            </w:pPr>
            <w:r>
              <w:rPr>
                <w:sz w:val="20"/>
              </w:rPr>
              <w:t>Deux unités osidiques reliées par une liaison osidique</w:t>
            </w:r>
          </w:p>
        </w:tc>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sz w:val="20"/>
              </w:rPr>
              <w:t>Saccharose, lactose, maltose</w:t>
            </w:r>
          </w:p>
        </w:tc>
      </w:tr>
      <w:tr>
        <w:trPr>
          <w:cantSplit/>
        </w:trPr>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Oligoside</w:t>
            </w:r>
          </w:p>
        </w:tc>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sz w:val="20"/>
              </w:rPr>
              <w:t>Quelques unités osidiques ; convention du cours : 2 à 10</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20"/>
              </w:rPr>
              <w:t>Diholosides, raffinose (3 unités)</w:t>
            </w:r>
          </w:p>
        </w:tc>
      </w:tr>
      <w:tr>
        <w:trPr>
          <w:cantSplit/>
        </w:trPr>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Polyoside</w:t>
            </w:r>
          </w:p>
        </w:tc>
        <w:tc>
          <w:tcPr>
            <w:tcW w:type="dxa" w:w="4535"/>
            <w:shd w:fill="FFFFFF" w:val="clear"/>
            <w:tcMar>
              <w:top w:w="90" w:type="dxa"/>
              <w:start w:w="115" w:type="dxa"/>
              <w:bottom w:w="90" w:type="dxa"/>
              <w:end w:w="115" w:type="dxa"/>
            </w:tcMar>
            <w:tcBorders>
              <w:bottom w:val="single" w:sz="4" w:color="D7E3E7"/>
            </w:tcBorders>
            <w:vAlign w:val="center"/>
          </w:tcPr>
          <w:p>
            <w:pPr>
              <w:pStyle w:val="TableText"/>
            </w:pPr>
            <w:r>
              <w:rPr>
                <w:sz w:val="20"/>
              </w:rPr>
              <w:t>Chaîne longue, souvent au-delà de 10 unités</w:t>
            </w:r>
          </w:p>
        </w:tc>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sz w:val="20"/>
              </w:rPr>
              <w:t>Amidon, glycogène, cellulose</w:t>
            </w:r>
          </w:p>
        </w:tc>
      </w:tr>
    </w:tbl>
    <w:p>
      <w:pPr>
        <w:spacing w:after="20"/>
      </w:pPr>
    </w:p>
    <w:p>
      <w:pPr>
        <w:pStyle w:val="Small"/>
      </w:pPr>
      <w:r>
        <w:t>La borne entre oligoside et polyoside dépend des conventions. Un diholoside est un oligoside, et non un ose simple. Les polyosides peuvent être homopolyosides ou hétéropolyosides selon la nature de leurs unités.</w:t>
      </w:r>
    </w:p>
    <w:p>
      <w:pPr>
        <w:pStyle w:val="Heading2"/>
      </w:pPr>
      <w:r>
        <w:t>Deux autres critères pour les oses</w:t>
      </w:r>
    </w:p>
    <w:p>
      <w:r>
        <w:t>Aldose : fonction aldéhyde, généralement en C1. Cétose : fonction cétone, généralement en C2. Triose, tétrose, pentose et hexose désignent respectivement 3, 4, 5 et 6 carbones. Ainsi, le glucose est un aldohexose et le fructose un cétohexose.</w:t>
      </w:r>
    </w:p>
    <w:p>
      <w:pPr>
        <w:pStyle w:val="Small"/>
        <w:spacing w:before="80"/>
      </w:pPr>
      <w:r>
        <w:t>À retenir : Cₙ(H₂O)ₙ décrit de nombreux oses simples, mais n’est ni une définition générale ni une propriété de tous les glucides. Les dérivés et les osides peuvent s’en écarter.</w:t>
      </w:r>
    </w:p>
    <w:p>
      <w:pPr>
        <w:pStyle w:val="Kicker"/>
        <w:pageBreakBefore/>
      </w:pPr>
      <w:r>
        <w:t>MODULE 2 • LA CHAÎNE OUVERTE</w:t>
      </w:r>
    </w:p>
    <w:p>
      <w:bookmarkStart w:id="12" w:name="fischer"/>
      <w:pPr>
        <w:pStyle w:val="Heading1"/>
      </w:pPr>
      <w:r>
        <w:t>2. Lire une projection de Fischer</w:t>
      </w:r>
      <w:bookmarkEnd w:id="12"/>
    </w:p>
    <w:p>
      <w:r>
        <w:t>La projection de Fischer représente une chaîne carbonée verticale. Par convention, les traits horizontaux portent les substituants vers l’avant et les traits verticaux les éloignent de l’observateur. Ce n’est pas une photographie de la conformation réelle.</w:t>
      </w:r>
    </w:p>
    <w:p>
      <w:pPr>
        <w:keepNext/>
        <w:spacing w:before="60" w:after="20"/>
        <w:jc w:val="center"/>
      </w:pPr>
      <w:r>
        <w:drawing>
          <wp:inline xmlns:a="http://schemas.openxmlformats.org/drawingml/2006/main" xmlns:pic="http://schemas.openxmlformats.org/drawingml/2006/picture">
            <wp:extent cx="5976000" cy="2657524"/>
            <wp:docPr id="3" name="Picture 3"/>
            <wp:cNvGraphicFramePr>
              <a:graphicFrameLocks noChangeAspect="1"/>
            </wp:cNvGraphicFramePr>
            <a:graphic>
              <a:graphicData uri="http://schemas.openxmlformats.org/drawingml/2006/picture">
                <pic:pic>
                  <pic:nvPicPr>
                    <pic:cNvPr id="0" name="c02_fischer.png"/>
                    <pic:cNvPicPr/>
                  </pic:nvPicPr>
                  <pic:blipFill>
                    <a:blip r:embed="rId15"/>
                    <a:stretch>
                      <a:fillRect/>
                    </a:stretch>
                  </pic:blipFill>
                  <pic:spPr>
                    <a:xfrm>
                      <a:off x="0" y="0"/>
                      <a:ext cx="5976000" cy="2657524"/>
                    </a:xfrm>
                    <a:prstGeom prst="rect"/>
                  </pic:spPr>
                </pic:pic>
              </a:graphicData>
            </a:graphic>
          </wp:inline>
        </w:drawing>
      </w:r>
    </w:p>
    <w:p>
      <w:pPr>
        <w:pStyle w:val="Caption"/>
        <w:jc w:val="center"/>
      </w:pPr>
      <w:r>
        <w:t>Figure 2. D-glucose et D-fructose : même formule brute C₆H₁₂O₆, mais fonction carbonyle et connectivité différentes. Le carbone de référence D/L est surligné en vert.</w:t>
      </w:r>
    </w:p>
    <w:p>
      <w:pPr>
        <w:pStyle w:val="Heading2"/>
      </w:pPr>
      <w:r>
        <w:t>Numéroter avant de comparer</w:t>
      </w:r>
    </w:p>
    <w:p>
      <w:pPr>
        <w:pStyle w:val="ListBullet"/>
      </w:pPr>
      <w:r>
        <w:t>Aldose : le carbone du groupe aldéhyde terminal est C1.</w:t>
      </w:r>
    </w:p>
    <w:p>
      <w:pPr>
        <w:pStyle w:val="ListBullet"/>
      </w:pPr>
      <w:r>
        <w:t>2-cétose usuelle : C1 est le CH₂OH adjacent au carbonyle ; le carbone cétonique est C2.</w:t>
      </w:r>
    </w:p>
    <w:p>
      <w:pPr>
        <w:pStyle w:val="ListBullet"/>
      </w:pPr>
      <w:r>
        <w:t>Pour un aldohexose ouvert, C2, C3, C4 et C5 sont chiraux ; C1 et C6 ne le sont pas.</w:t>
      </w:r>
    </w:p>
    <w:p>
      <w:pPr>
        <w:pStyle w:val="ListBullet"/>
      </w:pPr>
      <w:r>
        <w:t>Pour le D-fructose ouvert, C3, C4 et C5 sont chiraux ; C1, C2 et C6 ne le sont pas.</w:t>
      </w: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RÈGLE DE MANIPULATION</w:t>
            </w:r>
          </w:p>
          <w:p>
            <w:pPr>
              <w:pStyle w:val="Callout"/>
              <w:spacing w:after="0"/>
            </w:pPr>
            <w:r>
              <w:t>Une rotation de 180° dans le plan d’une projection de Fischer conserve son interprétation. Une rotation de 90° ou un seul échange gauche–droite ne doit pas être interprété comme la même molécule.</w:t>
            </w:r>
          </w:p>
        </w:tc>
      </w:tr>
    </w:tbl>
    <w:p>
      <w:pPr>
        <w:spacing w:after="20"/>
      </w:pPr>
    </w:p>
    <w:p>
      <w:pPr>
        <w:pStyle w:val="Kicker"/>
        <w:pageBreakBefore/>
      </w:pPr>
      <w:r>
        <w:t>MODULE 2 • CONFIGURATION</w:t>
      </w:r>
    </w:p>
    <w:p>
      <w:bookmarkStart w:id="13" w:name="dl"/>
      <w:pPr>
        <w:pStyle w:val="Heading1"/>
      </w:pPr>
      <w:r>
        <w:t>3. Série D/L et activité optique</w:t>
      </w:r>
      <w:bookmarkEnd w:id="13"/>
    </w:p>
    <w:p>
      <w:r>
        <w:t>Un carbone asymétrique est un carbone tétraédrique lié à quatre substituants différents. On le note souvent C*. Pour attribuer D ou L, on regarde le carbone chiral le plus éloigné du groupe carbonyle : Cn−1 dans les oses simples étudiés ici.</w:t>
      </w:r>
    </w:p>
    <w:p>
      <w:pPr>
        <w:keepNext/>
        <w:spacing w:before="60" w:after="20"/>
        <w:jc w:val="center"/>
      </w:pPr>
      <w:r>
        <w:drawing>
          <wp:inline xmlns:a="http://schemas.openxmlformats.org/drawingml/2006/main" xmlns:pic="http://schemas.openxmlformats.org/drawingml/2006/picture">
            <wp:extent cx="5688000" cy="2344422"/>
            <wp:docPr id="4" name="Picture 4"/>
            <wp:cNvGraphicFramePr>
              <a:graphicFrameLocks noChangeAspect="1"/>
            </wp:cNvGraphicFramePr>
            <a:graphic>
              <a:graphicData uri="http://schemas.openxmlformats.org/drawingml/2006/picture">
                <pic:pic>
                  <pic:nvPicPr>
                    <pic:cNvPr id="0" name="c03_dl.png"/>
                    <pic:cNvPicPr/>
                  </pic:nvPicPr>
                  <pic:blipFill>
                    <a:blip r:embed="rId16"/>
                    <a:stretch>
                      <a:fillRect/>
                    </a:stretch>
                  </pic:blipFill>
                  <pic:spPr>
                    <a:xfrm>
                      <a:off x="0" y="0"/>
                      <a:ext cx="5688000" cy="2344422"/>
                    </a:xfrm>
                    <a:prstGeom prst="rect"/>
                  </pic:spPr>
                </pic:pic>
              </a:graphicData>
            </a:graphic>
          </wp:inline>
        </w:drawing>
      </w:r>
    </w:p>
    <w:p>
      <w:pPr>
        <w:pStyle w:val="Caption"/>
        <w:jc w:val="center"/>
      </w:pPr>
      <w:r>
        <w:t>Figure 3. Le glycéraldéhyde sert de référence historique. Dans une projection de Fischer correctement orientée, OH à droite = D ; OH à gauche = L.</w:t>
      </w:r>
    </w:p>
    <w:tbl>
      <w:tblPr>
        <w:tblW w:type="dxa" w:w="9639"/>
        <w:jc w:val="center"/>
        <w:tblLayout w:type="fixed"/>
        <w:tblLook w:firstColumn="1" w:firstRow="1" w:lastColumn="0" w:lastRow="0" w:noHBand="0" w:noVBand="1" w:val="04A0"/>
      </w:tblPr>
      <w:tblGrid>
        <w:gridCol w:w="1361"/>
        <w:gridCol w:w="3572"/>
        <w:gridCol w:w="4706"/>
      </w:tblGrid>
      <w:tr>
        <w:trPr>
          <w:tblHeader/>
          <w:cantSplit/>
        </w:trPr>
        <w:tc>
          <w:tcPr>
            <w:tcW w:type="dxa" w:w="1361"/>
            <w:shd w:fill="17324D" w:val="clear"/>
            <w:tcMar>
              <w:top w:w="100" w:type="dxa"/>
              <w:start w:w="115" w:type="dxa"/>
              <w:bottom w:w="100" w:type="dxa"/>
              <w:end w:w="115" w:type="dxa"/>
            </w:tcMar>
            <w:vAlign w:val="center"/>
          </w:tcPr>
          <w:p>
            <w:pPr>
              <w:pStyle w:val="TableText"/>
              <w:keepNext/>
            </w:pPr>
            <w:r>
              <w:rPr>
                <w:b/>
                <w:color w:val="FFFFFF"/>
                <w:sz w:val="20"/>
              </w:rPr>
              <w:t>Notation</w:t>
            </w:r>
          </w:p>
        </w:tc>
        <w:tc>
          <w:tcPr>
            <w:tcW w:type="dxa" w:w="3572"/>
            <w:shd w:fill="17324D" w:val="clear"/>
            <w:tcMar>
              <w:top w:w="100" w:type="dxa"/>
              <w:start w:w="115" w:type="dxa"/>
              <w:bottom w:w="100" w:type="dxa"/>
              <w:end w:w="115" w:type="dxa"/>
            </w:tcMar>
            <w:vAlign w:val="center"/>
          </w:tcPr>
          <w:p>
            <w:pPr>
              <w:pStyle w:val="TableText"/>
              <w:keepNext/>
            </w:pPr>
            <w:r>
              <w:rPr>
                <w:b/>
                <w:color w:val="FFFFFF"/>
                <w:sz w:val="20"/>
              </w:rPr>
              <w:t>Ce qu’elle indique</w:t>
            </w:r>
          </w:p>
        </w:tc>
        <w:tc>
          <w:tcPr>
            <w:tcW w:type="dxa" w:w="4706"/>
            <w:shd w:fill="17324D" w:val="clear"/>
            <w:tcMar>
              <w:top w:w="100" w:type="dxa"/>
              <w:start w:w="115" w:type="dxa"/>
              <w:bottom w:w="100" w:type="dxa"/>
              <w:end w:w="115" w:type="dxa"/>
            </w:tcMar>
            <w:vAlign w:val="center"/>
          </w:tcPr>
          <w:p>
            <w:pPr>
              <w:pStyle w:val="TableText"/>
              <w:keepNext/>
            </w:pPr>
            <w:r>
              <w:rPr>
                <w:b/>
                <w:color w:val="FFFFFF"/>
                <w:sz w:val="20"/>
              </w:rPr>
              <w:t>Comment l’obtenir</w:t>
            </w:r>
          </w:p>
        </w:tc>
      </w:tr>
      <w:tr>
        <w:trPr>
          <w:cantSplit/>
        </w:trPr>
        <w:tc>
          <w:tcPr>
            <w:tcW w:type="dxa" w:w="136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D / L</w:t>
            </w:r>
          </w:p>
        </w:tc>
        <w:tc>
          <w:tcPr>
            <w:tcW w:type="dxa" w:w="3572"/>
            <w:shd w:fill="F4F8F9" w:val="clear"/>
            <w:tcMar>
              <w:top w:w="90" w:type="dxa"/>
              <w:start w:w="115" w:type="dxa"/>
              <w:bottom w:w="90" w:type="dxa"/>
              <w:end w:w="115" w:type="dxa"/>
            </w:tcMar>
            <w:tcBorders>
              <w:bottom w:val="single" w:sz="4" w:color="D7E3E7"/>
            </w:tcBorders>
            <w:vAlign w:val="center"/>
          </w:tcPr>
          <w:p>
            <w:pPr>
              <w:pStyle w:val="TableText"/>
            </w:pPr>
            <w:r>
              <w:rPr>
                <w:sz w:val="20"/>
              </w:rPr>
              <w:t>Configuration relative au glycéraldéhyde</w:t>
            </w:r>
          </w:p>
        </w:tc>
        <w:tc>
          <w:tcPr>
            <w:tcW w:type="dxa" w:w="4706"/>
            <w:shd w:fill="F4F8F9" w:val="clear"/>
            <w:tcMar>
              <w:top w:w="90" w:type="dxa"/>
              <w:start w:w="115" w:type="dxa"/>
              <w:bottom w:w="90" w:type="dxa"/>
              <w:end w:w="115" w:type="dxa"/>
            </w:tcMar>
            <w:tcBorders>
              <w:bottom w:val="single" w:sz="4" w:color="D7E3E7"/>
            </w:tcBorders>
            <w:vAlign w:val="center"/>
          </w:tcPr>
          <w:p>
            <w:pPr>
              <w:pStyle w:val="TableText"/>
            </w:pPr>
            <w:r>
              <w:rPr>
                <w:sz w:val="20"/>
              </w:rPr>
              <w:t>Position du OH de référence en Fischer</w:t>
            </w:r>
          </w:p>
        </w:tc>
      </w:tr>
      <w:tr>
        <w:trPr>
          <w:cantSplit/>
        </w:trPr>
        <w:tc>
          <w:tcPr>
            <w:tcW w:type="dxa" w:w="1361"/>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α / β</w:t>
            </w:r>
          </w:p>
        </w:tc>
        <w:tc>
          <w:tcPr>
            <w:tcW w:type="dxa" w:w="3572"/>
            <w:shd w:fill="FFFFFF" w:val="clear"/>
            <w:tcMar>
              <w:top w:w="90" w:type="dxa"/>
              <w:start w:w="115" w:type="dxa"/>
              <w:bottom w:w="90" w:type="dxa"/>
              <w:end w:w="115" w:type="dxa"/>
            </w:tcMar>
            <w:tcBorders>
              <w:bottom w:val="single" w:sz="4" w:color="D7E3E7"/>
            </w:tcBorders>
            <w:vAlign w:val="center"/>
          </w:tcPr>
          <w:p>
            <w:pPr>
              <w:pStyle w:val="TableText"/>
            </w:pPr>
            <w:r>
              <w:rPr>
                <w:sz w:val="20"/>
              </w:rPr>
              <w:t>Configuration au carbone anomérique</w:t>
            </w:r>
          </w:p>
        </w:tc>
        <w:tc>
          <w:tcPr>
            <w:tcW w:type="dxa" w:w="4706"/>
            <w:shd w:fill="FFFFFF" w:val="clear"/>
            <w:tcMar>
              <w:top w:w="90" w:type="dxa"/>
              <w:start w:w="115" w:type="dxa"/>
              <w:bottom w:w="90" w:type="dxa"/>
              <w:end w:w="115" w:type="dxa"/>
            </w:tcMar>
            <w:tcBorders>
              <w:bottom w:val="single" w:sz="4" w:color="D7E3E7"/>
            </w:tcBorders>
            <w:vAlign w:val="center"/>
          </w:tcPr>
          <w:p>
            <w:pPr>
              <w:pStyle w:val="TableText"/>
            </w:pPr>
            <w:r>
              <w:rPr>
                <w:sz w:val="20"/>
              </w:rPr>
              <w:t>Comparaison avec le centre de référence, dans une forme cyclique</w:t>
            </w:r>
          </w:p>
        </w:tc>
      </w:tr>
      <w:tr>
        <w:trPr>
          <w:cantSplit/>
        </w:trPr>
        <w:tc>
          <w:tcPr>
            <w:tcW w:type="dxa" w:w="136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 / (−)</w:t>
            </w:r>
          </w:p>
        </w:tc>
        <w:tc>
          <w:tcPr>
            <w:tcW w:type="dxa" w:w="3572"/>
            <w:shd w:fill="F4F8F9" w:val="clear"/>
            <w:tcMar>
              <w:top w:w="90" w:type="dxa"/>
              <w:start w:w="115" w:type="dxa"/>
              <w:bottom w:w="90" w:type="dxa"/>
              <w:end w:w="115" w:type="dxa"/>
            </w:tcMar>
            <w:tcBorders>
              <w:bottom w:val="single" w:sz="4" w:color="D7E3E7"/>
            </w:tcBorders>
            <w:vAlign w:val="center"/>
          </w:tcPr>
          <w:p>
            <w:pPr>
              <w:pStyle w:val="TableText"/>
            </w:pPr>
            <w:r>
              <w:rPr>
                <w:sz w:val="20"/>
              </w:rPr>
              <w:t>Sens de rotation du plan de polarisation</w:t>
            </w:r>
          </w:p>
        </w:tc>
        <w:tc>
          <w:tcPr>
            <w:tcW w:type="dxa" w:w="4706"/>
            <w:shd w:fill="F4F8F9" w:val="clear"/>
            <w:tcMar>
              <w:top w:w="90" w:type="dxa"/>
              <w:start w:w="115" w:type="dxa"/>
              <w:bottom w:w="90" w:type="dxa"/>
              <w:end w:w="115" w:type="dxa"/>
            </w:tcMar>
            <w:tcBorders>
              <w:bottom w:val="single" w:sz="4" w:color="D7E3E7"/>
            </w:tcBorders>
            <w:vAlign w:val="center"/>
          </w:tcPr>
          <w:p>
            <w:pPr>
              <w:pStyle w:val="TableText"/>
            </w:pPr>
            <w:r>
              <w:rPr>
                <w:sz w:val="20"/>
              </w:rPr>
              <w:t>Mesure polarimétrique ; ne se déduit pas de D/L</w:t>
            </w:r>
          </w:p>
        </w:tc>
      </w:tr>
    </w:tbl>
    <w:p>
      <w:pPr>
        <w:spacing w:after="20"/>
      </w:pPr>
    </w:p>
    <w:p>
      <w:pPr>
        <w:pStyle w:val="Heading2"/>
      </w:pPr>
      <w:r>
        <w:t>Chiralité ne garantit pas une rotation mesurée non nulle</w:t>
      </w:r>
    </w:p>
    <w:p>
      <w:r>
        <w:t>Une molécule chirale pure peut être optiquement active. Mais un mélange racémique contient autant des deux énantiomères : leurs rotations se compensent. Une molécule possédant des centres chiraux peut aussi être achirale par symétrie interne, comme un composé méso. L’activité optique est une propriété de l’échantillon, pas d’un carbone isolé.</w:t>
      </w: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EXEMPLE DÉCISIF</w:t>
            </w:r>
          </w:p>
          <w:p>
            <w:pPr>
              <w:pStyle w:val="Callout"/>
              <w:spacing w:after="0"/>
            </w:pPr>
            <w:r>
              <w:t>Le D-fructose appartient à la série D et est lévogyre : on peut le noter D-(−)-fructose. Le signe « moins » ne contredit donc pas son appartenance à la série D.</w:t>
            </w:r>
          </w:p>
        </w:tc>
      </w:tr>
    </w:tbl>
    <w:p>
      <w:pPr>
        <w:spacing w:after="20"/>
      </w:pPr>
    </w:p>
    <w:p>
      <w:pPr>
        <w:pStyle w:val="Kicker"/>
        <w:pageBreakBefore/>
      </w:pPr>
      <w:r>
        <w:t>MODULE 3 • DÉNOMBRER</w:t>
      </w:r>
    </w:p>
    <w:p>
      <w:bookmarkStart w:id="14" w:name="denombrement"/>
      <w:pPr>
        <w:pStyle w:val="Heading1"/>
      </w:pPr>
      <w:r>
        <w:t>4. Compter les centres et les stéréoisomères</w:t>
      </w:r>
      <w:bookmarkEnd w:id="14"/>
    </w:p>
    <w:p>
      <w:r>
        <w:t>Un centre chiral indépendant peut prendre deux configurations. Avec m centres indépendants, et en l’absence de compensation par symétrie, le nombre maximal de stéréoisomères est 2ᵐ. Pour les oses simples ouverts étudiés ici, cette borne est atteinte.</w:t>
      </w:r>
    </w:p>
    <w:p>
      <w:pPr>
        <w:keepNext/>
        <w:spacing w:before="60" w:after="20"/>
        <w:jc w:val="center"/>
      </w:pPr>
      <w:r>
        <w:drawing>
          <wp:inline xmlns:a="http://schemas.openxmlformats.org/drawingml/2006/main" xmlns:pic="http://schemas.openxmlformats.org/drawingml/2006/picture">
            <wp:extent cx="5976000" cy="2316758"/>
            <wp:docPr id="5" name="Picture 5"/>
            <wp:cNvGraphicFramePr>
              <a:graphicFrameLocks noChangeAspect="1"/>
            </wp:cNvGraphicFramePr>
            <a:graphic>
              <a:graphicData uri="http://schemas.openxmlformats.org/drawingml/2006/picture">
                <pic:pic>
                  <pic:nvPicPr>
                    <pic:cNvPr id="0" name="c04_denombrement.png"/>
                    <pic:cNvPicPr/>
                  </pic:nvPicPr>
                  <pic:blipFill>
                    <a:blip r:embed="rId17"/>
                    <a:stretch>
                      <a:fillRect/>
                    </a:stretch>
                  </pic:blipFill>
                  <pic:spPr>
                    <a:xfrm>
                      <a:off x="0" y="0"/>
                      <a:ext cx="5976000" cy="2316758"/>
                    </a:xfrm>
                    <a:prstGeom prst="rect"/>
                  </pic:spPr>
                </pic:pic>
              </a:graphicData>
            </a:graphic>
          </wp:inline>
        </w:drawing>
      </w:r>
    </w:p>
    <w:p>
      <w:pPr>
        <w:pStyle w:val="Caption"/>
        <w:jc w:val="center"/>
      </w:pPr>
      <w:r>
        <w:t>Figure 4. Détermination de m pour un aldose ou un 2-cétose. Les extrémités ne sont pas équivalentes dans ces oses simples.</w:t>
      </w:r>
    </w:p>
    <w:tbl>
      <w:tblPr>
        <w:tblW w:type="dxa" w:w="9639"/>
        <w:jc w:val="center"/>
        <w:tblLayout w:type="fixed"/>
        <w:tblLook w:firstColumn="1" w:firstRow="1" w:lastColumn="0" w:lastRow="0" w:noHBand="0" w:noVBand="1" w:val="04A0"/>
      </w:tblPr>
      <w:tblGrid>
        <w:gridCol w:w="2041"/>
        <w:gridCol w:w="2835"/>
        <w:gridCol w:w="680"/>
        <w:gridCol w:w="1984"/>
        <w:gridCol w:w="2098"/>
      </w:tblGrid>
      <w:tr>
        <w:trPr>
          <w:tblHeader/>
          <w:cantSplit/>
        </w:trPr>
        <w:tc>
          <w:tcPr>
            <w:tcW w:type="dxa" w:w="2041"/>
            <w:shd w:fill="17324D" w:val="clear"/>
            <w:tcMar>
              <w:top w:w="100" w:type="dxa"/>
              <w:start w:w="115" w:type="dxa"/>
              <w:bottom w:w="100" w:type="dxa"/>
              <w:end w:w="115" w:type="dxa"/>
            </w:tcMar>
            <w:vAlign w:val="center"/>
          </w:tcPr>
          <w:p>
            <w:pPr>
              <w:pStyle w:val="TableText"/>
              <w:keepNext/>
            </w:pPr>
            <w:r>
              <w:rPr>
                <w:b/>
                <w:color w:val="FFFFFF"/>
                <w:sz w:val="20"/>
              </w:rPr>
              <w:t>Ose ouvert</w:t>
            </w:r>
          </w:p>
        </w:tc>
        <w:tc>
          <w:tcPr>
            <w:tcW w:type="dxa" w:w="2835"/>
            <w:shd w:fill="17324D" w:val="clear"/>
            <w:tcMar>
              <w:top w:w="100" w:type="dxa"/>
              <w:start w:w="115" w:type="dxa"/>
              <w:bottom w:w="100" w:type="dxa"/>
              <w:end w:w="115" w:type="dxa"/>
            </w:tcMar>
            <w:vAlign w:val="center"/>
          </w:tcPr>
          <w:p>
            <w:pPr>
              <w:pStyle w:val="TableText"/>
              <w:keepNext/>
            </w:pPr>
            <w:r>
              <w:rPr>
                <w:b/>
                <w:color w:val="FFFFFF"/>
                <w:sz w:val="20"/>
              </w:rPr>
              <w:t>Centres chiraux</w:t>
            </w:r>
          </w:p>
        </w:tc>
        <w:tc>
          <w:tcPr>
            <w:tcW w:type="dxa" w:w="680"/>
            <w:shd w:fill="17324D" w:val="clear"/>
            <w:tcMar>
              <w:top w:w="100" w:type="dxa"/>
              <w:start w:w="115" w:type="dxa"/>
              <w:bottom w:w="100" w:type="dxa"/>
              <w:end w:w="115" w:type="dxa"/>
            </w:tcMar>
            <w:vAlign w:val="center"/>
          </w:tcPr>
          <w:p>
            <w:pPr>
              <w:pStyle w:val="TableText"/>
              <w:keepNext/>
            </w:pPr>
            <w:r>
              <w:rPr>
                <w:b/>
                <w:color w:val="FFFFFF"/>
                <w:sz w:val="20"/>
              </w:rPr>
              <w:t>m</w:t>
            </w:r>
          </w:p>
        </w:tc>
        <w:tc>
          <w:tcPr>
            <w:tcW w:type="dxa" w:w="1984"/>
            <w:shd w:fill="17324D" w:val="clear"/>
            <w:tcMar>
              <w:top w:w="100" w:type="dxa"/>
              <w:start w:w="115" w:type="dxa"/>
              <w:bottom w:w="100" w:type="dxa"/>
              <w:end w:w="115" w:type="dxa"/>
            </w:tcMar>
            <w:vAlign w:val="center"/>
          </w:tcPr>
          <w:p>
            <w:pPr>
              <w:pStyle w:val="TableText"/>
              <w:keepNext/>
            </w:pPr>
            <w:r>
              <w:rPr>
                <w:b/>
                <w:color w:val="FFFFFF"/>
                <w:sz w:val="20"/>
              </w:rPr>
              <w:t>Total D + L</w:t>
            </w:r>
          </w:p>
        </w:tc>
        <w:tc>
          <w:tcPr>
            <w:tcW w:type="dxa" w:w="2098"/>
            <w:shd w:fill="17324D" w:val="clear"/>
            <w:tcMar>
              <w:top w:w="100" w:type="dxa"/>
              <w:start w:w="115" w:type="dxa"/>
              <w:bottom w:w="100" w:type="dxa"/>
              <w:end w:w="115" w:type="dxa"/>
            </w:tcMar>
            <w:vAlign w:val="center"/>
          </w:tcPr>
          <w:p>
            <w:pPr>
              <w:pStyle w:val="TableText"/>
              <w:keepNext/>
            </w:pPr>
            <w:r>
              <w:rPr>
                <w:b/>
                <w:color w:val="FFFFFF"/>
                <w:sz w:val="20"/>
              </w:rPr>
              <w:t>Par série</w:t>
            </w:r>
          </w:p>
        </w:tc>
      </w:tr>
      <w:tr>
        <w:trPr>
          <w:cantSplit/>
        </w:trPr>
        <w:tc>
          <w:tcPr>
            <w:tcW w:type="dxa" w:w="204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Aldotétrose</w:t>
            </w:r>
          </w:p>
        </w:tc>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sz w:val="20"/>
              </w:rPr>
              <w:t>C2, C3</w:t>
            </w:r>
          </w:p>
        </w:tc>
        <w:tc>
          <w:tcPr>
            <w:tcW w:type="dxa" w:w="680"/>
            <w:shd w:fill="F4F8F9" w:val="clear"/>
            <w:tcMar>
              <w:top w:w="90" w:type="dxa"/>
              <w:start w:w="115" w:type="dxa"/>
              <w:bottom w:w="90" w:type="dxa"/>
              <w:end w:w="115" w:type="dxa"/>
            </w:tcMar>
            <w:tcBorders>
              <w:bottom w:val="single" w:sz="4" w:color="D7E3E7"/>
            </w:tcBorders>
            <w:vAlign w:val="center"/>
          </w:tcPr>
          <w:p>
            <w:pPr>
              <w:pStyle w:val="TableText"/>
            </w:pPr>
            <w:r>
              <w:rPr>
                <w:sz w:val="20"/>
              </w:rPr>
              <w:t>2</w:t>
            </w:r>
          </w:p>
        </w:tc>
        <w:tc>
          <w:tcPr>
            <w:tcW w:type="dxa" w:w="1984"/>
            <w:shd w:fill="F4F8F9" w:val="clear"/>
            <w:tcMar>
              <w:top w:w="90" w:type="dxa"/>
              <w:start w:w="115" w:type="dxa"/>
              <w:bottom w:w="90" w:type="dxa"/>
              <w:end w:w="115" w:type="dxa"/>
            </w:tcMar>
            <w:tcBorders>
              <w:bottom w:val="single" w:sz="4" w:color="D7E3E7"/>
            </w:tcBorders>
            <w:vAlign w:val="center"/>
          </w:tcPr>
          <w:p>
            <w:pPr>
              <w:pStyle w:val="TableText"/>
            </w:pPr>
            <w:r>
              <w:rPr>
                <w:sz w:val="20"/>
              </w:rPr>
              <w:t>4</w:t>
            </w:r>
          </w:p>
        </w:tc>
        <w:tc>
          <w:tcPr>
            <w:tcW w:type="dxa" w:w="2098"/>
            <w:shd w:fill="F4F8F9" w:val="clear"/>
            <w:tcMar>
              <w:top w:w="90" w:type="dxa"/>
              <w:start w:w="115" w:type="dxa"/>
              <w:bottom w:w="90" w:type="dxa"/>
              <w:end w:w="115" w:type="dxa"/>
            </w:tcMar>
            <w:tcBorders>
              <w:bottom w:val="single" w:sz="4" w:color="D7E3E7"/>
            </w:tcBorders>
            <w:vAlign w:val="center"/>
          </w:tcPr>
          <w:p>
            <w:pPr>
              <w:pStyle w:val="TableText"/>
            </w:pPr>
            <w:r>
              <w:rPr>
                <w:sz w:val="20"/>
              </w:rPr>
              <w:t>2 D + 2 L</w:t>
            </w:r>
          </w:p>
        </w:tc>
      </w:tr>
      <w:tr>
        <w:trPr>
          <w:cantSplit/>
        </w:trPr>
        <w:tc>
          <w:tcPr>
            <w:tcW w:type="dxa" w:w="2041"/>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Aldopentose</w:t>
            </w:r>
          </w:p>
        </w:tc>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sz w:val="20"/>
              </w:rPr>
              <w:t>C2, C3, C4</w:t>
            </w:r>
          </w:p>
        </w:tc>
        <w:tc>
          <w:tcPr>
            <w:tcW w:type="dxa" w:w="680"/>
            <w:shd w:fill="FFFFFF" w:val="clear"/>
            <w:tcMar>
              <w:top w:w="90" w:type="dxa"/>
              <w:start w:w="115" w:type="dxa"/>
              <w:bottom w:w="90" w:type="dxa"/>
              <w:end w:w="115" w:type="dxa"/>
            </w:tcMar>
            <w:tcBorders>
              <w:bottom w:val="single" w:sz="4" w:color="D7E3E7"/>
            </w:tcBorders>
            <w:vAlign w:val="center"/>
          </w:tcPr>
          <w:p>
            <w:pPr>
              <w:pStyle w:val="TableText"/>
            </w:pPr>
            <w:r>
              <w:rPr>
                <w:sz w:val="20"/>
              </w:rPr>
              <w:t>3</w:t>
            </w:r>
          </w:p>
        </w:tc>
        <w:tc>
          <w:tcPr>
            <w:tcW w:type="dxa" w:w="1984"/>
            <w:shd w:fill="FFFFFF" w:val="clear"/>
            <w:tcMar>
              <w:top w:w="90" w:type="dxa"/>
              <w:start w:w="115" w:type="dxa"/>
              <w:bottom w:w="90" w:type="dxa"/>
              <w:end w:w="115" w:type="dxa"/>
            </w:tcMar>
            <w:tcBorders>
              <w:bottom w:val="single" w:sz="4" w:color="D7E3E7"/>
            </w:tcBorders>
            <w:vAlign w:val="center"/>
          </w:tcPr>
          <w:p>
            <w:pPr>
              <w:pStyle w:val="TableText"/>
            </w:pPr>
            <w:r>
              <w:rPr>
                <w:sz w:val="20"/>
              </w:rPr>
              <w:t>8</w:t>
            </w:r>
          </w:p>
        </w:tc>
        <w:tc>
          <w:tcPr>
            <w:tcW w:type="dxa" w:w="2098"/>
            <w:shd w:fill="FFFFFF" w:val="clear"/>
            <w:tcMar>
              <w:top w:w="90" w:type="dxa"/>
              <w:start w:w="115" w:type="dxa"/>
              <w:bottom w:w="90" w:type="dxa"/>
              <w:end w:w="115" w:type="dxa"/>
            </w:tcMar>
            <w:tcBorders>
              <w:bottom w:val="single" w:sz="4" w:color="D7E3E7"/>
            </w:tcBorders>
            <w:vAlign w:val="center"/>
          </w:tcPr>
          <w:p>
            <w:pPr>
              <w:pStyle w:val="TableText"/>
            </w:pPr>
            <w:r>
              <w:rPr>
                <w:sz w:val="20"/>
              </w:rPr>
              <w:t>4 D + 4 L</w:t>
            </w:r>
          </w:p>
        </w:tc>
      </w:tr>
      <w:tr>
        <w:trPr>
          <w:cantSplit/>
        </w:trPr>
        <w:tc>
          <w:tcPr>
            <w:tcW w:type="dxa" w:w="204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Aldohexose</w:t>
            </w:r>
          </w:p>
        </w:tc>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sz w:val="20"/>
              </w:rPr>
              <w:t>C2, C3, C4, C5</w:t>
            </w:r>
          </w:p>
        </w:tc>
        <w:tc>
          <w:tcPr>
            <w:tcW w:type="dxa" w:w="680"/>
            <w:shd w:fill="F4F8F9" w:val="clear"/>
            <w:tcMar>
              <w:top w:w="90" w:type="dxa"/>
              <w:start w:w="115" w:type="dxa"/>
              <w:bottom w:w="90" w:type="dxa"/>
              <w:end w:w="115" w:type="dxa"/>
            </w:tcMar>
            <w:tcBorders>
              <w:bottom w:val="single" w:sz="4" w:color="D7E3E7"/>
            </w:tcBorders>
            <w:vAlign w:val="center"/>
          </w:tcPr>
          <w:p>
            <w:pPr>
              <w:pStyle w:val="TableText"/>
            </w:pPr>
            <w:r>
              <w:rPr>
                <w:sz w:val="20"/>
              </w:rPr>
              <w:t>4</w:t>
            </w:r>
          </w:p>
        </w:tc>
        <w:tc>
          <w:tcPr>
            <w:tcW w:type="dxa" w:w="1984"/>
            <w:shd w:fill="F4F8F9" w:val="clear"/>
            <w:tcMar>
              <w:top w:w="90" w:type="dxa"/>
              <w:start w:w="115" w:type="dxa"/>
              <w:bottom w:w="90" w:type="dxa"/>
              <w:end w:w="115" w:type="dxa"/>
            </w:tcMar>
            <w:tcBorders>
              <w:bottom w:val="single" w:sz="4" w:color="D7E3E7"/>
            </w:tcBorders>
            <w:vAlign w:val="center"/>
          </w:tcPr>
          <w:p>
            <w:pPr>
              <w:pStyle w:val="TableText"/>
            </w:pPr>
            <w:r>
              <w:rPr>
                <w:sz w:val="20"/>
              </w:rPr>
              <w:t>16</w:t>
            </w:r>
          </w:p>
        </w:tc>
        <w:tc>
          <w:tcPr>
            <w:tcW w:type="dxa" w:w="2098"/>
            <w:shd w:fill="F4F8F9" w:val="clear"/>
            <w:tcMar>
              <w:top w:w="90" w:type="dxa"/>
              <w:start w:w="115" w:type="dxa"/>
              <w:bottom w:w="90" w:type="dxa"/>
              <w:end w:w="115" w:type="dxa"/>
            </w:tcMar>
            <w:tcBorders>
              <w:bottom w:val="single" w:sz="4" w:color="D7E3E7"/>
            </w:tcBorders>
            <w:vAlign w:val="center"/>
          </w:tcPr>
          <w:p>
            <w:pPr>
              <w:pStyle w:val="TableText"/>
            </w:pPr>
            <w:r>
              <w:rPr>
                <w:sz w:val="20"/>
              </w:rPr>
              <w:t>8 D + 8 L</w:t>
            </w:r>
          </w:p>
        </w:tc>
      </w:tr>
      <w:tr>
        <w:trPr>
          <w:cantSplit/>
        </w:trPr>
        <w:tc>
          <w:tcPr>
            <w:tcW w:type="dxa" w:w="2041"/>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Cétohexose</w:t>
            </w:r>
          </w:p>
        </w:tc>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sz w:val="20"/>
              </w:rPr>
              <w:t>C3, C4, C5</w:t>
            </w:r>
          </w:p>
        </w:tc>
        <w:tc>
          <w:tcPr>
            <w:tcW w:type="dxa" w:w="680"/>
            <w:shd w:fill="FFFFFF" w:val="clear"/>
            <w:tcMar>
              <w:top w:w="90" w:type="dxa"/>
              <w:start w:w="115" w:type="dxa"/>
              <w:bottom w:w="90" w:type="dxa"/>
              <w:end w:w="115" w:type="dxa"/>
            </w:tcMar>
            <w:tcBorders>
              <w:bottom w:val="single" w:sz="4" w:color="D7E3E7"/>
            </w:tcBorders>
            <w:vAlign w:val="center"/>
          </w:tcPr>
          <w:p>
            <w:pPr>
              <w:pStyle w:val="TableText"/>
            </w:pPr>
            <w:r>
              <w:rPr>
                <w:sz w:val="20"/>
              </w:rPr>
              <w:t>3</w:t>
            </w:r>
          </w:p>
        </w:tc>
        <w:tc>
          <w:tcPr>
            <w:tcW w:type="dxa" w:w="1984"/>
            <w:shd w:fill="FFFFFF" w:val="clear"/>
            <w:tcMar>
              <w:top w:w="90" w:type="dxa"/>
              <w:start w:w="115" w:type="dxa"/>
              <w:bottom w:w="90" w:type="dxa"/>
              <w:end w:w="115" w:type="dxa"/>
            </w:tcMar>
            <w:tcBorders>
              <w:bottom w:val="single" w:sz="4" w:color="D7E3E7"/>
            </w:tcBorders>
            <w:vAlign w:val="center"/>
          </w:tcPr>
          <w:p>
            <w:pPr>
              <w:pStyle w:val="TableText"/>
            </w:pPr>
            <w:r>
              <w:rPr>
                <w:sz w:val="20"/>
              </w:rPr>
              <w:t>8</w:t>
            </w:r>
          </w:p>
        </w:tc>
        <w:tc>
          <w:tcPr>
            <w:tcW w:type="dxa" w:w="2098"/>
            <w:shd w:fill="FFFFFF" w:val="clear"/>
            <w:tcMar>
              <w:top w:w="90" w:type="dxa"/>
              <w:start w:w="115" w:type="dxa"/>
              <w:bottom w:w="90" w:type="dxa"/>
              <w:end w:w="115" w:type="dxa"/>
            </w:tcMar>
            <w:tcBorders>
              <w:bottom w:val="single" w:sz="4" w:color="D7E3E7"/>
            </w:tcBorders>
            <w:vAlign w:val="center"/>
          </w:tcPr>
          <w:p>
            <w:pPr>
              <w:pStyle w:val="TableText"/>
            </w:pPr>
            <w:r>
              <w:rPr>
                <w:sz w:val="20"/>
              </w:rPr>
              <w:t>4 D + 4 L</w:t>
            </w:r>
          </w:p>
        </w:tc>
      </w:tr>
    </w:tbl>
    <w:p>
      <w:pPr>
        <w:spacing w:after="20"/>
      </w:pPr>
    </w:p>
    <w:p>
      <w:pPr>
        <w:pStyle w:val="Equation"/>
      </w:pPr>
      <w:r>
        <w:t>Aldose : N = 2ⁿ⁻²   •   2-cétose (n ≥ 4) : N = 2ⁿ⁻³</w:t>
      </w:r>
    </w:p>
    <w:p>
      <w:r>
        <w:t>La dihydroxyacétone est une exception à vérifier avant d’appliquer une formule : ce triose possède trois carbones mais aucun carbone chiral. Il n’existe qu’une structure de constitution correspondante, sans couple D/L.</w:t>
      </w: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NE PAS COMPTER DEUX FOIS LA MÊME CHOSE</w:t>
            </w:r>
          </w:p>
          <w:p>
            <w:pPr>
              <w:pStyle w:val="Callout"/>
              <w:spacing w:after="0"/>
            </w:pPr>
            <w:r>
              <w:t>Ces dénombrements concernent les formes ouvertes. La cyclisation crée un centre anomérique supplémentaire et des formes α/β ; elle ne change pas le nombre de configurations de la chaîne ouverte.</w:t>
            </w:r>
          </w:p>
        </w:tc>
      </w:tr>
    </w:tbl>
    <w:p>
      <w:pPr>
        <w:spacing w:after="20"/>
      </w:pPr>
    </w:p>
    <w:p>
      <w:pPr>
        <w:pStyle w:val="Kicker"/>
        <w:pageBreakBefore/>
      </w:pPr>
      <w:r>
        <w:t>MODULE 3 • UNE FAMILLE À RECONNAÎTRE</w:t>
      </w:r>
    </w:p>
    <w:p>
      <w:bookmarkStart w:id="15" w:name="familles"/>
      <w:pPr>
        <w:pStyle w:val="Heading1"/>
      </w:pPr>
      <w:r>
        <w:t>5. Configurations des hexoses de la série D</w:t>
      </w:r>
      <w:bookmarkEnd w:id="15"/>
    </w:p>
    <w:p>
      <w:r>
        <w:t>Les tableaux donnent la position du OH dans les projections de Fischer, du haut vers le bas. Ils constituent une clé de reconnaissance, pas une liste à apprendre sans comprendre la numérotation.</w:t>
      </w:r>
    </w:p>
    <w:p>
      <w:pPr>
        <w:pStyle w:val="Caption"/>
        <w:jc w:val="left"/>
      </w:pPr>
      <w:r>
        <w:t>Tableau 1. Les huit D-aldohexoses. Le glucose a la séquence D–G–D–D.</w:t>
      </w:r>
    </w:p>
    <w:tbl>
      <w:tblPr>
        <w:tblW w:type="dxa" w:w="9639"/>
        <w:jc w:val="center"/>
        <w:tblLayout w:type="fixed"/>
        <w:tblLook w:firstColumn="1" w:firstRow="1" w:lastColumn="0" w:lastRow="0" w:noHBand="0" w:noVBand="1" w:val="04A0"/>
      </w:tblPr>
      <w:tblGrid>
        <w:gridCol w:w="2835"/>
        <w:gridCol w:w="1701"/>
        <w:gridCol w:w="1701"/>
        <w:gridCol w:w="1701"/>
        <w:gridCol w:w="1701"/>
      </w:tblGrid>
      <w:tr>
        <w:trPr>
          <w:tblHeader/>
          <w:cantSplit/>
        </w:trPr>
        <w:tc>
          <w:tcPr>
            <w:tcW w:type="dxa" w:w="2835"/>
            <w:shd w:fill="17324D" w:val="clear"/>
            <w:tcMar>
              <w:top w:w="100" w:type="dxa"/>
              <w:start w:w="115" w:type="dxa"/>
              <w:bottom w:w="100" w:type="dxa"/>
              <w:end w:w="115" w:type="dxa"/>
            </w:tcMar>
            <w:vAlign w:val="center"/>
          </w:tcPr>
          <w:p>
            <w:pPr>
              <w:pStyle w:val="TableText"/>
              <w:keepNext/>
            </w:pPr>
            <w:r>
              <w:rPr>
                <w:b/>
                <w:color w:val="FFFFFF"/>
                <w:sz w:val="19"/>
              </w:rPr>
              <w:t>D-aldohexose</w:t>
            </w:r>
          </w:p>
        </w:tc>
        <w:tc>
          <w:tcPr>
            <w:tcW w:type="dxa" w:w="1701"/>
            <w:shd w:fill="17324D" w:val="clear"/>
            <w:tcMar>
              <w:top w:w="100" w:type="dxa"/>
              <w:start w:w="115" w:type="dxa"/>
              <w:bottom w:w="100" w:type="dxa"/>
              <w:end w:w="115" w:type="dxa"/>
            </w:tcMar>
            <w:vAlign w:val="center"/>
          </w:tcPr>
          <w:p>
            <w:pPr>
              <w:pStyle w:val="TableText"/>
              <w:keepNext/>
            </w:pPr>
            <w:r>
              <w:rPr>
                <w:b/>
                <w:color w:val="FFFFFF"/>
                <w:sz w:val="19"/>
              </w:rPr>
              <w:t>C2</w:t>
            </w:r>
          </w:p>
        </w:tc>
        <w:tc>
          <w:tcPr>
            <w:tcW w:type="dxa" w:w="1701"/>
            <w:shd w:fill="17324D" w:val="clear"/>
            <w:tcMar>
              <w:top w:w="100" w:type="dxa"/>
              <w:start w:w="115" w:type="dxa"/>
              <w:bottom w:w="100" w:type="dxa"/>
              <w:end w:w="115" w:type="dxa"/>
            </w:tcMar>
            <w:vAlign w:val="center"/>
          </w:tcPr>
          <w:p>
            <w:pPr>
              <w:pStyle w:val="TableText"/>
              <w:keepNext/>
            </w:pPr>
            <w:r>
              <w:rPr>
                <w:b/>
                <w:color w:val="FFFFFF"/>
                <w:sz w:val="19"/>
              </w:rPr>
              <w:t>C3</w:t>
            </w:r>
          </w:p>
        </w:tc>
        <w:tc>
          <w:tcPr>
            <w:tcW w:type="dxa" w:w="1701"/>
            <w:shd w:fill="17324D" w:val="clear"/>
            <w:tcMar>
              <w:top w:w="100" w:type="dxa"/>
              <w:start w:w="115" w:type="dxa"/>
              <w:bottom w:w="100" w:type="dxa"/>
              <w:end w:w="115" w:type="dxa"/>
            </w:tcMar>
            <w:vAlign w:val="center"/>
          </w:tcPr>
          <w:p>
            <w:pPr>
              <w:pStyle w:val="TableText"/>
              <w:keepNext/>
            </w:pPr>
            <w:r>
              <w:rPr>
                <w:b/>
                <w:color w:val="FFFFFF"/>
                <w:sz w:val="19"/>
              </w:rPr>
              <w:t>C4</w:t>
            </w:r>
          </w:p>
        </w:tc>
        <w:tc>
          <w:tcPr>
            <w:tcW w:type="dxa" w:w="1701"/>
            <w:shd w:fill="17324D" w:val="clear"/>
            <w:tcMar>
              <w:top w:w="100" w:type="dxa"/>
              <w:start w:w="115" w:type="dxa"/>
              <w:bottom w:w="100" w:type="dxa"/>
              <w:end w:w="115" w:type="dxa"/>
            </w:tcMar>
            <w:vAlign w:val="center"/>
          </w:tcPr>
          <w:p>
            <w:pPr>
              <w:pStyle w:val="TableText"/>
              <w:keepNext/>
            </w:pPr>
            <w:r>
              <w:rPr>
                <w:b/>
                <w:color w:val="FFFFFF"/>
                <w:sz w:val="19"/>
              </w:rPr>
              <w:t>C5</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D-allose</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D-altrose</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D-glucose</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D-mannose</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D-gulose</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D-idose</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D-galactose</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D-talose</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r>
    </w:tbl>
    <w:p>
      <w:pPr>
        <w:spacing w:after="20"/>
      </w:pPr>
    </w:p>
    <w:p>
      <w:pPr>
        <w:pStyle w:val="Caption"/>
        <w:jc w:val="left"/>
      </w:pPr>
      <w:r>
        <w:t>Tableau 2. Les quatre D-cétohexoses usuels. C2 porte la fonction cétone.</w:t>
      </w:r>
    </w:p>
    <w:tbl>
      <w:tblPr>
        <w:tblW w:type="dxa" w:w="9639"/>
        <w:jc w:val="center"/>
        <w:tblLayout w:type="fixed"/>
        <w:tblLook w:firstColumn="1" w:firstRow="1" w:lastColumn="0" w:lastRow="0" w:noHBand="0" w:noVBand="1" w:val="04A0"/>
      </w:tblPr>
      <w:tblGrid>
        <w:gridCol w:w="4535"/>
        <w:gridCol w:w="1701"/>
        <w:gridCol w:w="1701"/>
        <w:gridCol w:w="1701"/>
      </w:tblGrid>
      <w:tr>
        <w:trPr>
          <w:tblHeader/>
          <w:cantSplit/>
        </w:trPr>
        <w:tc>
          <w:tcPr>
            <w:tcW w:type="dxa" w:w="4535"/>
            <w:shd w:fill="17324D" w:val="clear"/>
            <w:tcMar>
              <w:top w:w="100" w:type="dxa"/>
              <w:start w:w="115" w:type="dxa"/>
              <w:bottom w:w="100" w:type="dxa"/>
              <w:end w:w="115" w:type="dxa"/>
            </w:tcMar>
            <w:vAlign w:val="center"/>
          </w:tcPr>
          <w:p>
            <w:pPr>
              <w:pStyle w:val="TableText"/>
              <w:keepNext/>
            </w:pPr>
            <w:r>
              <w:rPr>
                <w:b/>
                <w:color w:val="FFFFFF"/>
                <w:sz w:val="19"/>
              </w:rPr>
              <w:t>D-cétohexose</w:t>
            </w:r>
          </w:p>
        </w:tc>
        <w:tc>
          <w:tcPr>
            <w:tcW w:type="dxa" w:w="1701"/>
            <w:shd w:fill="17324D" w:val="clear"/>
            <w:tcMar>
              <w:top w:w="100" w:type="dxa"/>
              <w:start w:w="115" w:type="dxa"/>
              <w:bottom w:w="100" w:type="dxa"/>
              <w:end w:w="115" w:type="dxa"/>
            </w:tcMar>
            <w:vAlign w:val="center"/>
          </w:tcPr>
          <w:p>
            <w:pPr>
              <w:pStyle w:val="TableText"/>
              <w:keepNext/>
            </w:pPr>
            <w:r>
              <w:rPr>
                <w:b/>
                <w:color w:val="FFFFFF"/>
                <w:sz w:val="19"/>
              </w:rPr>
              <w:t>C3</w:t>
            </w:r>
          </w:p>
        </w:tc>
        <w:tc>
          <w:tcPr>
            <w:tcW w:type="dxa" w:w="1701"/>
            <w:shd w:fill="17324D" w:val="clear"/>
            <w:tcMar>
              <w:top w:w="100" w:type="dxa"/>
              <w:start w:w="115" w:type="dxa"/>
              <w:bottom w:w="100" w:type="dxa"/>
              <w:end w:w="115" w:type="dxa"/>
            </w:tcMar>
            <w:vAlign w:val="center"/>
          </w:tcPr>
          <w:p>
            <w:pPr>
              <w:pStyle w:val="TableText"/>
              <w:keepNext/>
            </w:pPr>
            <w:r>
              <w:rPr>
                <w:b/>
                <w:color w:val="FFFFFF"/>
                <w:sz w:val="19"/>
              </w:rPr>
              <w:t>C4</w:t>
            </w:r>
          </w:p>
        </w:tc>
        <w:tc>
          <w:tcPr>
            <w:tcW w:type="dxa" w:w="1701"/>
            <w:shd w:fill="17324D" w:val="clear"/>
            <w:tcMar>
              <w:top w:w="100" w:type="dxa"/>
              <w:start w:w="115" w:type="dxa"/>
              <w:bottom w:w="100" w:type="dxa"/>
              <w:end w:w="115" w:type="dxa"/>
            </w:tcMar>
            <w:vAlign w:val="center"/>
          </w:tcPr>
          <w:p>
            <w:pPr>
              <w:pStyle w:val="TableText"/>
              <w:keepNext/>
            </w:pPr>
            <w:r>
              <w:rPr>
                <w:b/>
                <w:color w:val="FFFFFF"/>
                <w:sz w:val="19"/>
              </w:rPr>
              <w:t>C5</w:t>
            </w:r>
          </w:p>
        </w:tc>
      </w:tr>
      <w:tr>
        <w:trPr>
          <w:cantSplit/>
        </w:trPr>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D-psicose (D-allulose)</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45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D-fructose</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D-sorbose</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4F8F9" w:val="clear"/>
            <w:tcMar>
              <w:top w:w="90" w:type="dxa"/>
              <w:start w:w="115" w:type="dxa"/>
              <w:bottom w:w="90" w:type="dxa"/>
              <w:end w:w="115" w:type="dxa"/>
            </w:tcMar>
            <w:tcBorders>
              <w:bottom w:val="single" w:sz="4" w:color="D7E3E7"/>
            </w:tcBorders>
            <w:vAlign w:val="center"/>
          </w:tcPr>
          <w:p>
            <w:pPr>
              <w:pStyle w:val="TableText"/>
            </w:pPr>
            <w:r>
              <w:rPr>
                <w:sz w:val="19"/>
              </w:rPr>
              <w:t>D</w:t>
            </w:r>
          </w:p>
        </w:tc>
      </w:tr>
      <w:tr>
        <w:trPr>
          <w:cantSplit/>
        </w:trPr>
        <w:tc>
          <w:tcPr>
            <w:tcW w:type="dxa" w:w="45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D-tagatose</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G</w:t>
            </w:r>
          </w:p>
        </w:tc>
        <w:tc>
          <w:tcPr>
            <w:tcW w:type="dxa" w:w="1701"/>
            <w:shd w:fill="FFFFFF" w:val="clear"/>
            <w:tcMar>
              <w:top w:w="90" w:type="dxa"/>
              <w:start w:w="115" w:type="dxa"/>
              <w:bottom w:w="90" w:type="dxa"/>
              <w:end w:w="115" w:type="dxa"/>
            </w:tcMar>
            <w:tcBorders>
              <w:bottom w:val="single" w:sz="4" w:color="D7E3E7"/>
            </w:tcBorders>
            <w:vAlign w:val="center"/>
          </w:tcPr>
          <w:p>
            <w:pPr>
              <w:pStyle w:val="TableText"/>
            </w:pPr>
            <w:r>
              <w:rPr>
                <w:sz w:val="19"/>
              </w:rPr>
              <w:t>D</w:t>
            </w:r>
          </w:p>
        </w:tc>
      </w:tr>
    </w:tbl>
    <w:p>
      <w:pPr>
        <w:spacing w:after="20"/>
      </w:pPr>
    </w:p>
    <w:p>
      <w:pPr>
        <w:pStyle w:val="Heading2"/>
      </w:pPr>
      <w:r>
        <w:t>Passer des aldoses aux cétoses</w:t>
      </w:r>
    </w:p>
    <w:p>
      <w:r>
        <w:t>Le glycéraldéhyde est la référence de la série D/L et le point de départ de la filiation des aldoses. Le cétose le plus simple est la dihydroxyacétone. La filiation de Fischer est une classification formelle par allongement de chaîne : elle ne décrit pas, à elle seule, une voie métabolique.</w:t>
      </w: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APPLICATION DIRECTE</w:t>
            </w:r>
          </w:p>
          <w:p>
            <w:pPr>
              <w:pStyle w:val="Callout"/>
              <w:spacing w:after="0"/>
            </w:pPr>
            <w:r>
              <w:t>Pour identifier A dans le TD : six carbones, aldéhyde en C1, puis D–G–D–D → D-glucose. Pour B : six carbones, cétone en C2, puis G–D–D → D-fructose.</w:t>
            </w:r>
          </w:p>
        </w:tc>
      </w:tr>
    </w:tbl>
    <w:p>
      <w:pPr>
        <w:spacing w:after="20"/>
      </w:pPr>
    </w:p>
    <w:p>
      <w:pPr>
        <w:pStyle w:val="Kicker"/>
        <w:pageBreakBefore/>
      </w:pPr>
      <w:r>
        <w:t>MODULE 3 • COMPARER</w:t>
      </w:r>
    </w:p>
    <w:p>
      <w:bookmarkStart w:id="16" w:name="stereoisomerie"/>
      <w:pPr>
        <w:pStyle w:val="Heading1"/>
      </w:pPr>
      <w:r>
        <w:t>6. Isomères : choisir la bonne relation</w:t>
      </w:r>
      <w:bookmarkEnd w:id="16"/>
    </w:p>
    <w:p>
      <w:r>
        <w:t>Deux molécules de même formule brute peuvent différer par l’enchaînement des atomes ou seulement par leur disposition spatiale. Il faut donc comparer la constitution avant d’examiner les configurations.</w:t>
      </w:r>
    </w:p>
    <w:p>
      <w:pPr>
        <w:keepNext/>
        <w:spacing w:before="60" w:after="20"/>
        <w:jc w:val="center"/>
      </w:pPr>
      <w:r>
        <w:drawing>
          <wp:inline xmlns:a="http://schemas.openxmlformats.org/drawingml/2006/main" xmlns:pic="http://schemas.openxmlformats.org/drawingml/2006/picture">
            <wp:extent cx="5976000" cy="3048606"/>
            <wp:docPr id="6" name="Picture 6"/>
            <wp:cNvGraphicFramePr>
              <a:graphicFrameLocks noChangeAspect="1"/>
            </wp:cNvGraphicFramePr>
            <a:graphic>
              <a:graphicData uri="http://schemas.openxmlformats.org/drawingml/2006/picture">
                <pic:pic>
                  <pic:nvPicPr>
                    <pic:cNvPr id="0" name="c05_stereoisomerie.png"/>
                    <pic:cNvPicPr/>
                  </pic:nvPicPr>
                  <pic:blipFill>
                    <a:blip r:embed="rId18"/>
                    <a:stretch>
                      <a:fillRect/>
                    </a:stretch>
                  </pic:blipFill>
                  <pic:spPr>
                    <a:xfrm>
                      <a:off x="0" y="0"/>
                      <a:ext cx="5976000" cy="3048606"/>
                    </a:xfrm>
                    <a:prstGeom prst="rect"/>
                  </pic:spPr>
                </pic:pic>
              </a:graphicData>
            </a:graphic>
          </wp:inline>
        </w:drawing>
      </w:r>
    </w:p>
    <w:p>
      <w:pPr>
        <w:pStyle w:val="Caption"/>
        <w:jc w:val="center"/>
      </w:pPr>
      <w:r>
        <w:t>Figure 5. Classification des isomères. Les épimères sont des diastéréoisomères particuliers ; les anomères sont des épimères au carbone anomérique.</w:t>
      </w:r>
    </w:p>
    <w:tbl>
      <w:tblPr>
        <w:tblW w:type="dxa" w:w="9639"/>
        <w:jc w:val="center"/>
        <w:tblLayout w:type="fixed"/>
        <w:tblLook w:firstColumn="1" w:firstRow="1" w:lastColumn="0" w:lastRow="0" w:noHBand="0" w:noVBand="1" w:val="04A0"/>
      </w:tblPr>
      <w:tblGrid>
        <w:gridCol w:w="2154"/>
        <w:gridCol w:w="4535"/>
        <w:gridCol w:w="2948"/>
      </w:tblGrid>
      <w:tr>
        <w:trPr>
          <w:tblHeader/>
          <w:cantSplit/>
        </w:trPr>
        <w:tc>
          <w:tcPr>
            <w:tcW w:type="dxa" w:w="2154"/>
            <w:shd w:fill="17324D" w:val="clear"/>
            <w:tcMar>
              <w:top w:w="100" w:type="dxa"/>
              <w:start w:w="115" w:type="dxa"/>
              <w:bottom w:w="100" w:type="dxa"/>
              <w:end w:w="115" w:type="dxa"/>
            </w:tcMar>
            <w:vAlign w:val="center"/>
          </w:tcPr>
          <w:p>
            <w:pPr>
              <w:pStyle w:val="TableText"/>
              <w:keepNext/>
            </w:pPr>
            <w:r>
              <w:rPr>
                <w:b/>
                <w:color w:val="FFFFFF"/>
                <w:sz w:val="19"/>
              </w:rPr>
              <w:t>Relation</w:t>
            </w:r>
          </w:p>
        </w:tc>
        <w:tc>
          <w:tcPr>
            <w:tcW w:type="dxa" w:w="4535"/>
            <w:shd w:fill="17324D" w:val="clear"/>
            <w:tcMar>
              <w:top w:w="100" w:type="dxa"/>
              <w:start w:w="115" w:type="dxa"/>
              <w:bottom w:w="100" w:type="dxa"/>
              <w:end w:w="115" w:type="dxa"/>
            </w:tcMar>
            <w:vAlign w:val="center"/>
          </w:tcPr>
          <w:p>
            <w:pPr>
              <w:pStyle w:val="TableText"/>
              <w:keepNext/>
            </w:pPr>
            <w:r>
              <w:rPr>
                <w:b/>
                <w:color w:val="FFFFFF"/>
                <w:sz w:val="19"/>
              </w:rPr>
              <w:t>Critère</w:t>
            </w:r>
          </w:p>
        </w:tc>
        <w:tc>
          <w:tcPr>
            <w:tcW w:type="dxa" w:w="2948"/>
            <w:shd w:fill="17324D" w:val="clear"/>
            <w:tcMar>
              <w:top w:w="100" w:type="dxa"/>
              <w:start w:w="115" w:type="dxa"/>
              <w:bottom w:w="100" w:type="dxa"/>
              <w:end w:w="115" w:type="dxa"/>
            </w:tcMar>
            <w:vAlign w:val="center"/>
          </w:tcPr>
          <w:p>
            <w:pPr>
              <w:pStyle w:val="TableText"/>
              <w:keepNext/>
            </w:pPr>
            <w:r>
              <w:rPr>
                <w:b/>
                <w:color w:val="FFFFFF"/>
                <w:sz w:val="19"/>
              </w:rPr>
              <w:t>Exemple</w:t>
            </w:r>
          </w:p>
        </w:tc>
      </w:tr>
      <w:tr>
        <w:trPr>
          <w:cantSplit/>
        </w:trPr>
        <w:tc>
          <w:tcPr>
            <w:tcW w:type="dxa" w:w="215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Constitutionnels</w:t>
            </w:r>
          </w:p>
        </w:tc>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sz w:val="19"/>
              </w:rPr>
              <w:t>Connectivité différente</w:t>
            </w:r>
          </w:p>
        </w:tc>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sz w:val="19"/>
              </w:rPr>
              <w:t>D-glucose / D-fructose</w:t>
            </w:r>
          </w:p>
        </w:tc>
      </w:tr>
      <w:tr>
        <w:trPr>
          <w:cantSplit/>
        </w:trPr>
        <w:tc>
          <w:tcPr>
            <w:tcW w:type="dxa" w:w="215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Énantiomères</w:t>
            </w:r>
          </w:p>
        </w:tc>
        <w:tc>
          <w:tcPr>
            <w:tcW w:type="dxa" w:w="4535"/>
            <w:shd w:fill="FFFFFF" w:val="clear"/>
            <w:tcMar>
              <w:top w:w="90" w:type="dxa"/>
              <w:start w:w="115" w:type="dxa"/>
              <w:bottom w:w="90" w:type="dxa"/>
              <w:end w:w="115" w:type="dxa"/>
            </w:tcMar>
            <w:tcBorders>
              <w:bottom w:val="single" w:sz="4" w:color="D7E3E7"/>
            </w:tcBorders>
            <w:vAlign w:val="center"/>
          </w:tcPr>
          <w:p>
            <w:pPr>
              <w:pStyle w:val="TableText"/>
            </w:pPr>
            <w:r>
              <w:rPr>
                <w:sz w:val="19"/>
              </w:rPr>
              <w:t>Images miroir non superposables ; tous les centres chiraux inversés</w:t>
            </w:r>
          </w:p>
        </w:tc>
        <w:tc>
          <w:tcPr>
            <w:tcW w:type="dxa" w:w="2948"/>
            <w:shd w:fill="FFFFFF" w:val="clear"/>
            <w:tcMar>
              <w:top w:w="90" w:type="dxa"/>
              <w:start w:w="115" w:type="dxa"/>
              <w:bottom w:w="90" w:type="dxa"/>
              <w:end w:w="115" w:type="dxa"/>
            </w:tcMar>
            <w:tcBorders>
              <w:bottom w:val="single" w:sz="4" w:color="D7E3E7"/>
            </w:tcBorders>
            <w:vAlign w:val="center"/>
          </w:tcPr>
          <w:p>
            <w:pPr>
              <w:pStyle w:val="TableText"/>
            </w:pPr>
            <w:r>
              <w:rPr>
                <w:sz w:val="19"/>
              </w:rPr>
              <w:t>D-glucose / L-glucose</w:t>
            </w:r>
          </w:p>
        </w:tc>
      </w:tr>
      <w:tr>
        <w:trPr>
          <w:cantSplit/>
        </w:trPr>
        <w:tc>
          <w:tcPr>
            <w:tcW w:type="dxa" w:w="215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Diastéréoisomères</w:t>
            </w:r>
          </w:p>
        </w:tc>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sz w:val="19"/>
              </w:rPr>
              <w:t>Stéréoisomères non énantiomères</w:t>
            </w:r>
          </w:p>
        </w:tc>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sz w:val="19"/>
              </w:rPr>
              <w:t>D-glucose / D-galactose</w:t>
            </w:r>
          </w:p>
        </w:tc>
      </w:tr>
      <w:tr>
        <w:trPr>
          <w:cantSplit/>
        </w:trPr>
        <w:tc>
          <w:tcPr>
            <w:tcW w:type="dxa" w:w="215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Épimères</w:t>
            </w:r>
          </w:p>
        </w:tc>
        <w:tc>
          <w:tcPr>
            <w:tcW w:type="dxa" w:w="4535"/>
            <w:shd w:fill="FFFFFF" w:val="clear"/>
            <w:tcMar>
              <w:top w:w="90" w:type="dxa"/>
              <w:start w:w="115" w:type="dxa"/>
              <w:bottom w:w="90" w:type="dxa"/>
              <w:end w:w="115" w:type="dxa"/>
            </w:tcMar>
            <w:tcBorders>
              <w:bottom w:val="single" w:sz="4" w:color="D7E3E7"/>
            </w:tcBorders>
            <w:vAlign w:val="center"/>
          </w:tcPr>
          <w:p>
            <w:pPr>
              <w:pStyle w:val="TableText"/>
            </w:pPr>
            <w:r>
              <w:rPr>
                <w:sz w:val="19"/>
              </w:rPr>
              <w:t>Un seul centre chiral inversé</w:t>
            </w:r>
          </w:p>
        </w:tc>
        <w:tc>
          <w:tcPr>
            <w:tcW w:type="dxa" w:w="2948"/>
            <w:shd w:fill="FFFFFF" w:val="clear"/>
            <w:tcMar>
              <w:top w:w="90" w:type="dxa"/>
              <w:start w:w="115" w:type="dxa"/>
              <w:bottom w:w="90" w:type="dxa"/>
              <w:end w:w="115" w:type="dxa"/>
            </w:tcMar>
            <w:tcBorders>
              <w:bottom w:val="single" w:sz="4" w:color="D7E3E7"/>
            </w:tcBorders>
            <w:vAlign w:val="center"/>
          </w:tcPr>
          <w:p>
            <w:pPr>
              <w:pStyle w:val="TableText"/>
            </w:pPr>
            <w:r>
              <w:rPr>
                <w:sz w:val="19"/>
              </w:rPr>
              <w:t>D-glucose / D-mannose</w:t>
            </w:r>
          </w:p>
        </w:tc>
      </w:tr>
      <w:tr>
        <w:trPr>
          <w:cantSplit/>
        </w:trPr>
        <w:tc>
          <w:tcPr>
            <w:tcW w:type="dxa" w:w="215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Anomères</w:t>
            </w:r>
          </w:p>
        </w:tc>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sz w:val="19"/>
              </w:rPr>
              <w:t>Formes cycliques différant au seul carbone anomérique</w:t>
            </w:r>
          </w:p>
        </w:tc>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sz w:val="19"/>
              </w:rPr>
              <w:t>α- et β-D-glucopyranose</w:t>
            </w:r>
          </w:p>
        </w:tc>
      </w:tr>
    </w:tbl>
    <w:p>
      <w:pPr>
        <w:spacing w:after="20"/>
      </w:pP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PRIORITÉ À LA CONSTITUTION</w:t>
            </w:r>
          </w:p>
          <w:p>
            <w:pPr>
              <w:pStyle w:val="Callout"/>
              <w:spacing w:after="0"/>
            </w:pPr>
            <w:r>
              <w:t>Une paire aldose/cétose est une paire d’isomères de constitution, souvent appelée isomères de fonction. Elle n’est pas une paire d’épimères, même si les deux oses ont le même nombre de carbones.</w:t>
            </w:r>
          </w:p>
        </w:tc>
      </w:tr>
    </w:tbl>
    <w:p>
      <w:pPr>
        <w:spacing w:after="20"/>
      </w:pPr>
    </w:p>
    <w:p>
      <w:pPr>
        <w:pStyle w:val="Kicker"/>
        <w:pageBreakBefore/>
      </w:pPr>
      <w:r>
        <w:t>MODULE 3 • ÉPIMÈRES</w:t>
      </w:r>
    </w:p>
    <w:p>
      <w:bookmarkStart w:id="17" w:name="epimers"/>
      <w:pPr>
        <w:pStyle w:val="Heading1"/>
      </w:pPr>
      <w:r>
        <w:t>7. Le glucose et ses voisins</w:t>
      </w:r>
      <w:bookmarkEnd w:id="17"/>
    </w:p>
    <w:p>
      <w:r>
        <w:t>Deux épimères ne diffèrent que par la configuration d’un seul carbone chiral. Il faut préciser ce carbone : « épimère en C2 » est une réponse complète, « épimère » seul est moins précis.</w:t>
      </w:r>
    </w:p>
    <w:p>
      <w:pPr>
        <w:keepNext/>
        <w:spacing w:before="60" w:after="20"/>
        <w:jc w:val="center"/>
      </w:pPr>
      <w:r>
        <w:drawing>
          <wp:inline xmlns:a="http://schemas.openxmlformats.org/drawingml/2006/main" xmlns:pic="http://schemas.openxmlformats.org/drawingml/2006/picture">
            <wp:extent cx="5976000" cy="2755867"/>
            <wp:docPr id="7" name="Picture 7"/>
            <wp:cNvGraphicFramePr>
              <a:graphicFrameLocks noChangeAspect="1"/>
            </wp:cNvGraphicFramePr>
            <a:graphic>
              <a:graphicData uri="http://schemas.openxmlformats.org/drawingml/2006/picture">
                <pic:pic>
                  <pic:nvPicPr>
                    <pic:cNvPr id="0" name="c06_epimers.png"/>
                    <pic:cNvPicPr/>
                  </pic:nvPicPr>
                  <pic:blipFill>
                    <a:blip r:embed="rId19"/>
                    <a:stretch>
                      <a:fillRect/>
                    </a:stretch>
                  </pic:blipFill>
                  <pic:spPr>
                    <a:xfrm>
                      <a:off x="0" y="0"/>
                      <a:ext cx="5976000" cy="2755867"/>
                    </a:xfrm>
                    <a:prstGeom prst="rect"/>
                  </pic:spPr>
                </pic:pic>
              </a:graphicData>
            </a:graphic>
          </wp:inline>
        </w:drawing>
      </w:r>
    </w:p>
    <w:p>
      <w:pPr>
        <w:pStyle w:val="Caption"/>
        <w:jc w:val="center"/>
      </w:pPr>
      <w:r>
        <w:t>Figure 6. Deux épimères classiques du D-glucose dans la série D : D-mannose en C2 et D-galactose en C4.</w:t>
      </w:r>
    </w:p>
    <w:tbl>
      <w:tblPr>
        <w:tblW w:type="dxa" w:w="9639"/>
        <w:jc w:val="center"/>
        <w:tblLayout w:type="fixed"/>
        <w:tblLook w:firstColumn="1" w:firstRow="1" w:lastColumn="0" w:lastRow="0" w:noHBand="0" w:noVBand="1" w:val="04A0"/>
      </w:tblPr>
      <w:tblGrid>
        <w:gridCol w:w="5102"/>
        <w:gridCol w:w="4535"/>
      </w:tblGrid>
      <w:tr>
        <w:trPr>
          <w:tblHeader/>
          <w:cantSplit/>
        </w:trPr>
        <w:tc>
          <w:tcPr>
            <w:tcW w:type="dxa" w:w="5102"/>
            <w:shd w:fill="17324D" w:val="clear"/>
            <w:tcMar>
              <w:top w:w="100" w:type="dxa"/>
              <w:start w:w="115" w:type="dxa"/>
              <w:bottom w:w="100" w:type="dxa"/>
              <w:end w:w="115" w:type="dxa"/>
            </w:tcMar>
            <w:vAlign w:val="center"/>
          </w:tcPr>
          <w:p>
            <w:pPr>
              <w:pStyle w:val="TableText"/>
              <w:keepNext/>
            </w:pPr>
            <w:r>
              <w:rPr>
                <w:b/>
                <w:color w:val="FFFFFF"/>
                <w:sz w:val="20"/>
              </w:rPr>
              <w:t>Centre inversé par rapport au D-glucose</w:t>
            </w:r>
          </w:p>
        </w:tc>
        <w:tc>
          <w:tcPr>
            <w:tcW w:type="dxa" w:w="4535"/>
            <w:shd w:fill="17324D" w:val="clear"/>
            <w:tcMar>
              <w:top w:w="100" w:type="dxa"/>
              <w:start w:w="115" w:type="dxa"/>
              <w:bottom w:w="100" w:type="dxa"/>
              <w:end w:w="115" w:type="dxa"/>
            </w:tcMar>
            <w:vAlign w:val="center"/>
          </w:tcPr>
          <w:p>
            <w:pPr>
              <w:pStyle w:val="TableText"/>
              <w:keepNext/>
            </w:pPr>
            <w:r>
              <w:rPr>
                <w:b/>
                <w:color w:val="FFFFFF"/>
                <w:sz w:val="20"/>
              </w:rPr>
              <w:t>Épimère correspondant</w:t>
            </w:r>
          </w:p>
        </w:tc>
      </w:tr>
      <w:tr>
        <w:trPr>
          <w:cantSplit/>
        </w:trPr>
        <w:tc>
          <w:tcPr>
            <w:tcW w:type="dxa" w:w="510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C2</w:t>
            </w:r>
          </w:p>
        </w:tc>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sz w:val="20"/>
              </w:rPr>
              <w:t>D-mannose</w:t>
            </w:r>
          </w:p>
        </w:tc>
      </w:tr>
      <w:tr>
        <w:trPr>
          <w:cantSplit/>
        </w:trPr>
        <w:tc>
          <w:tcPr>
            <w:tcW w:type="dxa" w:w="5102"/>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C3</w:t>
            </w:r>
          </w:p>
        </w:tc>
        <w:tc>
          <w:tcPr>
            <w:tcW w:type="dxa" w:w="4535"/>
            <w:shd w:fill="FFFFFF" w:val="clear"/>
            <w:tcMar>
              <w:top w:w="90" w:type="dxa"/>
              <w:start w:w="115" w:type="dxa"/>
              <w:bottom w:w="90" w:type="dxa"/>
              <w:end w:w="115" w:type="dxa"/>
            </w:tcMar>
            <w:tcBorders>
              <w:bottom w:val="single" w:sz="4" w:color="D7E3E7"/>
            </w:tcBorders>
            <w:vAlign w:val="center"/>
          </w:tcPr>
          <w:p>
            <w:pPr>
              <w:pStyle w:val="TableText"/>
            </w:pPr>
            <w:r>
              <w:rPr>
                <w:sz w:val="20"/>
              </w:rPr>
              <w:t>D-allose</w:t>
            </w:r>
          </w:p>
        </w:tc>
      </w:tr>
      <w:tr>
        <w:trPr>
          <w:cantSplit/>
        </w:trPr>
        <w:tc>
          <w:tcPr>
            <w:tcW w:type="dxa" w:w="510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C4</w:t>
            </w:r>
          </w:p>
        </w:tc>
        <w:tc>
          <w:tcPr>
            <w:tcW w:type="dxa" w:w="4535"/>
            <w:shd w:fill="F4F8F9" w:val="clear"/>
            <w:tcMar>
              <w:top w:w="90" w:type="dxa"/>
              <w:start w:w="115" w:type="dxa"/>
              <w:bottom w:w="90" w:type="dxa"/>
              <w:end w:w="115" w:type="dxa"/>
            </w:tcMar>
            <w:tcBorders>
              <w:bottom w:val="single" w:sz="4" w:color="D7E3E7"/>
            </w:tcBorders>
            <w:vAlign w:val="center"/>
          </w:tcPr>
          <w:p>
            <w:pPr>
              <w:pStyle w:val="TableText"/>
            </w:pPr>
            <w:r>
              <w:rPr>
                <w:sz w:val="20"/>
              </w:rPr>
              <w:t>D-galactose</w:t>
            </w:r>
          </w:p>
        </w:tc>
      </w:tr>
      <w:tr>
        <w:trPr>
          <w:cantSplit/>
        </w:trPr>
        <w:tc>
          <w:tcPr>
            <w:tcW w:type="dxa" w:w="5102"/>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C5</w:t>
            </w:r>
          </w:p>
        </w:tc>
        <w:tc>
          <w:tcPr>
            <w:tcW w:type="dxa" w:w="4535"/>
            <w:shd w:fill="FFFFFF" w:val="clear"/>
            <w:tcMar>
              <w:top w:w="90" w:type="dxa"/>
              <w:start w:w="115" w:type="dxa"/>
              <w:bottom w:w="90" w:type="dxa"/>
              <w:end w:w="115" w:type="dxa"/>
            </w:tcMar>
            <w:tcBorders>
              <w:bottom w:val="single" w:sz="4" w:color="D7E3E7"/>
            </w:tcBorders>
            <w:vAlign w:val="center"/>
          </w:tcPr>
          <w:p>
            <w:pPr>
              <w:pStyle w:val="TableText"/>
            </w:pPr>
            <w:r>
              <w:rPr>
                <w:sz w:val="20"/>
              </w:rPr>
              <w:t>L-idose</w:t>
            </w:r>
          </w:p>
        </w:tc>
      </w:tr>
    </w:tbl>
    <w:p>
      <w:pPr>
        <w:spacing w:after="20"/>
      </w:pPr>
    </w:p>
    <w:p>
      <w:pPr>
        <w:pStyle w:val="Small"/>
      </w:pPr>
      <w:r>
        <w:t>Si l’on ne restreint pas la recherche à la série D, l’inversion du seul C5 change aussi la série : l’épimère est alors le L-idose. Dans de nombreux exercices de L2, « les épimères du glucose » désigne les deux exemples classiques D-mannose et D-galactose ; il faut lire la restriction éventuelle de l’énoncé.</w:t>
      </w: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LE BON GESTE</w:t>
            </w:r>
          </w:p>
          <w:p>
            <w:pPr>
              <w:pStyle w:val="Callout"/>
              <w:spacing w:after="0"/>
            </w:pPr>
            <w:r>
              <w:t>Comparer les positions des OH, et non leur nombre. Inverser un centre signifie échanger H et OH autour de ce carbone dans une projection de Fischer correctement orientée.</w:t>
            </w:r>
          </w:p>
        </w:tc>
      </w:tr>
    </w:tbl>
    <w:p>
      <w:pPr>
        <w:spacing w:after="20"/>
      </w:pPr>
    </w:p>
    <w:p>
      <w:pPr>
        <w:pStyle w:val="Kicker"/>
        <w:pageBreakBefore/>
      </w:pPr>
      <w:r>
        <w:t>MODULE 4 • FERMER LE CYCLE</w:t>
      </w:r>
    </w:p>
    <w:p>
      <w:bookmarkStart w:id="18" w:name="cyclisation"/>
      <w:pPr>
        <w:pStyle w:val="Heading1"/>
      </w:pPr>
      <w:r>
        <w:t>8. Cyclisation et carbone anomérique</w:t>
      </w:r>
      <w:bookmarkEnd w:id="18"/>
    </w:p>
    <w:p>
      <w:r>
        <w:t>En solution, un ose peut subir l’addition intramoléculaire d’un OH sur son propre carbonyle. Un aldose forme un hémiacétal cyclique ; un cétose forme traditionnellement un hémicétal cyclique. Le carbone carbonyle devient alors tétraédrique et peut devenir chiral : c’est le carbone anomérique.</w:t>
      </w:r>
    </w:p>
    <w:p>
      <w:pPr>
        <w:keepNext/>
        <w:spacing w:before="60" w:after="20"/>
        <w:jc w:val="center"/>
      </w:pPr>
      <w:r>
        <w:drawing>
          <wp:inline xmlns:a="http://schemas.openxmlformats.org/drawingml/2006/main" xmlns:pic="http://schemas.openxmlformats.org/drawingml/2006/picture">
            <wp:extent cx="5976000" cy="2851922"/>
            <wp:docPr id="8" name="Picture 8"/>
            <wp:cNvGraphicFramePr>
              <a:graphicFrameLocks noChangeAspect="1"/>
            </wp:cNvGraphicFramePr>
            <a:graphic>
              <a:graphicData uri="http://schemas.openxmlformats.org/drawingml/2006/picture">
                <pic:pic>
                  <pic:nvPicPr>
                    <pic:cNvPr id="0" name="c07_cyclisation.png"/>
                    <pic:cNvPicPr/>
                  </pic:nvPicPr>
                  <pic:blipFill>
                    <a:blip r:embed="rId20"/>
                    <a:stretch>
                      <a:fillRect/>
                    </a:stretch>
                  </pic:blipFill>
                  <pic:spPr>
                    <a:xfrm>
                      <a:off x="0" y="0"/>
                      <a:ext cx="5976000" cy="2851922"/>
                    </a:xfrm>
                    <a:prstGeom prst="rect"/>
                  </pic:spPr>
                </pic:pic>
              </a:graphicData>
            </a:graphic>
          </wp:inline>
        </w:drawing>
      </w:r>
    </w:p>
    <w:p>
      <w:pPr>
        <w:pStyle w:val="Caption"/>
        <w:jc w:val="center"/>
      </w:pPr>
      <w:r>
        <w:t>Figure 7. Cyclisation du D-glucose. L’attaque du carbonyle peut conduire aux deux configurations anomériques ; leur interconversion passe par la forme ouverte.</w:t>
      </w:r>
    </w:p>
    <w:tbl>
      <w:tblPr>
        <w:tblW w:type="dxa" w:w="9639"/>
        <w:jc w:val="center"/>
        <w:tblLayout w:type="fixed"/>
        <w:tblLook w:firstColumn="1" w:firstRow="1" w:lastColumn="0" w:lastRow="0" w:noHBand="0" w:noVBand="1" w:val="04A0"/>
      </w:tblPr>
      <w:tblGrid>
        <w:gridCol w:w="1587"/>
        <w:gridCol w:w="3005"/>
        <w:gridCol w:w="3402"/>
        <w:gridCol w:w="1644"/>
      </w:tblGrid>
      <w:tr>
        <w:trPr>
          <w:tblHeader/>
          <w:cantSplit/>
        </w:trPr>
        <w:tc>
          <w:tcPr>
            <w:tcW w:type="dxa" w:w="1587"/>
            <w:shd w:fill="17324D" w:val="clear"/>
            <w:tcMar>
              <w:top w:w="100" w:type="dxa"/>
              <w:start w:w="115" w:type="dxa"/>
              <w:bottom w:w="100" w:type="dxa"/>
              <w:end w:w="115" w:type="dxa"/>
            </w:tcMar>
            <w:vAlign w:val="center"/>
          </w:tcPr>
          <w:p>
            <w:pPr>
              <w:pStyle w:val="TableText"/>
              <w:keepNext/>
            </w:pPr>
            <w:r>
              <w:rPr>
                <w:b/>
                <w:color w:val="FFFFFF"/>
                <w:sz w:val="19"/>
              </w:rPr>
              <w:t>Ose</w:t>
            </w:r>
          </w:p>
        </w:tc>
        <w:tc>
          <w:tcPr>
            <w:tcW w:type="dxa" w:w="3005"/>
            <w:shd w:fill="17324D" w:val="clear"/>
            <w:tcMar>
              <w:top w:w="100" w:type="dxa"/>
              <w:start w:w="115" w:type="dxa"/>
              <w:bottom w:w="100" w:type="dxa"/>
              <w:end w:w="115" w:type="dxa"/>
            </w:tcMar>
            <w:vAlign w:val="center"/>
          </w:tcPr>
          <w:p>
            <w:pPr>
              <w:pStyle w:val="TableText"/>
              <w:keepNext/>
            </w:pPr>
            <w:r>
              <w:rPr>
                <w:b/>
                <w:color w:val="FFFFFF"/>
                <w:sz w:val="19"/>
              </w:rPr>
              <w:t>Réaction intramoléculaire</w:t>
            </w:r>
          </w:p>
        </w:tc>
        <w:tc>
          <w:tcPr>
            <w:tcW w:type="dxa" w:w="3402"/>
            <w:shd w:fill="17324D" w:val="clear"/>
            <w:tcMar>
              <w:top w:w="100" w:type="dxa"/>
              <w:start w:w="115" w:type="dxa"/>
              <w:bottom w:w="100" w:type="dxa"/>
              <w:end w:w="115" w:type="dxa"/>
            </w:tcMar>
            <w:vAlign w:val="center"/>
          </w:tcPr>
          <w:p>
            <w:pPr>
              <w:pStyle w:val="TableText"/>
              <w:keepNext/>
            </w:pPr>
            <w:r>
              <w:rPr>
                <w:b/>
                <w:color w:val="FFFFFF"/>
                <w:sz w:val="19"/>
              </w:rPr>
              <w:t>Cycle obtenu</w:t>
            </w:r>
          </w:p>
        </w:tc>
        <w:tc>
          <w:tcPr>
            <w:tcW w:type="dxa" w:w="1644"/>
            <w:shd w:fill="17324D" w:val="clear"/>
            <w:tcMar>
              <w:top w:w="100" w:type="dxa"/>
              <w:start w:w="115" w:type="dxa"/>
              <w:bottom w:w="100" w:type="dxa"/>
              <w:end w:w="115" w:type="dxa"/>
            </w:tcMar>
            <w:vAlign w:val="center"/>
          </w:tcPr>
          <w:p>
            <w:pPr>
              <w:pStyle w:val="TableText"/>
              <w:keepNext/>
            </w:pPr>
            <w:r>
              <w:rPr>
                <w:b/>
                <w:color w:val="FFFFFF"/>
                <w:sz w:val="19"/>
              </w:rPr>
              <w:t>Carbone anomérique</w:t>
            </w:r>
          </w:p>
        </w:tc>
      </w:tr>
      <w:tr>
        <w:trPr>
          <w:cantSplit/>
        </w:trPr>
        <w:tc>
          <w:tcPr>
            <w:tcW w:type="dxa" w:w="1587"/>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D-glucose</w:t>
            </w:r>
          </w:p>
        </w:tc>
        <w:tc>
          <w:tcPr>
            <w:tcW w:type="dxa" w:w="3005"/>
            <w:shd w:fill="F4F8F9" w:val="clear"/>
            <w:tcMar>
              <w:top w:w="90" w:type="dxa"/>
              <w:start w:w="115" w:type="dxa"/>
              <w:bottom w:w="90" w:type="dxa"/>
              <w:end w:w="115" w:type="dxa"/>
            </w:tcMar>
            <w:tcBorders>
              <w:bottom w:val="single" w:sz="4" w:color="D7E3E7"/>
            </w:tcBorders>
            <w:vAlign w:val="center"/>
          </w:tcPr>
          <w:p>
            <w:pPr>
              <w:pStyle w:val="TableText"/>
            </w:pPr>
            <w:r>
              <w:rPr>
                <w:sz w:val="19"/>
              </w:rPr>
              <w:t>OH de C5 sur C1</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19"/>
              </w:rPr>
              <w:t>Glucopyranose : 6 atomes</w:t>
            </w:r>
          </w:p>
        </w:tc>
        <w:tc>
          <w:tcPr>
            <w:tcW w:type="dxa" w:w="1644"/>
            <w:shd w:fill="F4F8F9" w:val="clear"/>
            <w:tcMar>
              <w:top w:w="90" w:type="dxa"/>
              <w:start w:w="115" w:type="dxa"/>
              <w:bottom w:w="90" w:type="dxa"/>
              <w:end w:w="115" w:type="dxa"/>
            </w:tcMar>
            <w:tcBorders>
              <w:bottom w:val="single" w:sz="4" w:color="D7E3E7"/>
            </w:tcBorders>
            <w:vAlign w:val="center"/>
          </w:tcPr>
          <w:p>
            <w:pPr>
              <w:pStyle w:val="TableText"/>
            </w:pPr>
            <w:r>
              <w:rPr>
                <w:sz w:val="19"/>
              </w:rPr>
              <w:t>C1</w:t>
            </w:r>
          </w:p>
        </w:tc>
      </w:tr>
      <w:tr>
        <w:trPr>
          <w:cantSplit/>
        </w:trPr>
        <w:tc>
          <w:tcPr>
            <w:tcW w:type="dxa" w:w="1587"/>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D-fructose</w:t>
            </w:r>
          </w:p>
        </w:tc>
        <w:tc>
          <w:tcPr>
            <w:tcW w:type="dxa" w:w="3005"/>
            <w:shd w:fill="FFFFFF" w:val="clear"/>
            <w:tcMar>
              <w:top w:w="90" w:type="dxa"/>
              <w:start w:w="115" w:type="dxa"/>
              <w:bottom w:w="90" w:type="dxa"/>
              <w:end w:w="115" w:type="dxa"/>
            </w:tcMar>
            <w:tcBorders>
              <w:bottom w:val="single" w:sz="4" w:color="D7E3E7"/>
            </w:tcBorders>
            <w:vAlign w:val="center"/>
          </w:tcPr>
          <w:p>
            <w:pPr>
              <w:pStyle w:val="TableText"/>
            </w:pPr>
            <w:r>
              <w:rPr>
                <w:sz w:val="19"/>
              </w:rPr>
              <w:t>OH de C5 sur C2</w:t>
            </w:r>
          </w:p>
        </w:tc>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sz w:val="19"/>
              </w:rPr>
              <w:t>Fructofuranose : 5 atomes</w:t>
            </w:r>
          </w:p>
        </w:tc>
        <w:tc>
          <w:tcPr>
            <w:tcW w:type="dxa" w:w="1644"/>
            <w:shd w:fill="FFFFFF" w:val="clear"/>
            <w:tcMar>
              <w:top w:w="90" w:type="dxa"/>
              <w:start w:w="115" w:type="dxa"/>
              <w:bottom w:w="90" w:type="dxa"/>
              <w:end w:w="115" w:type="dxa"/>
            </w:tcMar>
            <w:tcBorders>
              <w:bottom w:val="single" w:sz="4" w:color="D7E3E7"/>
            </w:tcBorders>
            <w:vAlign w:val="center"/>
          </w:tcPr>
          <w:p>
            <w:pPr>
              <w:pStyle w:val="TableText"/>
            </w:pPr>
            <w:r>
              <w:rPr>
                <w:sz w:val="19"/>
              </w:rPr>
              <w:t>C2</w:t>
            </w:r>
          </w:p>
        </w:tc>
      </w:tr>
      <w:tr>
        <w:trPr>
          <w:cantSplit/>
        </w:trPr>
        <w:tc>
          <w:tcPr>
            <w:tcW w:type="dxa" w:w="1587"/>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D-fructose</w:t>
            </w:r>
          </w:p>
        </w:tc>
        <w:tc>
          <w:tcPr>
            <w:tcW w:type="dxa" w:w="3005"/>
            <w:shd w:fill="F4F8F9" w:val="clear"/>
            <w:tcMar>
              <w:top w:w="90" w:type="dxa"/>
              <w:start w:w="115" w:type="dxa"/>
              <w:bottom w:w="90" w:type="dxa"/>
              <w:end w:w="115" w:type="dxa"/>
            </w:tcMar>
            <w:tcBorders>
              <w:bottom w:val="single" w:sz="4" w:color="D7E3E7"/>
            </w:tcBorders>
            <w:vAlign w:val="center"/>
          </w:tcPr>
          <w:p>
            <w:pPr>
              <w:pStyle w:val="TableText"/>
            </w:pPr>
            <w:r>
              <w:rPr>
                <w:sz w:val="19"/>
              </w:rPr>
              <w:t>OH de C6 sur C2</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19"/>
              </w:rPr>
              <w:t>Fructopyranose : 6 atomes</w:t>
            </w:r>
          </w:p>
        </w:tc>
        <w:tc>
          <w:tcPr>
            <w:tcW w:type="dxa" w:w="1644"/>
            <w:shd w:fill="F4F8F9" w:val="clear"/>
            <w:tcMar>
              <w:top w:w="90" w:type="dxa"/>
              <w:start w:w="115" w:type="dxa"/>
              <w:bottom w:w="90" w:type="dxa"/>
              <w:end w:w="115" w:type="dxa"/>
            </w:tcMar>
            <w:tcBorders>
              <w:bottom w:val="single" w:sz="4" w:color="D7E3E7"/>
            </w:tcBorders>
            <w:vAlign w:val="center"/>
          </w:tcPr>
          <w:p>
            <w:pPr>
              <w:pStyle w:val="TableText"/>
            </w:pPr>
            <w:r>
              <w:rPr>
                <w:sz w:val="19"/>
              </w:rPr>
              <w:t>C2</w:t>
            </w:r>
          </w:p>
        </w:tc>
      </w:tr>
    </w:tbl>
    <w:p>
      <w:pPr>
        <w:spacing w:after="20"/>
      </w:pPr>
    </w:p>
    <w:p>
      <w:pPr>
        <w:pStyle w:val="Heading2"/>
      </w:pPr>
      <w:r>
        <w:t>Mutarotation</w:t>
      </w:r>
    </w:p>
    <w:p>
      <w:r>
        <w:t>Les formes α et β et la forme ouverte coexistent en équilibre. Une forme anomérique pure évolue vers cet équilibre en solution : la rotation optique change progressivement. C’est la mutarotation. Elle nécessite l’ouverture du cycle, donc un carbone anomérique libre de type hémiacétal ou hémicétal.</w:t>
      </w: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REPÈRE INVARIABLE</w:t>
            </w:r>
          </w:p>
          <w:p>
            <w:pPr>
              <w:pStyle w:val="Callout"/>
              <w:spacing w:after="0"/>
            </w:pPr>
            <w:r>
              <w:t>Le carbone anomérique n’est pas le numéro du carbone choisi au hasard : c’est celui qui portait la fonction carbonyle avant cyclisation.</w:t>
            </w:r>
          </w:p>
        </w:tc>
      </w:tr>
    </w:tbl>
    <w:p>
      <w:pPr>
        <w:spacing w:after="20"/>
      </w:pPr>
    </w:p>
    <w:p>
      <w:pPr>
        <w:pStyle w:val="Kicker"/>
        <w:pageBreakBefore/>
      </w:pPr>
      <w:r>
        <w:t>MODULE 4 • DESSINER</w:t>
      </w:r>
    </w:p>
    <w:p>
      <w:bookmarkStart w:id="19" w:name="haworth"/>
      <w:pPr>
        <w:pStyle w:val="Heading1"/>
      </w:pPr>
      <w:r>
        <w:t>9. De Fischer à Haworth : méthode</w:t>
      </w:r>
      <w:bookmarkEnd w:id="19"/>
    </w:p>
    <w:p>
      <w:r>
        <w:t>La projection de Haworth représente le cycle comme un polygone plan conventionnel. Elle indique les positions relatives des substituants, mais ne décrit pas la conformation tridimensionnelle réelle : les pyranoses adoptent notamment des conformations chaise.</w:t>
      </w:r>
    </w:p>
    <w:p>
      <w:pPr>
        <w:keepNext/>
        <w:spacing w:before="60" w:after="20"/>
        <w:jc w:val="center"/>
      </w:pPr>
      <w:r>
        <w:drawing>
          <wp:inline xmlns:a="http://schemas.openxmlformats.org/drawingml/2006/main" xmlns:pic="http://schemas.openxmlformats.org/drawingml/2006/picture">
            <wp:extent cx="5976000" cy="3048606"/>
            <wp:docPr id="9" name="Picture 9"/>
            <wp:cNvGraphicFramePr>
              <a:graphicFrameLocks noChangeAspect="1"/>
            </wp:cNvGraphicFramePr>
            <a:graphic>
              <a:graphicData uri="http://schemas.openxmlformats.org/drawingml/2006/picture">
                <pic:pic>
                  <pic:nvPicPr>
                    <pic:cNvPr id="0" name="c08_fischer_haworth.png"/>
                    <pic:cNvPicPr/>
                  </pic:nvPicPr>
                  <pic:blipFill>
                    <a:blip r:embed="rId21"/>
                    <a:stretch>
                      <a:fillRect/>
                    </a:stretch>
                  </pic:blipFill>
                  <pic:spPr>
                    <a:xfrm>
                      <a:off x="0" y="0"/>
                      <a:ext cx="5976000" cy="3048606"/>
                    </a:xfrm>
                    <a:prstGeom prst="rect"/>
                  </pic:spPr>
                </pic:pic>
              </a:graphicData>
            </a:graphic>
          </wp:inline>
        </w:drawing>
      </w:r>
    </w:p>
    <w:p>
      <w:pPr>
        <w:pStyle w:val="Caption"/>
        <w:jc w:val="center"/>
      </w:pPr>
      <w:r>
        <w:t>Figure 8. Méthode pour le D-glucose en orientation standard. Le OH de C5 intervient dans le cycle ; on ne le replace pas comme un OH libre.</w:t>
      </w:r>
    </w:p>
    <w:p>
      <w:pPr>
        <w:pStyle w:val="Heading2"/>
      </w:pPr>
      <w:r>
        <w:t>Les cinq étapes à automatiser</w:t>
      </w:r>
    </w:p>
    <w:p>
      <w:pPr>
        <w:pStyle w:val="ListBullet"/>
      </w:pPr>
      <w:r>
        <w:t>Identifier la fonction carbonyle et numéroter la chaîne ouverte.</w:t>
      </w:r>
    </w:p>
    <w:p>
      <w:pPr>
        <w:pStyle w:val="ListBullet"/>
      </w:pPr>
      <w:r>
        <w:t>Choisir le OH qui attaque : C5–OH donne ici un pyranose pour le glucose, un furanose pour le fructose.</w:t>
      </w:r>
    </w:p>
    <w:p>
      <w:pPr>
        <w:pStyle w:val="ListBullet"/>
      </w:pPr>
      <w:r>
        <w:t>Dessiner le cycle avec son oxygène et placer C1 pour le glucose, C2 pour le fructose.</w:t>
      </w:r>
    </w:p>
    <w:p>
      <w:pPr>
        <w:pStyle w:val="ListBullet"/>
      </w:pPr>
      <w:r>
        <w:t>Pour un D-ose orienté classiquement, placer le CH₂OH de référence vers le haut ; traduire droite → bas et gauche → haut aux centres conservés.</w:t>
      </w:r>
    </w:p>
    <w:p>
      <w:pPr>
        <w:pStyle w:val="ListBullet"/>
      </w:pPr>
      <w:r>
        <w:t>Choisir α ou β et placer le OH anomérique ; vérifier la numérotation et les substituants.</w:t>
      </w: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CONVENTION, PAS IDENTITÉ ABSOLUE</w:t>
            </w:r>
          </w:p>
          <w:p>
            <w:pPr>
              <w:pStyle w:val="Callout"/>
              <w:spacing w:after="0"/>
            </w:pPr>
            <w:r>
              <w:t>Dans l’orientation standard d’un D-ose : α = OH anomérique vers le bas ; β = vers le haut. Pour un L-ose, l’orientation du groupe de référence est inversée. Toujours revenir à la définition relative plutôt d’appliquer « bas/haut » sans vérifier l’orientation.</w:t>
            </w:r>
          </w:p>
        </w:tc>
      </w:tr>
    </w:tbl>
    <w:p>
      <w:pPr>
        <w:spacing w:after="20"/>
      </w:pPr>
    </w:p>
    <w:p>
      <w:pPr>
        <w:pStyle w:val="Kicker"/>
        <w:pageBreakBefore/>
      </w:pPr>
      <w:r>
        <w:t>MODULE 4 • CAS DU GLUCOSE</w:t>
      </w:r>
    </w:p>
    <w:p>
      <w:bookmarkStart w:id="20" w:name="anomeres_glucose"/>
      <w:pPr>
        <w:pStyle w:val="Heading1"/>
      </w:pPr>
      <w:r>
        <w:t>10. Les deux anomères du D-glucopyranose</w:t>
      </w:r>
      <w:bookmarkEnd w:id="20"/>
    </w:p>
    <w:p>
      <w:r>
        <w:t>Le D-glucose cyclisé par l’OH de C5 possède un cycle à six atomes : cinq carbones, C1 à C5, et un oxygène. C6 reste hors du cycle dans le groupe CH₂OH porté par C5.</w:t>
      </w:r>
    </w:p>
    <w:p>
      <w:pPr>
        <w:keepNext/>
        <w:spacing w:before="60" w:after="20"/>
        <w:jc w:val="center"/>
      </w:pPr>
      <w:r>
        <w:drawing>
          <wp:inline xmlns:a="http://schemas.openxmlformats.org/drawingml/2006/main" xmlns:pic="http://schemas.openxmlformats.org/drawingml/2006/picture">
            <wp:extent cx="5976000" cy="2734020"/>
            <wp:docPr id="10" name="Picture 10"/>
            <wp:cNvGraphicFramePr>
              <a:graphicFrameLocks noChangeAspect="1"/>
            </wp:cNvGraphicFramePr>
            <a:graphic>
              <a:graphicData uri="http://schemas.openxmlformats.org/drawingml/2006/picture">
                <pic:pic>
                  <pic:nvPicPr>
                    <pic:cNvPr id="0" name="c09_anomeres_glucose.png"/>
                    <pic:cNvPicPr/>
                  </pic:nvPicPr>
                  <pic:blipFill>
                    <a:blip r:embed="rId22"/>
                    <a:stretch>
                      <a:fillRect/>
                    </a:stretch>
                  </pic:blipFill>
                  <pic:spPr>
                    <a:xfrm>
                      <a:off x="0" y="0"/>
                      <a:ext cx="5976000" cy="2734020"/>
                    </a:xfrm>
                    <a:prstGeom prst="rect"/>
                  </pic:spPr>
                </pic:pic>
              </a:graphicData>
            </a:graphic>
          </wp:inline>
        </w:drawing>
      </w:r>
    </w:p>
    <w:p>
      <w:pPr>
        <w:pStyle w:val="Caption"/>
        <w:jc w:val="center"/>
      </w:pPr>
      <w:r>
        <w:t>Figure 9. α- et β-D-glucopyranose. Les configurations de C2, C3, C4 et C5 sont identiques ; seule celle de C1 change.</w:t>
      </w:r>
    </w:p>
    <w:tbl>
      <w:tblPr>
        <w:tblW w:type="dxa" w:w="9639"/>
        <w:jc w:val="center"/>
        <w:tblLayout w:type="fixed"/>
        <w:tblLook w:firstColumn="1" w:firstRow="1" w:lastColumn="0" w:lastRow="0" w:noHBand="0" w:noVBand="1" w:val="04A0"/>
      </w:tblPr>
      <w:tblGrid>
        <w:gridCol w:w="2835"/>
        <w:gridCol w:w="3402"/>
        <w:gridCol w:w="3402"/>
      </w:tblGrid>
      <w:tr>
        <w:trPr>
          <w:tblHeader/>
          <w:cantSplit/>
        </w:trPr>
        <w:tc>
          <w:tcPr>
            <w:tcW w:type="dxa" w:w="2835"/>
            <w:shd w:fill="17324D" w:val="clear"/>
            <w:tcMar>
              <w:top w:w="100" w:type="dxa"/>
              <w:start w:w="115" w:type="dxa"/>
              <w:bottom w:w="100" w:type="dxa"/>
              <w:end w:w="115" w:type="dxa"/>
            </w:tcMar>
            <w:vAlign w:val="center"/>
          </w:tcPr>
          <w:p>
            <w:pPr>
              <w:pStyle w:val="TableText"/>
              <w:keepNext/>
            </w:pPr>
            <w:r>
              <w:rPr>
                <w:b/>
                <w:color w:val="FFFFFF"/>
                <w:sz w:val="20"/>
              </w:rPr>
              <w:t>Position</w:t>
            </w:r>
          </w:p>
        </w:tc>
        <w:tc>
          <w:tcPr>
            <w:tcW w:type="dxa" w:w="3402"/>
            <w:shd w:fill="17324D" w:val="clear"/>
            <w:tcMar>
              <w:top w:w="100" w:type="dxa"/>
              <w:start w:w="115" w:type="dxa"/>
              <w:bottom w:w="100" w:type="dxa"/>
              <w:end w:w="115" w:type="dxa"/>
            </w:tcMar>
            <w:vAlign w:val="center"/>
          </w:tcPr>
          <w:p>
            <w:pPr>
              <w:pStyle w:val="TableText"/>
              <w:keepNext/>
            </w:pPr>
            <w:r>
              <w:rPr>
                <w:b/>
                <w:color w:val="FFFFFF"/>
                <w:sz w:val="20"/>
              </w:rPr>
              <w:t>α-D-glucopyranose</w:t>
            </w:r>
          </w:p>
        </w:tc>
        <w:tc>
          <w:tcPr>
            <w:tcW w:type="dxa" w:w="3402"/>
            <w:shd w:fill="17324D" w:val="clear"/>
            <w:tcMar>
              <w:top w:w="100" w:type="dxa"/>
              <w:start w:w="115" w:type="dxa"/>
              <w:bottom w:w="100" w:type="dxa"/>
              <w:end w:w="115" w:type="dxa"/>
            </w:tcMar>
            <w:vAlign w:val="center"/>
          </w:tcPr>
          <w:p>
            <w:pPr>
              <w:pStyle w:val="TableText"/>
              <w:keepNext/>
            </w:pPr>
            <w:r>
              <w:rPr>
                <w:b/>
                <w:color w:val="FFFFFF"/>
                <w:sz w:val="20"/>
              </w:rPr>
              <w:t>β-D-glucopyranose</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OH en C1</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20"/>
              </w:rPr>
              <w:t>Bas</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20"/>
              </w:rPr>
              <w:t>Haut</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OH en C2</w:t>
            </w:r>
          </w:p>
        </w:tc>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sz w:val="20"/>
              </w:rPr>
              <w:t>Bas</w:t>
            </w:r>
          </w:p>
        </w:tc>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sz w:val="20"/>
              </w:rPr>
              <w:t>Bas</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OH en C3</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20"/>
              </w:rPr>
              <w:t>Haut</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20"/>
              </w:rPr>
              <w:t>Haut</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OH en C4</w:t>
            </w:r>
          </w:p>
        </w:tc>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sz w:val="20"/>
              </w:rPr>
              <w:t>Bas</w:t>
            </w:r>
          </w:p>
        </w:tc>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sz w:val="20"/>
              </w:rPr>
              <w:t>Bas</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CH₂OH en C5 (C6)</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20"/>
              </w:rPr>
              <w:t>Haut</w:t>
            </w:r>
          </w:p>
        </w:tc>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sz w:val="20"/>
              </w:rPr>
              <w:t>Haut</w:t>
            </w:r>
          </w:p>
        </w:tc>
      </w:tr>
    </w:tbl>
    <w:p>
      <w:pPr>
        <w:spacing w:after="20"/>
      </w:pP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LIRE UN NOM COMPLET</w:t>
            </w:r>
          </w:p>
          <w:p>
            <w:pPr>
              <w:pStyle w:val="Callout"/>
              <w:spacing w:after="0"/>
            </w:pPr>
            <w:r>
              <w:t>α et β sont des configurations, pas des tailles de cycle. Les deux noms ci-dessus contiennent « pyranose » : ils désignent le même type de cycle. α/β n’indique pas non plus la série D/L.</w:t>
            </w:r>
          </w:p>
        </w:tc>
      </w:tr>
    </w:tbl>
    <w:p>
      <w:pPr>
        <w:spacing w:after="20"/>
      </w:pPr>
    </w:p>
    <w:p>
      <w:pPr>
        <w:pStyle w:val="Small"/>
      </w:pPr>
      <w:r>
        <w:t>Le carbone anomérique libre peut retrouver la fonction carbonyle par ouverture du cycle. Le glucose est donc un sucre réducteur et peut présenter une mutarotation.</w:t>
      </w:r>
    </w:p>
    <w:p>
      <w:pPr>
        <w:pStyle w:val="Kicker"/>
        <w:pageBreakBefore/>
      </w:pPr>
      <w:r>
        <w:t>MODULE 4 • CAS DU FRUCTOSE</w:t>
      </w:r>
    </w:p>
    <w:p>
      <w:bookmarkStart w:id="21" w:name="anomeres_fructose"/>
      <w:pPr>
        <w:pStyle w:val="Heading1"/>
      </w:pPr>
      <w:r>
        <w:t>11. Anomérie et taille du cycle</w:t>
      </w:r>
      <w:bookmarkEnd w:id="21"/>
    </w:p>
    <w:p>
      <w:r>
        <w:t>Le carbone anomérique du fructose est C2. Dans le fructofuranose, le cycle contient C2, C3, C4, C5 et O. Les groupes C1–CH₂OH et C6–CH₂OH restent hors du cycle.</w:t>
      </w:r>
    </w:p>
    <w:p>
      <w:pPr>
        <w:keepNext/>
        <w:spacing w:before="60" w:after="20"/>
        <w:jc w:val="center"/>
      </w:pPr>
      <w:r>
        <w:drawing>
          <wp:inline xmlns:a="http://schemas.openxmlformats.org/drawingml/2006/main" xmlns:pic="http://schemas.openxmlformats.org/drawingml/2006/picture">
            <wp:extent cx="5220000" cy="2388150"/>
            <wp:docPr id="11" name="Picture 11"/>
            <wp:cNvGraphicFramePr>
              <a:graphicFrameLocks noChangeAspect="1"/>
            </wp:cNvGraphicFramePr>
            <a:graphic>
              <a:graphicData uri="http://schemas.openxmlformats.org/drawingml/2006/picture">
                <pic:pic>
                  <pic:nvPicPr>
                    <pic:cNvPr id="0" name="c09b_anomeres_fructose.png"/>
                    <pic:cNvPicPr/>
                  </pic:nvPicPr>
                  <pic:blipFill>
                    <a:blip r:embed="rId23"/>
                    <a:stretch>
                      <a:fillRect/>
                    </a:stretch>
                  </pic:blipFill>
                  <pic:spPr>
                    <a:xfrm>
                      <a:off x="0" y="0"/>
                      <a:ext cx="5220000" cy="2388150"/>
                    </a:xfrm>
                    <a:prstGeom prst="rect"/>
                  </pic:spPr>
                </pic:pic>
              </a:graphicData>
            </a:graphic>
          </wp:inline>
        </w:drawing>
      </w:r>
    </w:p>
    <w:p>
      <w:pPr>
        <w:pStyle w:val="Caption"/>
        <w:jc w:val="center"/>
      </w:pPr>
      <w:r>
        <w:t>Figure 10. Anomères du D-fructofuranose : seule la configuration de C2 change.</w:t>
      </w:r>
    </w:p>
    <w:p>
      <w:pPr>
        <w:keepNext/>
        <w:spacing w:before="60" w:after="20"/>
        <w:jc w:val="center"/>
      </w:pPr>
      <w:r>
        <w:drawing>
          <wp:inline xmlns:a="http://schemas.openxmlformats.org/drawingml/2006/main" xmlns:pic="http://schemas.openxmlformats.org/drawingml/2006/picture">
            <wp:extent cx="5400000" cy="2357979"/>
            <wp:docPr id="12" name="Picture 12"/>
            <wp:cNvGraphicFramePr>
              <a:graphicFrameLocks noChangeAspect="1"/>
            </wp:cNvGraphicFramePr>
            <a:graphic>
              <a:graphicData uri="http://schemas.openxmlformats.org/drawingml/2006/picture">
                <pic:pic>
                  <pic:nvPicPr>
                    <pic:cNvPr id="0" name="c10_fructose_cycles.png"/>
                    <pic:cNvPicPr/>
                  </pic:nvPicPr>
                  <pic:blipFill>
                    <a:blip r:embed="rId24"/>
                    <a:stretch>
                      <a:fillRect/>
                    </a:stretch>
                  </pic:blipFill>
                  <pic:spPr>
                    <a:xfrm>
                      <a:off x="0" y="0"/>
                      <a:ext cx="5400000" cy="2357979"/>
                    </a:xfrm>
                    <a:prstGeom prst="rect"/>
                  </pic:spPr>
                </pic:pic>
              </a:graphicData>
            </a:graphic>
          </wp:inline>
        </w:drawing>
      </w:r>
    </w:p>
    <w:p>
      <w:pPr>
        <w:pStyle w:val="Caption"/>
        <w:jc w:val="center"/>
      </w:pPr>
      <w:r>
        <w:t>Figure 11. Dans le fructopyranose, C6 appartient au cycle ; ce n’est plus un substituant CH₂OH.</w:t>
      </w:r>
    </w:p>
    <w:tbl>
      <w:tblPr>
        <w:tblW w:type="dxa" w:w="9639"/>
        <w:jc w:val="center"/>
        <w:tblLayout w:type="fixed"/>
        <w:tblLook w:firstColumn="1" w:firstRow="1" w:lastColumn="0" w:lastRow="0" w:noHBand="0" w:noVBand="1" w:val="04A0"/>
      </w:tblPr>
      <w:tblGrid>
        <w:gridCol w:w="3402"/>
        <w:gridCol w:w="6236"/>
      </w:tblGrid>
      <w:tr>
        <w:trPr>
          <w:tblHeader/>
          <w:cantSplit/>
        </w:trPr>
        <w:tc>
          <w:tcPr>
            <w:tcW w:type="dxa" w:w="3402"/>
            <w:shd w:fill="17324D" w:val="clear"/>
            <w:tcMar>
              <w:top w:w="100" w:type="dxa"/>
              <w:start w:w="115" w:type="dxa"/>
              <w:bottom w:w="100" w:type="dxa"/>
              <w:end w:w="115" w:type="dxa"/>
            </w:tcMar>
            <w:vAlign w:val="center"/>
          </w:tcPr>
          <w:p>
            <w:pPr>
              <w:pStyle w:val="TableText"/>
              <w:keepNext/>
            </w:pPr>
            <w:r>
              <w:rPr>
                <w:b/>
                <w:color w:val="FFFFFF"/>
                <w:sz w:val="19"/>
              </w:rPr>
              <w:t>Repère en orientation standard</w:t>
            </w:r>
          </w:p>
        </w:tc>
        <w:tc>
          <w:tcPr>
            <w:tcW w:type="dxa" w:w="6236"/>
            <w:shd w:fill="17324D" w:val="clear"/>
            <w:tcMar>
              <w:top w:w="100" w:type="dxa"/>
              <w:start w:w="115" w:type="dxa"/>
              <w:bottom w:w="100" w:type="dxa"/>
              <w:end w:w="115" w:type="dxa"/>
            </w:tcMar>
            <w:vAlign w:val="center"/>
          </w:tcPr>
          <w:p>
            <w:pPr>
              <w:pStyle w:val="TableText"/>
              <w:keepNext/>
            </w:pPr>
            <w:r>
              <w:rPr>
                <w:b/>
                <w:color w:val="FFFFFF"/>
                <w:sz w:val="19"/>
              </w:rPr>
              <w:t>β-D-fructofuranose</w:t>
            </w:r>
          </w:p>
        </w:tc>
      </w:tr>
      <w:tr>
        <w:trPr>
          <w:cantSplit/>
        </w:trPr>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C2</w:t>
            </w:r>
          </w:p>
        </w:tc>
        <w:tc>
          <w:tcPr>
            <w:tcW w:type="dxa" w:w="6236"/>
            <w:shd w:fill="F4F8F9" w:val="clear"/>
            <w:tcMar>
              <w:top w:w="90" w:type="dxa"/>
              <w:start w:w="115" w:type="dxa"/>
              <w:bottom w:w="90" w:type="dxa"/>
              <w:end w:w="115" w:type="dxa"/>
            </w:tcMar>
            <w:tcBorders>
              <w:bottom w:val="single" w:sz="4" w:color="D7E3E7"/>
            </w:tcBorders>
            <w:vAlign w:val="center"/>
          </w:tcPr>
          <w:p>
            <w:pPr>
              <w:pStyle w:val="TableText"/>
            </w:pPr>
            <w:r>
              <w:rPr>
                <w:sz w:val="19"/>
              </w:rPr>
              <w:t>OH vers le haut ; CH₂OH de C1 vers le bas</w:t>
            </w:r>
          </w:p>
        </w:tc>
      </w:tr>
      <w:tr>
        <w:trPr>
          <w:cantSplit/>
        </w:trPr>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19"/>
              </w:rPr>
              <w:t>C3 / C4</w:t>
            </w:r>
          </w:p>
        </w:tc>
        <w:tc>
          <w:tcPr>
            <w:tcW w:type="dxa" w:w="6236"/>
            <w:shd w:fill="FFFFFF" w:val="clear"/>
            <w:tcMar>
              <w:top w:w="90" w:type="dxa"/>
              <w:start w:w="115" w:type="dxa"/>
              <w:bottom w:w="90" w:type="dxa"/>
              <w:end w:w="115" w:type="dxa"/>
            </w:tcMar>
            <w:tcBorders>
              <w:bottom w:val="single" w:sz="4" w:color="D7E3E7"/>
            </w:tcBorders>
            <w:vAlign w:val="center"/>
          </w:tcPr>
          <w:p>
            <w:pPr>
              <w:pStyle w:val="TableText"/>
            </w:pPr>
            <w:r>
              <w:rPr>
                <w:sz w:val="19"/>
              </w:rPr>
              <w:t>OH de C3 vers le haut ; OH de C4 vers le bas</w:t>
            </w:r>
          </w:p>
        </w:tc>
      </w:tr>
      <w:tr>
        <w:trPr>
          <w:cantSplit/>
        </w:trPr>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19"/>
              </w:rPr>
              <w:t>C5</w:t>
            </w:r>
          </w:p>
        </w:tc>
        <w:tc>
          <w:tcPr>
            <w:tcW w:type="dxa" w:w="6236"/>
            <w:shd w:fill="F4F8F9" w:val="clear"/>
            <w:tcMar>
              <w:top w:w="90" w:type="dxa"/>
              <w:start w:w="115" w:type="dxa"/>
              <w:bottom w:w="90" w:type="dxa"/>
              <w:end w:w="115" w:type="dxa"/>
            </w:tcMar>
            <w:tcBorders>
              <w:bottom w:val="single" w:sz="4" w:color="D7E3E7"/>
            </w:tcBorders>
            <w:vAlign w:val="center"/>
          </w:tcPr>
          <w:p>
            <w:pPr>
              <w:pStyle w:val="TableText"/>
            </w:pPr>
            <w:r>
              <w:rPr>
                <w:sz w:val="19"/>
              </w:rPr>
              <w:t>CH₂OH de C6 vers le haut</w:t>
            </w:r>
          </w:p>
        </w:tc>
      </w:tr>
    </w:tbl>
    <w:p>
      <w:pPr>
        <w:spacing w:after="20"/>
      </w:pPr>
    </w:p>
    <w:p>
      <w:pPr>
        <w:pStyle w:val="Small"/>
        <w:spacing w:before="80"/>
      </w:pPr>
      <w:r>
        <w:t>À retenir : furanose/pyranose précise la taille du cycle ; α/β précise la configuration en C2. Ce sont deux informations indépendantes.</w:t>
      </w:r>
    </w:p>
    <w:p>
      <w:pPr>
        <w:pStyle w:val="Kicker"/>
        <w:pageBreakBefore/>
      </w:pPr>
      <w:r>
        <w:t>MODULE 5 • RELIER DEUX OSES</w:t>
      </w:r>
    </w:p>
    <w:p>
      <w:bookmarkStart w:id="22" w:name="liaison"/>
      <w:pPr>
        <w:pStyle w:val="Heading1"/>
      </w:pPr>
      <w:r>
        <w:t>12. La liaison osidique</w:t>
      </w:r>
      <w:bookmarkEnd w:id="22"/>
    </w:p>
    <w:p>
      <w:r>
        <w:t>Une liaison osidique est une liaison C–O–C impliquant le carbone anomérique d’au moins un ose. Elle transforme la fonction hémiacétal ou hémicétal de ce donneur en acétal ou cétal. L’autre partenaire fournit un OH accepteur, qui peut être anomérique ou non.</w:t>
      </w:r>
    </w:p>
    <w:p>
      <w:pPr>
        <w:keepNext/>
        <w:spacing w:before="60" w:after="20"/>
        <w:jc w:val="center"/>
      </w:pPr>
      <w:r>
        <w:drawing>
          <wp:inline xmlns:a="http://schemas.openxmlformats.org/drawingml/2006/main" xmlns:pic="http://schemas.openxmlformats.org/drawingml/2006/picture">
            <wp:extent cx="5976000" cy="1973703"/>
            <wp:docPr id="13" name="Picture 13"/>
            <wp:cNvGraphicFramePr>
              <a:graphicFrameLocks noChangeAspect="1"/>
            </wp:cNvGraphicFramePr>
            <a:graphic>
              <a:graphicData uri="http://schemas.openxmlformats.org/drawingml/2006/picture">
                <pic:pic>
                  <pic:nvPicPr>
                    <pic:cNvPr id="0" name="c13_liaison.png"/>
                    <pic:cNvPicPr/>
                  </pic:nvPicPr>
                  <pic:blipFill>
                    <a:blip r:embed="rId25"/>
                    <a:stretch>
                      <a:fillRect/>
                    </a:stretch>
                  </pic:blipFill>
                  <pic:spPr>
                    <a:xfrm>
                      <a:off x="0" y="0"/>
                      <a:ext cx="5976000" cy="1973703"/>
                    </a:xfrm>
                    <a:prstGeom prst="rect"/>
                  </pic:spPr>
                </pic:pic>
              </a:graphicData>
            </a:graphic>
          </wp:inline>
        </w:drawing>
      </w:r>
    </w:p>
    <w:p>
      <w:pPr>
        <w:pStyle w:val="Caption"/>
        <w:jc w:val="center"/>
      </w:pPr>
      <w:r>
        <w:t>Figure 12. Bilan formel de condensation entre deux OH. La perte d’eau est un bilan, pas la description du mécanisme biosynthétique cellulaire.</w:t>
      </w:r>
    </w:p>
    <w:p>
      <w:pPr>
        <w:pStyle w:val="Equation"/>
      </w:pPr>
      <w:r>
        <w:t>2 C₆H₁₂O₆ → C₁₂H₂₂O₁₁ + H₂O</w:t>
      </w:r>
    </w:p>
    <w:p>
      <w:pPr>
        <w:pStyle w:val="Heading2"/>
      </w:pPr>
      <w:r>
        <w:t>Lire une notation complète</w:t>
      </w:r>
    </w:p>
    <w:p>
      <w:r>
        <w:t>α-D-glucopyranosyl-(1→4)-D-glucopyranose se lit ainsi : le donneur est un glucose de série D, sous forme pyranose, de configuration α en C1 ; son C1 est relié au OH de C4 du second glucose. Le suffixe « -osyl » identifie l’unité donneuse engagée dans la liaison.</w:t>
      </w:r>
    </w:p>
    <w:tbl>
      <w:tblPr>
        <w:tblW w:type="dxa" w:w="9639"/>
        <w:jc w:val="center"/>
        <w:tblLayout w:type="fixed"/>
        <w:tblLook w:firstColumn="1" w:firstRow="1" w:lastColumn="0" w:lastRow="0" w:noHBand="0" w:noVBand="1" w:val="04A0"/>
      </w:tblPr>
      <w:tblGrid>
        <w:gridCol w:w="3402"/>
        <w:gridCol w:w="6236"/>
      </w:tblGrid>
      <w:tr>
        <w:trPr>
          <w:tblHeader/>
          <w:cantSplit/>
        </w:trPr>
        <w:tc>
          <w:tcPr>
            <w:tcW w:type="dxa" w:w="3402"/>
            <w:shd w:fill="17324D" w:val="clear"/>
            <w:tcMar>
              <w:top w:w="100" w:type="dxa"/>
              <w:start w:w="115" w:type="dxa"/>
              <w:bottom w:w="100" w:type="dxa"/>
              <w:end w:w="115" w:type="dxa"/>
            </w:tcMar>
            <w:vAlign w:val="center"/>
          </w:tcPr>
          <w:p>
            <w:pPr>
              <w:pStyle w:val="TableText"/>
              <w:keepNext/>
            </w:pPr>
            <w:r>
              <w:rPr>
                <w:b/>
                <w:color w:val="FFFFFF"/>
                <w:sz w:val="20"/>
              </w:rPr>
              <w:t>OH accepteur</w:t>
            </w:r>
          </w:p>
        </w:tc>
        <w:tc>
          <w:tcPr>
            <w:tcW w:type="dxa" w:w="6236"/>
            <w:shd w:fill="17324D" w:val="clear"/>
            <w:tcMar>
              <w:top w:w="100" w:type="dxa"/>
              <w:start w:w="115" w:type="dxa"/>
              <w:bottom w:w="100" w:type="dxa"/>
              <w:end w:w="115" w:type="dxa"/>
            </w:tcMar>
            <w:vAlign w:val="center"/>
          </w:tcPr>
          <w:p>
            <w:pPr>
              <w:pStyle w:val="TableText"/>
              <w:keepNext/>
            </w:pPr>
            <w:r>
              <w:rPr>
                <w:b/>
                <w:color w:val="FFFFFF"/>
                <w:sz w:val="20"/>
              </w:rPr>
              <w:t>Conséquence sur l’extrémité accepteuse</w:t>
            </w:r>
          </w:p>
        </w:tc>
      </w:tr>
      <w:tr>
        <w:trPr>
          <w:cantSplit/>
        </w:trPr>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OH alcoolique non anomérique</w:t>
            </w:r>
          </w:p>
        </w:tc>
        <w:tc>
          <w:tcPr>
            <w:tcW w:type="dxa" w:w="6236"/>
            <w:shd w:fill="F4F8F9" w:val="clear"/>
            <w:tcMar>
              <w:top w:w="90" w:type="dxa"/>
              <w:start w:w="115" w:type="dxa"/>
              <w:bottom w:w="90" w:type="dxa"/>
              <w:end w:w="115" w:type="dxa"/>
            </w:tcMar>
            <w:tcBorders>
              <w:bottom w:val="single" w:sz="4" w:color="D7E3E7"/>
            </w:tcBorders>
            <w:vAlign w:val="center"/>
          </w:tcPr>
          <w:p>
            <w:pPr>
              <w:pStyle w:val="TableText"/>
            </w:pPr>
            <w:r>
              <w:rPr>
                <w:sz w:val="20"/>
              </w:rPr>
              <w:t>Son carbone anomérique peut rester libre : diholoside réducteur.</w:t>
            </w:r>
          </w:p>
        </w:tc>
      </w:tr>
      <w:tr>
        <w:trPr>
          <w:cantSplit/>
        </w:trPr>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OH anomérique</w:t>
            </w:r>
          </w:p>
        </w:tc>
        <w:tc>
          <w:tcPr>
            <w:tcW w:type="dxa" w:w="6236"/>
            <w:shd w:fill="FFFFFF" w:val="clear"/>
            <w:tcMar>
              <w:top w:w="90" w:type="dxa"/>
              <w:start w:w="115" w:type="dxa"/>
              <w:bottom w:w="90" w:type="dxa"/>
              <w:end w:w="115" w:type="dxa"/>
            </w:tcMar>
            <w:tcBorders>
              <w:bottom w:val="single" w:sz="4" w:color="D7E3E7"/>
            </w:tcBorders>
            <w:vAlign w:val="center"/>
          </w:tcPr>
          <w:p>
            <w:pPr>
              <w:pStyle w:val="TableText"/>
            </w:pPr>
            <w:r>
              <w:rPr>
                <w:sz w:val="20"/>
              </w:rPr>
              <w:t>Les deux carbones anomériques sont bloqués : diholoside non réducteur.</w:t>
            </w:r>
          </w:p>
        </w:tc>
      </w:tr>
    </w:tbl>
    <w:p>
      <w:pPr>
        <w:spacing w:after="20"/>
      </w:pP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CHIMIE FORMELLE ET BIOLOGIE</w:t>
            </w:r>
          </w:p>
          <w:p>
            <w:pPr>
              <w:pStyle w:val="Callout"/>
              <w:spacing w:after="0"/>
            </w:pPr>
            <w:r>
              <w:t>Dans une biosynthèse, des sucres activés et des enzymes spécifiques assurent la formation de la liaison avec une stéréochimie contrôlée. Le schéma « deux oses − eau » ne prétend pas reproduire ce mécanisme.</w:t>
            </w:r>
          </w:p>
        </w:tc>
      </w:tr>
    </w:tbl>
    <w:p>
      <w:pPr>
        <w:spacing w:after="20"/>
      </w:pPr>
    </w:p>
    <w:p>
      <w:pPr>
        <w:pStyle w:val="Kicker"/>
        <w:pageBreakBefore/>
      </w:pPr>
      <w:r>
        <w:t>MODULE 5 • DIHOLOSIDE 1</w:t>
      </w:r>
    </w:p>
    <w:p>
      <w:bookmarkStart w:id="23" w:name="saccharose"/>
      <w:pPr>
        <w:pStyle w:val="Heading1"/>
      </w:pPr>
      <w:r>
        <w:t>12.1 Le saccharose</w:t>
      </w:r>
      <w:bookmarkEnd w:id="23"/>
    </w:p>
    <w:p>
      <w:r>
        <w:t>Le saccharose associe une unité α-D-glucopyranose et une unité β-D-fructofuranose par leurs deux carbones anomériques : C1 pour le glucose et C2 pour le fructose.</w:t>
      </w:r>
    </w:p>
    <w:p>
      <w:pPr>
        <w:keepNext/>
        <w:spacing w:before="60" w:after="20"/>
        <w:jc w:val="center"/>
      </w:pPr>
      <w:r>
        <w:drawing>
          <wp:inline xmlns:a="http://schemas.openxmlformats.org/drawingml/2006/main" xmlns:pic="http://schemas.openxmlformats.org/drawingml/2006/picture">
            <wp:extent cx="5976000" cy="2705552"/>
            <wp:docPr id="14" name="Picture 14"/>
            <wp:cNvGraphicFramePr>
              <a:graphicFrameLocks noChangeAspect="1"/>
            </wp:cNvGraphicFramePr>
            <a:graphic>
              <a:graphicData uri="http://schemas.openxmlformats.org/drawingml/2006/picture">
                <pic:pic>
                  <pic:nvPicPr>
                    <pic:cNvPr id="0" name="c11_saccharose.png"/>
                    <pic:cNvPicPr/>
                  </pic:nvPicPr>
                  <pic:blipFill>
                    <a:blip r:embed="rId26"/>
                    <a:stretch>
                      <a:fillRect/>
                    </a:stretch>
                  </pic:blipFill>
                  <pic:spPr>
                    <a:xfrm>
                      <a:off x="0" y="0"/>
                      <a:ext cx="5976000" cy="2705552"/>
                    </a:xfrm>
                    <a:prstGeom prst="rect"/>
                  </pic:spPr>
                </pic:pic>
              </a:graphicData>
            </a:graphic>
          </wp:inline>
        </w:drawing>
      </w:r>
    </w:p>
    <w:p>
      <w:pPr>
        <w:pStyle w:val="Caption"/>
        <w:jc w:val="center"/>
      </w:pPr>
      <w:r>
        <w:t>Figure 13. Saccharose. Le cycle fructose a été tourné de 180° dans le plan pour rapprocher les deux carbones engagés ; cette rotation ne change pas sa configuration.</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NOM À SAVOIR DÉCODER</w:t>
            </w:r>
          </w:p>
          <w:p>
            <w:pPr>
              <w:pStyle w:val="Callout"/>
              <w:spacing w:after="0"/>
            </w:pPr>
            <w:r>
              <w:t>Nom systématique : α-D-glucopyranosyl-(1↔2)-β-D-fructofuranoside.</w:t>
              <w:br/>
              <w:t>Notation abrégée : α-D-Glcp-(1↔2)-β-D-Fruf.</w:t>
            </w:r>
          </w:p>
        </w:tc>
      </w:tr>
    </w:tbl>
    <w:p>
      <w:pPr>
        <w:spacing w:after="20"/>
      </w:pPr>
    </w:p>
    <w:tbl>
      <w:tblPr>
        <w:tblW w:type="dxa" w:w="9639"/>
        <w:jc w:val="center"/>
        <w:tblLayout w:type="fixed"/>
        <w:tblLook w:firstColumn="1" w:firstRow="1" w:lastColumn="0" w:lastRow="0" w:noHBand="0" w:noVBand="1" w:val="04A0"/>
      </w:tblPr>
      <w:tblGrid>
        <w:gridCol w:w="2381"/>
        <w:gridCol w:w="7257"/>
      </w:tblGrid>
      <w:tr>
        <w:trPr>
          <w:tblHeader/>
          <w:cantSplit/>
        </w:trPr>
        <w:tc>
          <w:tcPr>
            <w:tcW w:type="dxa" w:w="2381"/>
            <w:shd w:fill="17324D" w:val="clear"/>
            <w:tcMar>
              <w:top w:w="100" w:type="dxa"/>
              <w:start w:w="115" w:type="dxa"/>
              <w:bottom w:w="100" w:type="dxa"/>
              <w:end w:w="115" w:type="dxa"/>
            </w:tcMar>
            <w:vAlign w:val="center"/>
          </w:tcPr>
          <w:p>
            <w:pPr>
              <w:pStyle w:val="TableText"/>
              <w:keepNext/>
            </w:pPr>
            <w:r>
              <w:rPr>
                <w:b/>
                <w:color w:val="FFFFFF"/>
                <w:sz w:val="20"/>
              </w:rPr>
              <w:t>Question</w:t>
            </w:r>
          </w:p>
        </w:tc>
        <w:tc>
          <w:tcPr>
            <w:tcW w:type="dxa" w:w="7257"/>
            <w:shd w:fill="17324D" w:val="clear"/>
            <w:tcMar>
              <w:top w:w="100" w:type="dxa"/>
              <w:start w:w="115" w:type="dxa"/>
              <w:bottom w:w="100" w:type="dxa"/>
              <w:end w:w="115" w:type="dxa"/>
            </w:tcMar>
            <w:vAlign w:val="center"/>
          </w:tcPr>
          <w:p>
            <w:pPr>
              <w:pStyle w:val="TableText"/>
              <w:keepNext/>
            </w:pPr>
            <w:r>
              <w:rPr>
                <w:b/>
                <w:color w:val="FFFFFF"/>
                <w:sz w:val="20"/>
              </w:rPr>
              <w:t>Réponse argumentée</w:t>
            </w:r>
          </w:p>
        </w:tc>
      </w:tr>
      <w:tr>
        <w:trPr>
          <w:cantSplit/>
        </w:trPr>
        <w:tc>
          <w:tcPr>
            <w:tcW w:type="dxa" w:w="238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Quels oses ?</w:t>
            </w:r>
          </w:p>
        </w:tc>
        <w:tc>
          <w:tcPr>
            <w:tcW w:type="dxa" w:w="7257"/>
            <w:shd w:fill="F4F8F9" w:val="clear"/>
            <w:tcMar>
              <w:top w:w="90" w:type="dxa"/>
              <w:start w:w="115" w:type="dxa"/>
              <w:bottom w:w="90" w:type="dxa"/>
              <w:end w:w="115" w:type="dxa"/>
            </w:tcMar>
            <w:tcBorders>
              <w:bottom w:val="single" w:sz="4" w:color="D7E3E7"/>
            </w:tcBorders>
            <w:vAlign w:val="center"/>
          </w:tcPr>
          <w:p>
            <w:pPr>
              <w:pStyle w:val="TableText"/>
            </w:pPr>
            <w:r>
              <w:rPr>
                <w:sz w:val="20"/>
              </w:rPr>
              <w:t>D-glucose + D-fructose</w:t>
            </w:r>
          </w:p>
        </w:tc>
      </w:tr>
      <w:tr>
        <w:trPr>
          <w:cantSplit/>
        </w:trPr>
        <w:tc>
          <w:tcPr>
            <w:tcW w:type="dxa" w:w="2381"/>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Quelle liaison ?</w:t>
            </w:r>
          </w:p>
        </w:tc>
        <w:tc>
          <w:tcPr>
            <w:tcW w:type="dxa" w:w="7257"/>
            <w:shd w:fill="FFFFFF" w:val="clear"/>
            <w:tcMar>
              <w:top w:w="90" w:type="dxa"/>
              <w:start w:w="115" w:type="dxa"/>
              <w:bottom w:w="90" w:type="dxa"/>
              <w:end w:w="115" w:type="dxa"/>
            </w:tcMar>
            <w:tcBorders>
              <w:bottom w:val="single" w:sz="4" w:color="D7E3E7"/>
            </w:tcBorders>
            <w:vAlign w:val="center"/>
          </w:tcPr>
          <w:p>
            <w:pPr>
              <w:pStyle w:val="TableText"/>
            </w:pPr>
            <w:r>
              <w:rPr>
                <w:sz w:val="20"/>
              </w:rPr>
              <w:t>Osidique α,β(1↔2), entre C1 du glucose et C2 du fructose</w:t>
            </w:r>
          </w:p>
        </w:tc>
      </w:tr>
      <w:tr>
        <w:trPr>
          <w:cantSplit/>
        </w:trPr>
        <w:tc>
          <w:tcPr>
            <w:tcW w:type="dxa" w:w="238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Formule brute ?</w:t>
            </w:r>
          </w:p>
        </w:tc>
        <w:tc>
          <w:tcPr>
            <w:tcW w:type="dxa" w:w="7257"/>
            <w:shd w:fill="F4F8F9" w:val="clear"/>
            <w:tcMar>
              <w:top w:w="90" w:type="dxa"/>
              <w:start w:w="115" w:type="dxa"/>
              <w:bottom w:w="90" w:type="dxa"/>
              <w:end w:w="115" w:type="dxa"/>
            </w:tcMar>
            <w:tcBorders>
              <w:bottom w:val="single" w:sz="4" w:color="D7E3E7"/>
            </w:tcBorders>
            <w:vAlign w:val="center"/>
          </w:tcPr>
          <w:p>
            <w:pPr>
              <w:pStyle w:val="TableText"/>
            </w:pPr>
            <w:r>
              <w:rPr>
                <w:sz w:val="20"/>
              </w:rPr>
              <w:t>C₁₂H₂₂O₁₁</w:t>
            </w:r>
          </w:p>
        </w:tc>
      </w:tr>
      <w:tr>
        <w:trPr>
          <w:cantSplit/>
        </w:trPr>
        <w:tc>
          <w:tcPr>
            <w:tcW w:type="dxa" w:w="2381"/>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Réducteur ?</w:t>
            </w:r>
          </w:p>
        </w:tc>
        <w:tc>
          <w:tcPr>
            <w:tcW w:type="dxa" w:w="7257"/>
            <w:shd w:fill="FFFFFF" w:val="clear"/>
            <w:tcMar>
              <w:top w:w="90" w:type="dxa"/>
              <w:start w:w="115" w:type="dxa"/>
              <w:bottom w:w="90" w:type="dxa"/>
              <w:end w:w="115" w:type="dxa"/>
            </w:tcMar>
            <w:tcBorders>
              <w:bottom w:val="single" w:sz="4" w:color="D7E3E7"/>
            </w:tcBorders>
            <w:vAlign w:val="center"/>
          </w:tcPr>
          <w:p>
            <w:pPr>
              <w:pStyle w:val="TableText"/>
            </w:pPr>
            <w:r>
              <w:rPr>
                <w:sz w:val="20"/>
              </w:rPr>
              <w:t>Non : les deux carbones anomériques sont engagés</w:t>
            </w:r>
          </w:p>
        </w:tc>
      </w:tr>
      <w:tr>
        <w:trPr>
          <w:cantSplit/>
        </w:trPr>
        <w:tc>
          <w:tcPr>
            <w:tcW w:type="dxa" w:w="2381"/>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Mutarotation ?</w:t>
            </w:r>
          </w:p>
        </w:tc>
        <w:tc>
          <w:tcPr>
            <w:tcW w:type="dxa" w:w="7257"/>
            <w:shd w:fill="F4F8F9" w:val="clear"/>
            <w:tcMar>
              <w:top w:w="90" w:type="dxa"/>
              <w:start w:w="115" w:type="dxa"/>
              <w:bottom w:w="90" w:type="dxa"/>
              <w:end w:w="115" w:type="dxa"/>
            </w:tcMar>
            <w:tcBorders>
              <w:bottom w:val="single" w:sz="4" w:color="D7E3E7"/>
            </w:tcBorders>
            <w:vAlign w:val="center"/>
          </w:tcPr>
          <w:p>
            <w:pPr>
              <w:pStyle w:val="TableText"/>
            </w:pPr>
            <w:r>
              <w:rPr>
                <w:sz w:val="20"/>
              </w:rPr>
              <w:t>Non, en l’absence d’hydrolyse : aucun anomère libre</w:t>
            </w:r>
          </w:p>
        </w:tc>
      </w:tr>
    </w:tbl>
    <w:p>
      <w:pPr>
        <w:spacing w:after="20"/>
      </w:pPr>
    </w:p>
    <w:p>
      <w:pPr>
        <w:pStyle w:val="Small"/>
      </w:pPr>
      <w:r>
        <w:t>La double flèche rappelle que les deux carbones anomériques participent à la liaison. La notation rencontrée dans le TD, « glucopyranosyl-(1→2)-fructofuranoside », désigne le même saccharose ; le suffixe « -oside » signale déjà l’engagement du centre anomérique du fructose.</w:t>
      </w:r>
    </w:p>
    <w:p>
      <w:pPr>
        <w:pStyle w:val="Small"/>
      </w:pPr>
      <w:r>
        <w:t>Après hydrolyse de la liaison, glucose et fructose retrouvent leurs centres anomériques libres : les produits libérés sont réducteurs. Le saccharose intact ne l’est pas.</w:t>
      </w:r>
    </w:p>
    <w:p>
      <w:pPr>
        <w:pStyle w:val="Kicker"/>
        <w:pageBreakBefore/>
      </w:pPr>
      <w:r>
        <w:t>MODULE 5 • DIHOLOSIDE 2</w:t>
      </w:r>
    </w:p>
    <w:p>
      <w:bookmarkStart w:id="24" w:name="lactose"/>
      <w:pPr>
        <w:pStyle w:val="Heading1"/>
      </w:pPr>
      <w:r>
        <w:t>12.2 Le lactose</w:t>
      </w:r>
      <w:bookmarkEnd w:id="24"/>
    </w:p>
    <w:p>
      <w:r>
        <w:t>Le lactose associe le D-galactose au D-glucose. Le carbone anomérique C1 du galactose est relié au OH de C4 du glucose. Le C1 du glucose reste un hémiacétal libre.</w:t>
      </w:r>
    </w:p>
    <w:p>
      <w:pPr>
        <w:keepNext/>
        <w:spacing w:before="60" w:after="20"/>
        <w:jc w:val="center"/>
      </w:pPr>
      <w:r>
        <w:drawing>
          <wp:inline xmlns:a="http://schemas.openxmlformats.org/drawingml/2006/main" xmlns:pic="http://schemas.openxmlformats.org/drawingml/2006/picture">
            <wp:extent cx="5976000" cy="2705552"/>
            <wp:docPr id="15" name="Picture 15"/>
            <wp:cNvGraphicFramePr>
              <a:graphicFrameLocks noChangeAspect="1"/>
            </wp:cNvGraphicFramePr>
            <a:graphic>
              <a:graphicData uri="http://schemas.openxmlformats.org/drawingml/2006/picture">
                <pic:pic>
                  <pic:nvPicPr>
                    <pic:cNvPr id="0" name="c11_lactose.png"/>
                    <pic:cNvPicPr/>
                  </pic:nvPicPr>
                  <pic:blipFill>
                    <a:blip r:embed="rId27"/>
                    <a:stretch>
                      <a:fillRect/>
                    </a:stretch>
                  </pic:blipFill>
                  <pic:spPr>
                    <a:xfrm>
                      <a:off x="0" y="0"/>
                      <a:ext cx="5976000" cy="2705552"/>
                    </a:xfrm>
                    <a:prstGeom prst="rect"/>
                  </pic:spPr>
                </pic:pic>
              </a:graphicData>
            </a:graphic>
          </wp:inline>
        </w:drawing>
      </w:r>
    </w:p>
    <w:p>
      <w:pPr>
        <w:pStyle w:val="Caption"/>
        <w:jc w:val="center"/>
      </w:pPr>
      <w:r>
        <w:t>Figure 14. Forme explicitement décrite dans le TD : β-lactose, avec une extrémité glucopyranose de configuration β.</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NOM ET PRÉCISION ANOMÉRIQUE</w:t>
            </w:r>
          </w:p>
          <w:p>
            <w:pPr>
              <w:pStyle w:val="Callout"/>
              <w:spacing w:after="0"/>
            </w:pPr>
            <w:r>
              <w:t>β-D-galactopyranosyl-(1→4)-β-D-glucopyranose = β-lactose.</w:t>
              <w:br/>
              <w:t>Nom général du disaccharide : β-D-Galp-(1→4)-D-Glcp.</w:t>
            </w:r>
          </w:p>
        </w:tc>
      </w:tr>
    </w:tbl>
    <w:p>
      <w:pPr>
        <w:spacing w:after="20"/>
      </w:pPr>
    </w:p>
    <w:tbl>
      <w:tblPr>
        <w:tblW w:type="dxa" w:w="9639"/>
        <w:jc w:val="center"/>
        <w:tblLayout w:type="fixed"/>
        <w:tblLook w:firstColumn="1" w:firstRow="1" w:lastColumn="0" w:lastRow="0" w:noHBand="0" w:noVBand="1" w:val="04A0"/>
      </w:tblPr>
      <w:tblGrid>
        <w:gridCol w:w="2948"/>
        <w:gridCol w:w="6690"/>
      </w:tblGrid>
      <w:tr>
        <w:trPr>
          <w:tblHeader/>
          <w:cantSplit/>
        </w:trPr>
        <w:tc>
          <w:tcPr>
            <w:tcW w:type="dxa" w:w="2948"/>
            <w:shd w:fill="17324D" w:val="clear"/>
            <w:tcMar>
              <w:top w:w="100" w:type="dxa"/>
              <w:start w:w="115" w:type="dxa"/>
              <w:bottom w:w="100" w:type="dxa"/>
              <w:end w:w="115" w:type="dxa"/>
            </w:tcMar>
            <w:vAlign w:val="center"/>
          </w:tcPr>
          <w:p>
            <w:pPr>
              <w:pStyle w:val="TableText"/>
              <w:keepNext/>
            </w:pPr>
            <w:r>
              <w:rPr>
                <w:b/>
                <w:color w:val="FFFFFF"/>
                <w:sz w:val="20"/>
              </w:rPr>
              <w:t>Élément à vérifier</w:t>
            </w:r>
          </w:p>
        </w:tc>
        <w:tc>
          <w:tcPr>
            <w:tcW w:type="dxa" w:w="6690"/>
            <w:shd w:fill="17324D" w:val="clear"/>
            <w:tcMar>
              <w:top w:w="100" w:type="dxa"/>
              <w:start w:w="115" w:type="dxa"/>
              <w:bottom w:w="100" w:type="dxa"/>
              <w:end w:w="115" w:type="dxa"/>
            </w:tcMar>
            <w:vAlign w:val="center"/>
          </w:tcPr>
          <w:p>
            <w:pPr>
              <w:pStyle w:val="TableText"/>
              <w:keepNext/>
            </w:pPr>
            <w:r>
              <w:rPr>
                <w:b/>
                <w:color w:val="FFFFFF"/>
                <w:sz w:val="20"/>
              </w:rPr>
              <w:t>Dans le lactose</w:t>
            </w:r>
          </w:p>
        </w:tc>
      </w:tr>
      <w:tr>
        <w:trPr>
          <w:cantSplit/>
        </w:trPr>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Donneur</w:t>
            </w:r>
          </w:p>
        </w:tc>
        <w:tc>
          <w:tcPr>
            <w:tcW w:type="dxa" w:w="6690"/>
            <w:shd w:fill="F4F8F9" w:val="clear"/>
            <w:tcMar>
              <w:top w:w="90" w:type="dxa"/>
              <w:start w:w="115" w:type="dxa"/>
              <w:bottom w:w="90" w:type="dxa"/>
              <w:end w:w="115" w:type="dxa"/>
            </w:tcMar>
            <w:tcBorders>
              <w:bottom w:val="single" w:sz="4" w:color="D7E3E7"/>
            </w:tcBorders>
            <w:vAlign w:val="center"/>
          </w:tcPr>
          <w:p>
            <w:pPr>
              <w:pStyle w:val="TableText"/>
            </w:pPr>
            <w:r>
              <w:rPr>
                <w:sz w:val="20"/>
              </w:rPr>
              <w:t>β-D-galactopyranosyl : liaison partant de C1, configuration β</w:t>
            </w:r>
          </w:p>
        </w:tc>
      </w:tr>
      <w:tr>
        <w:trPr>
          <w:cantSplit/>
        </w:trPr>
        <w:tc>
          <w:tcPr>
            <w:tcW w:type="dxa" w:w="2948"/>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Accepteur</w:t>
            </w:r>
          </w:p>
        </w:tc>
        <w:tc>
          <w:tcPr>
            <w:tcW w:type="dxa" w:w="6690"/>
            <w:shd w:fill="FFFFFF" w:val="clear"/>
            <w:tcMar>
              <w:top w:w="90" w:type="dxa"/>
              <w:start w:w="115" w:type="dxa"/>
              <w:bottom w:w="90" w:type="dxa"/>
              <w:end w:w="115" w:type="dxa"/>
            </w:tcMar>
            <w:tcBorders>
              <w:bottom w:val="single" w:sz="4" w:color="D7E3E7"/>
            </w:tcBorders>
            <w:vAlign w:val="center"/>
          </w:tcPr>
          <w:p>
            <w:pPr>
              <w:pStyle w:val="TableText"/>
            </w:pPr>
            <w:r>
              <w:rPr>
                <w:sz w:val="20"/>
              </w:rPr>
              <w:t>D-glucopyranose : liaison reçue sur le OH de C4</w:t>
            </w:r>
          </w:p>
        </w:tc>
      </w:tr>
      <w:tr>
        <w:trPr>
          <w:cantSplit/>
        </w:trPr>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Différence galactose / glucose</w:t>
            </w:r>
          </w:p>
        </w:tc>
        <w:tc>
          <w:tcPr>
            <w:tcW w:type="dxa" w:w="6690"/>
            <w:shd w:fill="F4F8F9" w:val="clear"/>
            <w:tcMar>
              <w:top w:w="90" w:type="dxa"/>
              <w:start w:w="115" w:type="dxa"/>
              <w:bottom w:w="90" w:type="dxa"/>
              <w:end w:w="115" w:type="dxa"/>
            </w:tcMar>
            <w:tcBorders>
              <w:bottom w:val="single" w:sz="4" w:color="D7E3E7"/>
            </w:tcBorders>
            <w:vAlign w:val="center"/>
          </w:tcPr>
          <w:p>
            <w:pPr>
              <w:pStyle w:val="TableText"/>
            </w:pPr>
            <w:r>
              <w:rPr>
                <w:sz w:val="20"/>
              </w:rPr>
              <w:t>Configuration du OH en C4 : opposée dans les deux oses</w:t>
            </w:r>
          </w:p>
        </w:tc>
      </w:tr>
      <w:tr>
        <w:trPr>
          <w:cantSplit/>
        </w:trPr>
        <w:tc>
          <w:tcPr>
            <w:tcW w:type="dxa" w:w="2948"/>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Pouvoir réducteur</w:t>
            </w:r>
          </w:p>
        </w:tc>
        <w:tc>
          <w:tcPr>
            <w:tcW w:type="dxa" w:w="6690"/>
            <w:shd w:fill="FFFFFF" w:val="clear"/>
            <w:tcMar>
              <w:top w:w="90" w:type="dxa"/>
              <w:start w:w="115" w:type="dxa"/>
              <w:bottom w:w="90" w:type="dxa"/>
              <w:end w:w="115" w:type="dxa"/>
            </w:tcMar>
            <w:tcBorders>
              <w:bottom w:val="single" w:sz="4" w:color="D7E3E7"/>
            </w:tcBorders>
            <w:vAlign w:val="center"/>
          </w:tcPr>
          <w:p>
            <w:pPr>
              <w:pStyle w:val="TableText"/>
            </w:pPr>
            <w:r>
              <w:rPr>
                <w:sz w:val="20"/>
              </w:rPr>
              <w:t>Oui : C1 du glucose encore hémiacétal</w:t>
            </w:r>
          </w:p>
        </w:tc>
      </w:tr>
      <w:tr>
        <w:trPr>
          <w:cantSplit/>
        </w:trPr>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Mutarotation</w:t>
            </w:r>
          </w:p>
        </w:tc>
        <w:tc>
          <w:tcPr>
            <w:tcW w:type="dxa" w:w="6690"/>
            <w:shd w:fill="F4F8F9" w:val="clear"/>
            <w:tcMar>
              <w:top w:w="90" w:type="dxa"/>
              <w:start w:w="115" w:type="dxa"/>
              <w:bottom w:w="90" w:type="dxa"/>
              <w:end w:w="115" w:type="dxa"/>
            </w:tcMar>
            <w:tcBorders>
              <w:bottom w:val="single" w:sz="4" w:color="D7E3E7"/>
            </w:tcBorders>
            <w:vAlign w:val="center"/>
          </w:tcPr>
          <w:p>
            <w:pPr>
              <w:pStyle w:val="TableText"/>
            </w:pPr>
            <w:r>
              <w:rPr>
                <w:sz w:val="20"/>
              </w:rPr>
              <w:t>Oui : l’extrémité glucose peut passer de β à α via l’ouverture</w:t>
            </w:r>
          </w:p>
        </w:tc>
      </w:tr>
    </w:tbl>
    <w:p>
      <w:pPr>
        <w:spacing w:after="20"/>
      </w:pPr>
    </w:p>
    <w:p>
      <w:pPr>
        <w:pStyle w:val="Small"/>
      </w:pPr>
      <w:r>
        <w:t>Lorsque le nom « lactose » est employé sans α ou β devant l’unité glucose, il peut désigner le disaccharide réducteur dont l’extrémité réductrice s’interconvertit. Ici, l’énoncé impose β à cette extrémité : la structure dessinée est le β-lactose.</w:t>
      </w:r>
    </w:p>
    <w:p>
      <w:pPr>
        <w:pStyle w:val="Equation"/>
      </w:pPr>
      <w:r>
        <w:t>Lactose + H₂O → D-galactose + D-glucose  (hydrolyse)</w:t>
      </w:r>
    </w:p>
    <w:p>
      <w:pPr>
        <w:pStyle w:val="Kicker"/>
        <w:pageBreakBefore/>
      </w:pPr>
      <w:r>
        <w:t>MODULE 5 • DIHOLOSIDE 3</w:t>
      </w:r>
    </w:p>
    <w:p>
      <w:bookmarkStart w:id="25" w:name="maltose"/>
      <w:pPr>
        <w:pStyle w:val="Heading1"/>
      </w:pPr>
      <w:r>
        <w:t>12.3 Le maltose</w:t>
      </w:r>
      <w:bookmarkEnd w:id="25"/>
    </w:p>
    <w:p>
      <w:r>
        <w:t>Le maltose est constitué de deux unités D-glucose. Le C1 anomérique du premier glucose, en configuration α, est relié au OH de C4 du second. Le second glucose conserve son C1 anomérique libre.</w:t>
      </w:r>
    </w:p>
    <w:p>
      <w:pPr>
        <w:keepNext/>
        <w:spacing w:before="60" w:after="20"/>
        <w:jc w:val="center"/>
      </w:pPr>
      <w:r>
        <w:drawing>
          <wp:inline xmlns:a="http://schemas.openxmlformats.org/drawingml/2006/main" xmlns:pic="http://schemas.openxmlformats.org/drawingml/2006/picture">
            <wp:extent cx="5976000" cy="2705552"/>
            <wp:docPr id="16" name="Picture 16"/>
            <wp:cNvGraphicFramePr>
              <a:graphicFrameLocks noChangeAspect="1"/>
            </wp:cNvGraphicFramePr>
            <a:graphic>
              <a:graphicData uri="http://schemas.openxmlformats.org/drawingml/2006/picture">
                <pic:pic>
                  <pic:nvPicPr>
                    <pic:cNvPr id="0" name="c11_maltose.png"/>
                    <pic:cNvPicPr/>
                  </pic:nvPicPr>
                  <pic:blipFill>
                    <a:blip r:embed="rId28"/>
                    <a:stretch>
                      <a:fillRect/>
                    </a:stretch>
                  </pic:blipFill>
                  <pic:spPr>
                    <a:xfrm>
                      <a:off x="0" y="0"/>
                      <a:ext cx="5976000" cy="2705552"/>
                    </a:xfrm>
                    <a:prstGeom prst="rect"/>
                  </pic:spPr>
                </pic:pic>
              </a:graphicData>
            </a:graphic>
          </wp:inline>
        </w:drawing>
      </w:r>
    </w:p>
    <w:p>
      <w:pPr>
        <w:pStyle w:val="Caption"/>
        <w:jc w:val="center"/>
      </w:pPr>
      <w:r>
        <w:t>Figure 15. Forme décrite dans le TD : α-maltose. Le premier C1 est engagé ; le second C1, entouré de vert, reste réducteur.</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NOM ET PRÉCISION ANOMÉRIQUE</w:t>
            </w:r>
          </w:p>
          <w:p>
            <w:pPr>
              <w:pStyle w:val="Callout"/>
              <w:spacing w:after="0"/>
            </w:pPr>
            <w:r>
              <w:t>α-D-glucopyranosyl-(1→4)-α-D-glucopyranose = α-maltose.</w:t>
              <w:br/>
              <w:t>Nom général du disaccharide : α-D-Glcp-(1→4)-D-Glcp.</w:t>
            </w:r>
          </w:p>
        </w:tc>
      </w:tr>
    </w:tbl>
    <w:p>
      <w:pPr>
        <w:spacing w:after="20"/>
      </w:pPr>
    </w:p>
    <w:tbl>
      <w:tblPr>
        <w:tblW w:type="dxa" w:w="9639"/>
        <w:jc w:val="center"/>
        <w:tblLayout w:type="fixed"/>
        <w:tblLook w:firstColumn="1" w:firstRow="1" w:lastColumn="0" w:lastRow="0" w:noHBand="0" w:noVBand="1" w:val="04A0"/>
      </w:tblPr>
      <w:tblGrid>
        <w:gridCol w:w="2948"/>
        <w:gridCol w:w="6690"/>
      </w:tblGrid>
      <w:tr>
        <w:trPr>
          <w:tblHeader/>
          <w:cantSplit/>
        </w:trPr>
        <w:tc>
          <w:tcPr>
            <w:tcW w:type="dxa" w:w="2948"/>
            <w:shd w:fill="17324D" w:val="clear"/>
            <w:tcMar>
              <w:top w:w="100" w:type="dxa"/>
              <w:start w:w="115" w:type="dxa"/>
              <w:bottom w:w="100" w:type="dxa"/>
              <w:end w:w="115" w:type="dxa"/>
            </w:tcMar>
            <w:vAlign w:val="center"/>
          </w:tcPr>
          <w:p>
            <w:pPr>
              <w:pStyle w:val="TableText"/>
              <w:keepNext/>
            </w:pPr>
            <w:r>
              <w:rPr>
                <w:b/>
                <w:color w:val="FFFFFF"/>
                <w:sz w:val="20"/>
              </w:rPr>
              <w:t>Confusion fréquente</w:t>
            </w:r>
          </w:p>
        </w:tc>
        <w:tc>
          <w:tcPr>
            <w:tcW w:type="dxa" w:w="6690"/>
            <w:shd w:fill="17324D" w:val="clear"/>
            <w:tcMar>
              <w:top w:w="100" w:type="dxa"/>
              <w:start w:w="115" w:type="dxa"/>
              <w:bottom w:w="100" w:type="dxa"/>
              <w:end w:w="115" w:type="dxa"/>
            </w:tcMar>
            <w:vAlign w:val="center"/>
          </w:tcPr>
          <w:p>
            <w:pPr>
              <w:pStyle w:val="TableText"/>
              <w:keepNext/>
            </w:pPr>
            <w:r>
              <w:rPr>
                <w:b/>
                <w:color w:val="FFFFFF"/>
                <w:sz w:val="20"/>
              </w:rPr>
              <w:t>Distinction correcte</w:t>
            </w:r>
          </w:p>
        </w:tc>
      </w:tr>
      <w:tr>
        <w:trPr>
          <w:cantSplit/>
        </w:trPr>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Maltose / saccharose</w:t>
            </w:r>
          </w:p>
        </w:tc>
        <w:tc>
          <w:tcPr>
            <w:tcW w:type="dxa" w:w="6690"/>
            <w:shd w:fill="F4F8F9" w:val="clear"/>
            <w:tcMar>
              <w:top w:w="90" w:type="dxa"/>
              <w:start w:w="115" w:type="dxa"/>
              <w:bottom w:w="90" w:type="dxa"/>
              <w:end w:w="115" w:type="dxa"/>
            </w:tcMar>
            <w:tcBorders>
              <w:bottom w:val="single" w:sz="4" w:color="D7E3E7"/>
            </w:tcBorders>
            <w:vAlign w:val="center"/>
          </w:tcPr>
          <w:p>
            <w:pPr>
              <w:pStyle w:val="TableText"/>
            </w:pPr>
            <w:r>
              <w:rPr>
                <w:sz w:val="20"/>
              </w:rPr>
              <w:t>Maltose : glucose + glucose, un anomère libre.</w:t>
              <w:br/>
              <w:t>Saccharose : glucose + fructose, deux anomères engagés.</w:t>
            </w:r>
          </w:p>
        </w:tc>
      </w:tr>
      <w:tr>
        <w:trPr>
          <w:cantSplit/>
        </w:trPr>
        <w:tc>
          <w:tcPr>
            <w:tcW w:type="dxa" w:w="2948"/>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Maltose / cellobiose</w:t>
            </w:r>
          </w:p>
        </w:tc>
        <w:tc>
          <w:tcPr>
            <w:tcW w:type="dxa" w:w="6690"/>
            <w:shd w:fill="FFFFFF" w:val="clear"/>
            <w:tcMar>
              <w:top w:w="90" w:type="dxa"/>
              <w:start w:w="115" w:type="dxa"/>
              <w:bottom w:w="90" w:type="dxa"/>
              <w:end w:w="115" w:type="dxa"/>
            </w:tcMar>
            <w:tcBorders>
              <w:bottom w:val="single" w:sz="4" w:color="D7E3E7"/>
            </w:tcBorders>
            <w:vAlign w:val="center"/>
          </w:tcPr>
          <w:p>
            <w:pPr>
              <w:pStyle w:val="TableText"/>
            </w:pPr>
            <w:r>
              <w:rPr>
                <w:sz w:val="20"/>
              </w:rPr>
              <w:t>Maltose : liaison α(1→4).</w:t>
              <w:br/>
              <w:t>Cellobiose : liaison β(1→4), entre deux glucoses.</w:t>
            </w:r>
          </w:p>
        </w:tc>
      </w:tr>
      <w:tr>
        <w:trPr>
          <w:cantSplit/>
        </w:trPr>
        <w:tc>
          <w:tcPr>
            <w:tcW w:type="dxa" w:w="294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Maltose / isomaltose</w:t>
            </w:r>
          </w:p>
        </w:tc>
        <w:tc>
          <w:tcPr>
            <w:tcW w:type="dxa" w:w="6690"/>
            <w:shd w:fill="F4F8F9" w:val="clear"/>
            <w:tcMar>
              <w:top w:w="90" w:type="dxa"/>
              <w:start w:w="115" w:type="dxa"/>
              <w:bottom w:w="90" w:type="dxa"/>
              <w:end w:w="115" w:type="dxa"/>
            </w:tcMar>
            <w:tcBorders>
              <w:bottom w:val="single" w:sz="4" w:color="D7E3E7"/>
            </w:tcBorders>
            <w:vAlign w:val="center"/>
          </w:tcPr>
          <w:p>
            <w:pPr>
              <w:pStyle w:val="TableText"/>
            </w:pPr>
            <w:r>
              <w:rPr>
                <w:sz w:val="20"/>
              </w:rPr>
              <w:t>Maltose : liaison (1→4).</w:t>
              <w:br/>
              <w:t>Isomaltose : liaison α(1→6).</w:t>
            </w:r>
          </w:p>
        </w:tc>
      </w:tr>
    </w:tbl>
    <w:p>
      <w:pPr>
        <w:spacing w:after="20"/>
      </w:pPr>
    </w:p>
    <w:p>
      <w:r>
        <w:t>Le maltose est réducteur et présente une mutarotation. Son hydrolyse libère deux molécules de D-glucose. Une liaison α(1→4) se retrouve dans l’amidon et le glycogène ; la cellulose contient des liaisons β(1→4).</w:t>
      </w:r>
    </w:p>
    <w:p>
      <w:pPr>
        <w:pStyle w:val="Equation"/>
      </w:pPr>
      <w:r>
        <w:t>Maltose + H₂O → 2 D-glucose  (hydrolyse)</w:t>
      </w: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LIRE DEUX FOIS, MAIS PAS LA MÊME CHOSE</w:t>
            </w:r>
          </w:p>
          <w:p>
            <w:pPr>
              <w:pStyle w:val="Callout"/>
              <w:spacing w:after="0"/>
            </w:pPr>
            <w:r>
              <w:t>Le préfixe α du maltose décrit la liaison du donneur. Un second α, placé devant « glucopyranose », décrit l’anomère libre de l’accepteur. Ces deux lettres ne portent pas sur le même carbone.</w:t>
            </w:r>
          </w:p>
        </w:tc>
      </w:tr>
    </w:tbl>
    <w:p>
      <w:pPr>
        <w:spacing w:after="20"/>
      </w:pPr>
    </w:p>
    <w:p>
      <w:pPr>
        <w:pStyle w:val="Kicker"/>
        <w:pageBreakBefore/>
      </w:pPr>
      <w:r>
        <w:t>MODULE 6 • POUVOIR RÉDUCTEUR</w:t>
      </w:r>
    </w:p>
    <w:p>
      <w:bookmarkStart w:id="26" w:name="reducteur"/>
      <w:pPr>
        <w:pStyle w:val="Heading1"/>
      </w:pPr>
      <w:r>
        <w:t>13. Réducteur ou non : la décision</w:t>
      </w:r>
      <w:bookmarkEnd w:id="26"/>
    </w:p>
    <w:p>
      <w:r>
        <w:t>Un sucre est réducteur lorsqu’une forme carbonyle peut être rendue accessible par ouverture d’un hémiacétal ou d’un hémicétal libre. Il peut alors réduire certains ions métalliques dans les conditions des tests classiques, en étant lui-même oxydé.</w:t>
      </w:r>
    </w:p>
    <w:p>
      <w:pPr>
        <w:keepNext/>
        <w:spacing w:before="60" w:after="20"/>
        <w:jc w:val="center"/>
      </w:pPr>
      <w:r>
        <w:drawing>
          <wp:inline xmlns:a="http://schemas.openxmlformats.org/drawingml/2006/main" xmlns:pic="http://schemas.openxmlformats.org/drawingml/2006/picture">
            <wp:extent cx="5976000" cy="2902236"/>
            <wp:docPr id="17" name="Picture 17"/>
            <wp:cNvGraphicFramePr>
              <a:graphicFrameLocks noChangeAspect="1"/>
            </wp:cNvGraphicFramePr>
            <a:graphic>
              <a:graphicData uri="http://schemas.openxmlformats.org/drawingml/2006/picture">
                <pic:pic>
                  <pic:nvPicPr>
                    <pic:cNvPr id="0" name="c12_reducteur.png"/>
                    <pic:cNvPicPr/>
                  </pic:nvPicPr>
                  <pic:blipFill>
                    <a:blip r:embed="rId29"/>
                    <a:stretch>
                      <a:fillRect/>
                    </a:stretch>
                  </pic:blipFill>
                  <pic:spPr>
                    <a:xfrm>
                      <a:off x="0" y="0"/>
                      <a:ext cx="5976000" cy="2902236"/>
                    </a:xfrm>
                    <a:prstGeom prst="rect"/>
                  </pic:spPr>
                </pic:pic>
              </a:graphicData>
            </a:graphic>
          </wp:inline>
        </w:drawing>
      </w:r>
    </w:p>
    <w:p>
      <w:pPr>
        <w:pStyle w:val="Caption"/>
        <w:jc w:val="center"/>
      </w:pPr>
      <w:r>
        <w:t>Figure 16. Diagnostic structural. La présence d’un OH anomérique libre est le critère décisif, pas la seule présence de nombreux OH.</w:t>
      </w:r>
    </w:p>
    <w:tbl>
      <w:tblPr>
        <w:tblW w:type="dxa" w:w="9639"/>
        <w:jc w:val="center"/>
        <w:tblLayout w:type="fixed"/>
        <w:tblLook w:firstColumn="1" w:firstRow="1" w:lastColumn="0" w:lastRow="0" w:noHBand="0" w:noVBand="1" w:val="04A0"/>
      </w:tblPr>
      <w:tblGrid>
        <w:gridCol w:w="2835"/>
        <w:gridCol w:w="4649"/>
        <w:gridCol w:w="2154"/>
      </w:tblGrid>
      <w:tr>
        <w:trPr>
          <w:tblHeader/>
          <w:cantSplit/>
        </w:trPr>
        <w:tc>
          <w:tcPr>
            <w:tcW w:type="dxa" w:w="2835"/>
            <w:shd w:fill="17324D" w:val="clear"/>
            <w:tcMar>
              <w:top w:w="100" w:type="dxa"/>
              <w:start w:w="115" w:type="dxa"/>
              <w:bottom w:w="100" w:type="dxa"/>
              <w:end w:w="115" w:type="dxa"/>
            </w:tcMar>
            <w:vAlign w:val="center"/>
          </w:tcPr>
          <w:p>
            <w:pPr>
              <w:pStyle w:val="TableText"/>
              <w:keepNext/>
            </w:pPr>
            <w:r>
              <w:rPr>
                <w:b/>
                <w:color w:val="FFFFFF"/>
                <w:sz w:val="20"/>
              </w:rPr>
              <w:t>Sucre</w:t>
            </w:r>
          </w:p>
        </w:tc>
        <w:tc>
          <w:tcPr>
            <w:tcW w:type="dxa" w:w="4649"/>
            <w:shd w:fill="17324D" w:val="clear"/>
            <w:tcMar>
              <w:top w:w="100" w:type="dxa"/>
              <w:start w:w="115" w:type="dxa"/>
              <w:bottom w:w="100" w:type="dxa"/>
              <w:end w:w="115" w:type="dxa"/>
            </w:tcMar>
            <w:vAlign w:val="center"/>
          </w:tcPr>
          <w:p>
            <w:pPr>
              <w:pStyle w:val="TableText"/>
              <w:keepNext/>
            </w:pPr>
            <w:r>
              <w:rPr>
                <w:b/>
                <w:color w:val="FFFFFF"/>
                <w:sz w:val="20"/>
              </w:rPr>
              <w:t>Centre(s) anomérique(s)</w:t>
            </w:r>
          </w:p>
        </w:tc>
        <w:tc>
          <w:tcPr>
            <w:tcW w:type="dxa" w:w="2154"/>
            <w:shd w:fill="17324D" w:val="clear"/>
            <w:tcMar>
              <w:top w:w="100" w:type="dxa"/>
              <w:start w:w="115" w:type="dxa"/>
              <w:bottom w:w="100" w:type="dxa"/>
              <w:end w:w="115" w:type="dxa"/>
            </w:tcMar>
            <w:vAlign w:val="center"/>
          </w:tcPr>
          <w:p>
            <w:pPr>
              <w:pStyle w:val="TableText"/>
              <w:keepNext/>
            </w:pPr>
            <w:r>
              <w:rPr>
                <w:b/>
                <w:color w:val="FFFFFF"/>
                <w:sz w:val="20"/>
              </w:rPr>
              <w:t>Réducteur ?</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Glucose / fructose libres</w:t>
            </w:r>
          </w:p>
        </w:tc>
        <w:tc>
          <w:tcPr>
            <w:tcW w:type="dxa" w:w="4649"/>
            <w:shd w:fill="F4F8F9" w:val="clear"/>
            <w:tcMar>
              <w:top w:w="90" w:type="dxa"/>
              <w:start w:w="115" w:type="dxa"/>
              <w:bottom w:w="90" w:type="dxa"/>
              <w:end w:w="115" w:type="dxa"/>
            </w:tcMar>
            <w:tcBorders>
              <w:bottom w:val="single" w:sz="4" w:color="D7E3E7"/>
            </w:tcBorders>
            <w:vAlign w:val="center"/>
          </w:tcPr>
          <w:p>
            <w:pPr>
              <w:pStyle w:val="TableText"/>
            </w:pPr>
            <w:r>
              <w:rPr>
                <w:sz w:val="20"/>
              </w:rPr>
              <w:t>C1 / C2 libres</w:t>
            </w:r>
          </w:p>
        </w:tc>
        <w:tc>
          <w:tcPr>
            <w:tcW w:type="dxa" w:w="2154"/>
            <w:shd w:fill="F4F8F9" w:val="clear"/>
            <w:tcMar>
              <w:top w:w="90" w:type="dxa"/>
              <w:start w:w="115" w:type="dxa"/>
              <w:bottom w:w="90" w:type="dxa"/>
              <w:end w:w="115" w:type="dxa"/>
            </w:tcMar>
            <w:tcBorders>
              <w:bottom w:val="single" w:sz="4" w:color="D7E3E7"/>
            </w:tcBorders>
            <w:vAlign w:val="center"/>
          </w:tcPr>
          <w:p>
            <w:pPr>
              <w:pStyle w:val="TableText"/>
            </w:pPr>
            <w:r>
              <w:rPr>
                <w:sz w:val="20"/>
              </w:rPr>
              <w:t>Oui</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Saccharose</w:t>
            </w:r>
          </w:p>
        </w:tc>
        <w:tc>
          <w:tcPr>
            <w:tcW w:type="dxa" w:w="4649"/>
            <w:shd w:fill="FFFFFF" w:val="clear"/>
            <w:tcMar>
              <w:top w:w="90" w:type="dxa"/>
              <w:start w:w="115" w:type="dxa"/>
              <w:bottom w:w="90" w:type="dxa"/>
              <w:end w:w="115" w:type="dxa"/>
            </w:tcMar>
            <w:tcBorders>
              <w:bottom w:val="single" w:sz="4" w:color="D7E3E7"/>
            </w:tcBorders>
            <w:vAlign w:val="center"/>
          </w:tcPr>
          <w:p>
            <w:pPr>
              <w:pStyle w:val="TableText"/>
            </w:pPr>
            <w:r>
              <w:rPr>
                <w:sz w:val="20"/>
              </w:rPr>
              <w:t>C1 glucose et C2 fructose engagés</w:t>
            </w:r>
          </w:p>
        </w:tc>
        <w:tc>
          <w:tcPr>
            <w:tcW w:type="dxa" w:w="2154"/>
            <w:shd w:fill="FFFFFF" w:val="clear"/>
            <w:tcMar>
              <w:top w:w="90" w:type="dxa"/>
              <w:start w:w="115" w:type="dxa"/>
              <w:bottom w:w="90" w:type="dxa"/>
              <w:end w:w="115" w:type="dxa"/>
            </w:tcMar>
            <w:tcBorders>
              <w:bottom w:val="single" w:sz="4" w:color="D7E3E7"/>
            </w:tcBorders>
            <w:vAlign w:val="center"/>
          </w:tcPr>
          <w:p>
            <w:pPr>
              <w:pStyle w:val="TableText"/>
            </w:pPr>
            <w:r>
              <w:rPr>
                <w:sz w:val="20"/>
              </w:rPr>
              <w:t>Non</w:t>
            </w:r>
          </w:p>
        </w:tc>
      </w:tr>
      <w:tr>
        <w:trPr>
          <w:cantSplit/>
        </w:trPr>
        <w:tc>
          <w:tcPr>
            <w:tcW w:type="dxa" w:w="2835"/>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Lactose</w:t>
            </w:r>
          </w:p>
        </w:tc>
        <w:tc>
          <w:tcPr>
            <w:tcW w:type="dxa" w:w="4649"/>
            <w:shd w:fill="F4F8F9" w:val="clear"/>
            <w:tcMar>
              <w:top w:w="90" w:type="dxa"/>
              <w:start w:w="115" w:type="dxa"/>
              <w:bottom w:w="90" w:type="dxa"/>
              <w:end w:w="115" w:type="dxa"/>
            </w:tcMar>
            <w:tcBorders>
              <w:bottom w:val="single" w:sz="4" w:color="D7E3E7"/>
            </w:tcBorders>
            <w:vAlign w:val="center"/>
          </w:tcPr>
          <w:p>
            <w:pPr>
              <w:pStyle w:val="TableText"/>
            </w:pPr>
            <w:r>
              <w:rPr>
                <w:sz w:val="20"/>
              </w:rPr>
              <w:t>C1 glucose libre</w:t>
            </w:r>
          </w:p>
        </w:tc>
        <w:tc>
          <w:tcPr>
            <w:tcW w:type="dxa" w:w="2154"/>
            <w:shd w:fill="F4F8F9" w:val="clear"/>
            <w:tcMar>
              <w:top w:w="90" w:type="dxa"/>
              <w:start w:w="115" w:type="dxa"/>
              <w:bottom w:w="90" w:type="dxa"/>
              <w:end w:w="115" w:type="dxa"/>
            </w:tcMar>
            <w:tcBorders>
              <w:bottom w:val="single" w:sz="4" w:color="D7E3E7"/>
            </w:tcBorders>
            <w:vAlign w:val="center"/>
          </w:tcPr>
          <w:p>
            <w:pPr>
              <w:pStyle w:val="TableText"/>
            </w:pPr>
            <w:r>
              <w:rPr>
                <w:sz w:val="20"/>
              </w:rPr>
              <w:t>Oui</w:t>
            </w:r>
          </w:p>
        </w:tc>
      </w:tr>
      <w:tr>
        <w:trPr>
          <w:cantSplit/>
        </w:trPr>
        <w:tc>
          <w:tcPr>
            <w:tcW w:type="dxa" w:w="2835"/>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Maltose</w:t>
            </w:r>
          </w:p>
        </w:tc>
        <w:tc>
          <w:tcPr>
            <w:tcW w:type="dxa" w:w="4649"/>
            <w:shd w:fill="FFFFFF" w:val="clear"/>
            <w:tcMar>
              <w:top w:w="90" w:type="dxa"/>
              <w:start w:w="115" w:type="dxa"/>
              <w:bottom w:w="90" w:type="dxa"/>
              <w:end w:w="115" w:type="dxa"/>
            </w:tcMar>
            <w:tcBorders>
              <w:bottom w:val="single" w:sz="4" w:color="D7E3E7"/>
            </w:tcBorders>
            <w:vAlign w:val="center"/>
          </w:tcPr>
          <w:p>
            <w:pPr>
              <w:pStyle w:val="TableText"/>
            </w:pPr>
            <w:r>
              <w:rPr>
                <w:sz w:val="20"/>
              </w:rPr>
              <w:t>C1 du second glucose libre</w:t>
            </w:r>
          </w:p>
        </w:tc>
        <w:tc>
          <w:tcPr>
            <w:tcW w:type="dxa" w:w="2154"/>
            <w:shd w:fill="FFFFFF" w:val="clear"/>
            <w:tcMar>
              <w:top w:w="90" w:type="dxa"/>
              <w:start w:w="115" w:type="dxa"/>
              <w:bottom w:w="90" w:type="dxa"/>
              <w:end w:w="115" w:type="dxa"/>
            </w:tcMar>
            <w:tcBorders>
              <w:bottom w:val="single" w:sz="4" w:color="D7E3E7"/>
            </w:tcBorders>
            <w:vAlign w:val="center"/>
          </w:tcPr>
          <w:p>
            <w:pPr>
              <w:pStyle w:val="TableText"/>
            </w:pPr>
            <w:r>
              <w:rPr>
                <w:sz w:val="20"/>
              </w:rPr>
              <w:t>Oui</w:t>
            </w:r>
          </w:p>
        </w:tc>
      </w:tr>
    </w:tbl>
    <w:p>
      <w:pPr>
        <w:spacing w:after="20"/>
      </w:pPr>
    </w:p>
    <w:p>
      <w:pPr>
        <w:pStyle w:val="Heading2"/>
      </w:pPr>
      <w:r>
        <w:t>Et les cétones ?</w:t>
      </w:r>
    </w:p>
    <w:p>
      <w:r>
        <w:t>Le fructose libre donne aussi un test positif avec les réactifs alcalins de Fehling ou Benedict : il s’isomérise via des intermédiaires ènediols en aldoses capables de réduire Cu²⁺. « Aldose » n’est donc pas un synonyme de « réducteur ».</w:t>
      </w:r>
    </w:p>
    <w:p>
      <w:pPr>
        <w:pStyle w:val="Small"/>
      </w:pPr>
      <w:r>
        <w:t>Fehling/Benedict : formation d’un précipité de Cu₂O rouge brique dans les conditions du test. Tollens : dépôt d’argent métallique. Ces tests sont qualitatifs et dépendent du milieu ; d’autres espèces réductrices peuvent aussi réagir.</w:t>
      </w: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ERREUR À ÉVITER</w:t>
            </w:r>
          </w:p>
          <w:p>
            <w:pPr>
              <w:pStyle w:val="Callout"/>
              <w:spacing w:after="0"/>
            </w:pPr>
            <w:r>
              <w:t>Ne pas conclure « non réducteur » uniquement parce qu’un sucre est dessiné sous forme cyclique : les hémiacétals libres s’ouvrent en solution.</w:t>
            </w:r>
          </w:p>
        </w:tc>
      </w:tr>
    </w:tbl>
    <w:p>
      <w:pPr>
        <w:spacing w:after="20"/>
      </w:pPr>
    </w:p>
    <w:p>
      <w:pPr>
        <w:pStyle w:val="Kicker"/>
        <w:pageBreakBefore/>
      </w:pPr>
      <w:r>
        <w:t>MODULE 6 • MÉTHODE TRANSFÉRABLE</w:t>
      </w:r>
    </w:p>
    <w:p>
      <w:bookmarkStart w:id="27" w:name="methode"/>
      <w:pPr>
        <w:pStyle w:val="Heading1"/>
      </w:pPr>
      <w:r>
        <w:t>14. Du nom systématique à la structure</w:t>
      </w:r>
      <w:bookmarkEnd w:id="27"/>
    </w:p>
    <w:p>
      <w:r>
        <w:t>Un nom de diholoside contient toutes les informations nécessaires au dessin. Il faut le lire de gauche à droite en identifiant le donneur, la liaison, puis l’accepteur.</w:t>
      </w:r>
    </w:p>
    <w:p>
      <w:pPr>
        <w:pStyle w:val="Heading2"/>
      </w:pPr>
      <w:r>
        <w:t>Procédure en six vérifications</w:t>
      </w:r>
    </w:p>
    <w:p>
      <w:pPr>
        <w:pStyle w:val="ListBullet"/>
      </w:pPr>
      <w:r>
        <w:t>Nature des oses : glucose, galactose ou fructose ; vérifier la série D ou L.</w:t>
      </w:r>
    </w:p>
    <w:p>
      <w:pPr>
        <w:pStyle w:val="ListBullet"/>
      </w:pPr>
      <w:r>
        <w:t>Taille des cycles : pyranose ou furanose.</w:t>
      </w:r>
    </w:p>
    <w:p>
      <w:pPr>
        <w:pStyle w:val="ListBullet"/>
      </w:pPr>
      <w:r>
        <w:t>Configuration anomérique du donneur : α ou β.</w:t>
      </w:r>
    </w:p>
    <w:p>
      <w:pPr>
        <w:pStyle w:val="ListBullet"/>
      </w:pPr>
      <w:r>
        <w:t>Numéros reliés : origine au carbone anomérique du donneur, arrivée sur le carbone accepteur.</w:t>
      </w:r>
    </w:p>
    <w:p>
      <w:pPr>
        <w:pStyle w:val="ListBullet"/>
      </w:pPr>
      <w:r>
        <w:t>État de l’accepteur : « -ose » avec anomère libre ou « -oside » avec anomère engagé.</w:t>
      </w:r>
    </w:p>
    <w:p>
      <w:pPr>
        <w:pStyle w:val="ListBullet"/>
      </w:pPr>
      <w:r>
        <w:t>Conclusion : vérifier la liaison, numéroter les carbones, puis rechercher un anomère libre.</w:t>
      </w:r>
    </w:p>
    <w:p>
      <w:pPr>
        <w:pStyle w:val="Caption"/>
        <w:jc w:val="left"/>
      </w:pPr>
      <w:r>
        <w:t>Tableau 3. Les trois diholosides du TD. Tous ont pour formule brute C₁₂H₂₂O₁₁.</w:t>
      </w:r>
    </w:p>
    <w:tbl>
      <w:tblPr>
        <w:tblW w:type="dxa" w:w="9639"/>
        <w:jc w:val="center"/>
        <w:tblLayout w:type="fixed"/>
        <w:tblLook w:firstColumn="1" w:firstRow="1" w:lastColumn="0" w:lastRow="0" w:noHBand="0" w:noVBand="1" w:val="04A0"/>
      </w:tblPr>
      <w:tblGrid>
        <w:gridCol w:w="1928"/>
        <w:gridCol w:w="5953"/>
        <w:gridCol w:w="1757"/>
      </w:tblGrid>
      <w:tr>
        <w:trPr>
          <w:tblHeader/>
          <w:cantSplit/>
        </w:trPr>
        <w:tc>
          <w:tcPr>
            <w:tcW w:type="dxa" w:w="1928"/>
            <w:shd w:fill="17324D" w:val="clear"/>
            <w:tcMar>
              <w:top w:w="100" w:type="dxa"/>
              <w:start w:w="115" w:type="dxa"/>
              <w:bottom w:w="100" w:type="dxa"/>
              <w:end w:w="115" w:type="dxa"/>
            </w:tcMar>
            <w:vAlign w:val="center"/>
          </w:tcPr>
          <w:p>
            <w:pPr>
              <w:pStyle w:val="TableText"/>
              <w:keepNext/>
            </w:pPr>
            <w:r>
              <w:rPr>
                <w:b/>
                <w:color w:val="FFFFFF"/>
                <w:sz w:val="21"/>
              </w:rPr>
              <w:t>Nom courant</w:t>
            </w:r>
          </w:p>
        </w:tc>
        <w:tc>
          <w:tcPr>
            <w:tcW w:type="dxa" w:w="5953"/>
            <w:shd w:fill="17324D" w:val="clear"/>
            <w:tcMar>
              <w:top w:w="100" w:type="dxa"/>
              <w:start w:w="115" w:type="dxa"/>
              <w:bottom w:w="100" w:type="dxa"/>
              <w:end w:w="115" w:type="dxa"/>
            </w:tcMar>
            <w:vAlign w:val="center"/>
          </w:tcPr>
          <w:p>
            <w:pPr>
              <w:pStyle w:val="TableText"/>
              <w:keepNext/>
            </w:pPr>
            <w:r>
              <w:rPr>
                <w:b/>
                <w:color w:val="FFFFFF"/>
                <w:sz w:val="21"/>
              </w:rPr>
              <w:t>Liaison et unités</w:t>
            </w:r>
          </w:p>
        </w:tc>
        <w:tc>
          <w:tcPr>
            <w:tcW w:type="dxa" w:w="1757"/>
            <w:shd w:fill="17324D" w:val="clear"/>
            <w:tcMar>
              <w:top w:w="100" w:type="dxa"/>
              <w:start w:w="115" w:type="dxa"/>
              <w:bottom w:w="100" w:type="dxa"/>
              <w:end w:w="115" w:type="dxa"/>
            </w:tcMar>
            <w:vAlign w:val="center"/>
          </w:tcPr>
          <w:p>
            <w:pPr>
              <w:pStyle w:val="TableText"/>
              <w:keepNext/>
            </w:pPr>
            <w:r>
              <w:rPr>
                <w:b/>
                <w:color w:val="FFFFFF"/>
                <w:sz w:val="21"/>
              </w:rPr>
              <w:t>Réducteur</w:t>
            </w:r>
          </w:p>
        </w:tc>
      </w:tr>
      <w:tr>
        <w:trPr>
          <w:cantSplit/>
        </w:trPr>
        <w:tc>
          <w:tcPr>
            <w:tcW w:type="dxa" w:w="192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1"/>
              </w:rPr>
              <w:t>Saccharose</w:t>
            </w:r>
          </w:p>
        </w:tc>
        <w:tc>
          <w:tcPr>
            <w:tcW w:type="dxa" w:w="5953"/>
            <w:shd w:fill="F4F8F9" w:val="clear"/>
            <w:tcMar>
              <w:top w:w="90" w:type="dxa"/>
              <w:start w:w="115" w:type="dxa"/>
              <w:bottom w:w="90" w:type="dxa"/>
              <w:end w:w="115" w:type="dxa"/>
            </w:tcMar>
            <w:tcBorders>
              <w:bottom w:val="single" w:sz="4" w:color="D7E3E7"/>
            </w:tcBorders>
            <w:vAlign w:val="center"/>
          </w:tcPr>
          <w:p>
            <w:pPr>
              <w:pStyle w:val="TableText"/>
            </w:pPr>
            <w:r>
              <w:rPr>
                <w:sz w:val="21"/>
              </w:rPr>
              <w:t>α-D-Glcp-(1↔2)-β-D-Fruf</w:t>
            </w:r>
          </w:p>
        </w:tc>
        <w:tc>
          <w:tcPr>
            <w:tcW w:type="dxa" w:w="1757"/>
            <w:shd w:fill="F4F8F9" w:val="clear"/>
            <w:tcMar>
              <w:top w:w="90" w:type="dxa"/>
              <w:start w:w="115" w:type="dxa"/>
              <w:bottom w:w="90" w:type="dxa"/>
              <w:end w:w="115" w:type="dxa"/>
            </w:tcMar>
            <w:tcBorders>
              <w:bottom w:val="single" w:sz="4" w:color="D7E3E7"/>
            </w:tcBorders>
            <w:vAlign w:val="center"/>
          </w:tcPr>
          <w:p>
            <w:pPr>
              <w:pStyle w:val="TableText"/>
            </w:pPr>
            <w:r>
              <w:rPr>
                <w:sz w:val="21"/>
              </w:rPr>
              <w:t>Non</w:t>
            </w:r>
          </w:p>
        </w:tc>
      </w:tr>
      <w:tr>
        <w:trPr>
          <w:cantSplit/>
        </w:trPr>
        <w:tc>
          <w:tcPr>
            <w:tcW w:type="dxa" w:w="1928"/>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1"/>
              </w:rPr>
              <w:t>Lactose</w:t>
            </w:r>
          </w:p>
        </w:tc>
        <w:tc>
          <w:tcPr>
            <w:tcW w:type="dxa" w:w="5953"/>
            <w:shd w:fill="FFFFFF" w:val="clear"/>
            <w:tcMar>
              <w:top w:w="90" w:type="dxa"/>
              <w:start w:w="115" w:type="dxa"/>
              <w:bottom w:w="90" w:type="dxa"/>
              <w:end w:w="115" w:type="dxa"/>
            </w:tcMar>
            <w:tcBorders>
              <w:bottom w:val="single" w:sz="4" w:color="D7E3E7"/>
            </w:tcBorders>
            <w:vAlign w:val="center"/>
          </w:tcPr>
          <w:p>
            <w:pPr>
              <w:pStyle w:val="TableText"/>
            </w:pPr>
            <w:r>
              <w:rPr>
                <w:sz w:val="21"/>
              </w:rPr>
              <w:t>β-D-Galp-(1→4)-D-Glcp</w:t>
            </w:r>
          </w:p>
        </w:tc>
        <w:tc>
          <w:tcPr>
            <w:tcW w:type="dxa" w:w="1757"/>
            <w:shd w:fill="FFFFFF" w:val="clear"/>
            <w:tcMar>
              <w:top w:w="90" w:type="dxa"/>
              <w:start w:w="115" w:type="dxa"/>
              <w:bottom w:w="90" w:type="dxa"/>
              <w:end w:w="115" w:type="dxa"/>
            </w:tcMar>
            <w:tcBorders>
              <w:bottom w:val="single" w:sz="4" w:color="D7E3E7"/>
            </w:tcBorders>
            <w:vAlign w:val="center"/>
          </w:tcPr>
          <w:p>
            <w:pPr>
              <w:pStyle w:val="TableText"/>
            </w:pPr>
            <w:r>
              <w:rPr>
                <w:sz w:val="21"/>
              </w:rPr>
              <w:t>Oui</w:t>
            </w:r>
          </w:p>
        </w:tc>
      </w:tr>
      <w:tr>
        <w:trPr>
          <w:cantSplit/>
        </w:trPr>
        <w:tc>
          <w:tcPr>
            <w:tcW w:type="dxa" w:w="1928"/>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1"/>
              </w:rPr>
              <w:t>Maltose</w:t>
            </w:r>
          </w:p>
        </w:tc>
        <w:tc>
          <w:tcPr>
            <w:tcW w:type="dxa" w:w="5953"/>
            <w:shd w:fill="F4F8F9" w:val="clear"/>
            <w:tcMar>
              <w:top w:w="90" w:type="dxa"/>
              <w:start w:w="115" w:type="dxa"/>
              <w:bottom w:w="90" w:type="dxa"/>
              <w:end w:w="115" w:type="dxa"/>
            </w:tcMar>
            <w:tcBorders>
              <w:bottom w:val="single" w:sz="4" w:color="D7E3E7"/>
            </w:tcBorders>
            <w:vAlign w:val="center"/>
          </w:tcPr>
          <w:p>
            <w:pPr>
              <w:pStyle w:val="TableText"/>
            </w:pPr>
            <w:r>
              <w:rPr>
                <w:sz w:val="21"/>
              </w:rPr>
              <w:t>α-D-Glcp-(1→4)-D-Glcp</w:t>
            </w:r>
          </w:p>
        </w:tc>
        <w:tc>
          <w:tcPr>
            <w:tcW w:type="dxa" w:w="1757"/>
            <w:shd w:fill="F4F8F9" w:val="clear"/>
            <w:tcMar>
              <w:top w:w="90" w:type="dxa"/>
              <w:start w:w="115" w:type="dxa"/>
              <w:bottom w:w="90" w:type="dxa"/>
              <w:end w:w="115" w:type="dxa"/>
            </w:tcMar>
            <w:tcBorders>
              <w:bottom w:val="single" w:sz="4" w:color="D7E3E7"/>
            </w:tcBorders>
            <w:vAlign w:val="center"/>
          </w:tcPr>
          <w:p>
            <w:pPr>
              <w:pStyle w:val="TableText"/>
            </w:pPr>
            <w:r>
              <w:rPr>
                <w:sz w:val="21"/>
              </w:rPr>
              <w:t>Oui</w:t>
            </w:r>
          </w:p>
        </w:tc>
      </w:tr>
    </w:tbl>
    <w:p>
      <w:pPr>
        <w:spacing w:after="20"/>
      </w:pPr>
    </w:p>
    <w:p>
      <w:pPr>
        <w:pStyle w:val="Heading2"/>
      </w:pPr>
      <w:r>
        <w:t>Exemple guidé : β-D-Galp-(1→4)-β-D-Glcp</w:t>
      </w:r>
    </w:p>
    <w:p>
      <w:r>
        <w:t>Placer un β-D-galactopyranose à gauche et un β-D-glucopyranose à droite. Repérer le OH anomérique du galactose et le OH de C4 du glucose, puis tracer le pont osidique C–O–C entre C1 et C4. Vérifier que la liaison part vers le haut en C1 du galactose. Le OH β en C1 du glucose reste présent : le β-lactose est réducteur.</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ABRÉVIATIONS UTILISÉES</w:t>
            </w:r>
          </w:p>
          <w:p>
            <w:pPr>
              <w:pStyle w:val="Callout"/>
              <w:spacing w:after="0"/>
            </w:pPr>
            <w:r>
              <w:t>Glcp, Galp et Fruf sont des abréviations : Glc = glucose, Gal = galactose, Fru = fructose ; p = pyranose, f = furanose. Les lettres D, α et β restent indispensables.</w:t>
            </w:r>
          </w:p>
        </w:tc>
      </w:tr>
    </w:tbl>
    <w:p>
      <w:pPr>
        <w:spacing w:after="20"/>
      </w:pPr>
    </w:p>
    <w:p>
      <w:pPr>
        <w:pStyle w:val="Kicker"/>
        <w:pageBreakBefore/>
      </w:pPr>
      <w:r>
        <w:t>MODULE 6 • S’ENTRAÎNER</w:t>
      </w:r>
    </w:p>
    <w:p>
      <w:bookmarkStart w:id="28" w:name="entrainement"/>
      <w:pPr>
        <w:pStyle w:val="Heading1"/>
      </w:pPr>
      <w:r>
        <w:t>15. Autoévaluation avant le TD</w:t>
      </w:r>
      <w:bookmarkEnd w:id="28"/>
    </w:p>
    <w:p>
      <w:r>
        <w:t>Répondre sans consulter la fiche de synthèse. Pour chaque item, donner une justification courte : la réponse seule ne suffit pas.</w:t>
      </w:r>
    </w:p>
    <w:p>
      <w:pPr>
        <w:pStyle w:val="Heading2"/>
      </w:pPr>
      <w:r>
        <w:t>Q1 • Classification</w:t>
      </w:r>
    </w:p>
    <w:p>
      <w:r>
        <w:t>Un aldotétrose possède-t-il quatre centres chiraux ? Donner son nombre de stéréoisomères ouverts.</w:t>
      </w:r>
    </w:p>
    <w:p>
      <w:pPr>
        <w:pStyle w:val="Heading2"/>
      </w:pPr>
      <w:r>
        <w:t>Q2 • Série</w:t>
      </w:r>
    </w:p>
    <w:p>
      <w:r>
        <w:t>Un ose possède le OH de C5 à gauche dans une projection de Fischer correctement orientée. Peut-on conclure qu’il est L si son OH de C4 est à droite ?</w:t>
      </w:r>
    </w:p>
    <w:p>
      <w:pPr>
        <w:pStyle w:val="Heading2"/>
      </w:pPr>
      <w:r>
        <w:t>Q3 • Comparaison</w:t>
      </w:r>
    </w:p>
    <w:p>
      <w:r>
        <w:t>Quelle relation précise unit D-glucose et D-mannose ? Et D-glucose et D-fructose ?</w:t>
      </w:r>
    </w:p>
    <w:p>
      <w:pPr>
        <w:pStyle w:val="Heading2"/>
      </w:pPr>
      <w:r>
        <w:t>Q4 • Anomérie</w:t>
      </w:r>
    </w:p>
    <w:p>
      <w:r>
        <w:t>Dessiner α-D-glucopyranose, puis modifier uniquement le groupement nécessaire pour obtenir β-D-glucopyranose.</w:t>
      </w:r>
    </w:p>
    <w:p>
      <w:pPr>
        <w:pStyle w:val="Heading2"/>
      </w:pPr>
      <w:r>
        <w:t>Q5 • Fructose</w:t>
      </w:r>
    </w:p>
    <w:p>
      <w:r>
        <w:t>Pourquoi le carbone anomérique du fructose est-il C2 et non C1 ? Quel OH faut-il engager pour obtenir un fructofuranose ?</w:t>
      </w:r>
    </w:p>
    <w:p>
      <w:pPr>
        <w:pStyle w:val="Heading2"/>
      </w:pPr>
      <w:r>
        <w:t>Q6 • Liaison</w:t>
      </w:r>
    </w:p>
    <w:p>
      <w:r>
        <w:t>Décoder β-D-Galp-(1→4)-D-Glcp : donneur, accepteur, liaison et carbone anomérique libre.</w:t>
      </w:r>
    </w:p>
    <w:p>
      <w:pPr>
        <w:pStyle w:val="Heading2"/>
      </w:pPr>
      <w:r>
        <w:t>Q7 • Réduction</w:t>
      </w:r>
    </w:p>
    <w:p>
      <w:r>
        <w:t>Un camarade affirme : « Le saccharose contient du glucose, donc il est réducteur ». Réfuter cette affirmation.</w:t>
      </w:r>
    </w:p>
    <w:p>
      <w:pPr>
        <w:pStyle w:val="Heading2"/>
      </w:pPr>
      <w:r>
        <w:t>Q8 • Formule</w:t>
      </w:r>
    </w:p>
    <w:p>
      <w:r>
        <w:t>Justifier la formule brute C₁₂H₂₂O₁₁ d’un diholoside formé à partir de deux hexoses, puis indiquer la limite de ce calcul pour prévoir sa structure.</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CONSEIL DE TRAVAIL</w:t>
            </w:r>
          </w:p>
          <w:p>
            <w:pPr>
              <w:pStyle w:val="Callout"/>
              <w:spacing w:after="0"/>
            </w:pPr>
            <w:r>
              <w:t>Objectif : savoir expliquer le critère utilisé. Les réponses sont proposées à la page suivante ; le corrigé complet du TD fourni est dans le second document.</w:t>
            </w:r>
          </w:p>
        </w:tc>
      </w:tr>
    </w:tbl>
    <w:p>
      <w:pPr>
        <w:spacing w:after="20"/>
      </w:pPr>
    </w:p>
    <w:p>
      <w:pPr>
        <w:pStyle w:val="Kicker"/>
        <w:pageBreakBefore/>
      </w:pPr>
      <w:r>
        <w:t>MODULE 6 • VÉRIFIER SES RÉPONSES</w:t>
      </w:r>
    </w:p>
    <w:p>
      <w:bookmarkStart w:id="29" w:name="reponses"/>
      <w:pPr>
        <w:pStyle w:val="Heading1"/>
      </w:pPr>
      <w:r>
        <w:t>16. Réponses de l’autoévaluation</w:t>
      </w:r>
      <w:bookmarkEnd w:id="29"/>
    </w:p>
    <w:tbl>
      <w:tblPr>
        <w:tblW w:type="dxa" w:w="9639"/>
        <w:jc w:val="center"/>
        <w:tblLayout w:type="fixed"/>
        <w:tblLook w:firstColumn="1" w:firstRow="1" w:lastColumn="0" w:lastRow="0" w:noHBand="0" w:noVBand="1" w:val="04A0"/>
      </w:tblPr>
      <w:tblGrid>
        <w:gridCol w:w="964"/>
        <w:gridCol w:w="8674"/>
      </w:tblGrid>
      <w:tr>
        <w:trPr>
          <w:tblHeader/>
          <w:cantSplit/>
        </w:trPr>
        <w:tc>
          <w:tcPr>
            <w:tcW w:type="dxa" w:w="964"/>
            <w:shd w:fill="17324D" w:val="clear"/>
            <w:tcMar>
              <w:top w:w="100" w:type="dxa"/>
              <w:start w:w="115" w:type="dxa"/>
              <w:bottom w:w="100" w:type="dxa"/>
              <w:end w:w="115" w:type="dxa"/>
            </w:tcMar>
            <w:vAlign w:val="center"/>
          </w:tcPr>
          <w:p>
            <w:pPr>
              <w:pStyle w:val="TableText"/>
              <w:keepNext/>
            </w:pPr>
            <w:r>
              <w:rPr>
                <w:b/>
                <w:color w:val="FFFFFF"/>
                <w:sz w:val="20"/>
              </w:rPr>
              <w:t>Item</w:t>
            </w:r>
          </w:p>
        </w:tc>
        <w:tc>
          <w:tcPr>
            <w:tcW w:type="dxa" w:w="8674"/>
            <w:shd w:fill="17324D" w:val="clear"/>
            <w:tcMar>
              <w:top w:w="100" w:type="dxa"/>
              <w:start w:w="115" w:type="dxa"/>
              <w:bottom w:w="100" w:type="dxa"/>
              <w:end w:w="115" w:type="dxa"/>
            </w:tcMar>
            <w:vAlign w:val="center"/>
          </w:tcPr>
          <w:p>
            <w:pPr>
              <w:pStyle w:val="TableText"/>
              <w:keepNext/>
            </w:pPr>
            <w:r>
              <w:rPr>
                <w:b/>
                <w:color w:val="FFFFFF"/>
                <w:sz w:val="20"/>
              </w:rPr>
              <w:t>Réponse et justification</w:t>
            </w:r>
          </w:p>
        </w:tc>
      </w:tr>
      <w:tr>
        <w:trPr>
          <w:cantSplit/>
        </w:trPr>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Q1</w:t>
            </w:r>
          </w:p>
        </w:tc>
        <w:tc>
          <w:tcPr>
            <w:tcW w:type="dxa" w:w="8674"/>
            <w:shd w:fill="F4F8F9" w:val="clear"/>
            <w:tcMar>
              <w:top w:w="90" w:type="dxa"/>
              <w:start w:w="115" w:type="dxa"/>
              <w:bottom w:w="90" w:type="dxa"/>
              <w:end w:w="115" w:type="dxa"/>
            </w:tcMar>
            <w:tcBorders>
              <w:bottom w:val="single" w:sz="4" w:color="D7E3E7"/>
            </w:tcBorders>
            <w:vAlign w:val="center"/>
          </w:tcPr>
          <w:p>
            <w:pPr>
              <w:pStyle w:val="TableText"/>
            </w:pPr>
            <w:r>
              <w:rPr>
                <w:sz w:val="20"/>
              </w:rPr>
              <w:t>Non. Un aldotétrose a 4 carbones mais seulement C2 et C3 chiraux : m = 2, donc 2² = 4 stéréoisomères ouverts, répartis en 2 D et 2 L.</w:t>
            </w:r>
          </w:p>
        </w:tc>
      </w:tr>
      <w:tr>
        <w:trPr>
          <w:cantSplit/>
        </w:trPr>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Q2</w:t>
            </w:r>
          </w:p>
        </w:tc>
        <w:tc>
          <w:tcPr>
            <w:tcW w:type="dxa" w:w="8674"/>
            <w:shd w:fill="FFFFFF" w:val="clear"/>
            <w:tcMar>
              <w:top w:w="90" w:type="dxa"/>
              <w:start w:w="115" w:type="dxa"/>
              <w:bottom w:w="90" w:type="dxa"/>
              <w:end w:w="115" w:type="dxa"/>
            </w:tcMar>
            <w:tcBorders>
              <w:bottom w:val="single" w:sz="4" w:color="D7E3E7"/>
            </w:tcBorders>
            <w:vAlign w:val="center"/>
          </w:tcPr>
          <w:p>
            <w:pPr>
              <w:pStyle w:val="TableText"/>
            </w:pPr>
            <w:r>
              <w:rPr>
                <w:sz w:val="20"/>
              </w:rPr>
              <w:t>Oui, si C5 est bien le dernier centre chiral. La série dépend du centre chiral le plus éloigné du carbonyle, pas de C4.</w:t>
            </w:r>
          </w:p>
        </w:tc>
      </w:tr>
      <w:tr>
        <w:trPr>
          <w:cantSplit/>
        </w:trPr>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Q3</w:t>
            </w:r>
          </w:p>
        </w:tc>
        <w:tc>
          <w:tcPr>
            <w:tcW w:type="dxa" w:w="8674"/>
            <w:shd w:fill="F4F8F9" w:val="clear"/>
            <w:tcMar>
              <w:top w:w="90" w:type="dxa"/>
              <w:start w:w="115" w:type="dxa"/>
              <w:bottom w:w="90" w:type="dxa"/>
              <w:end w:w="115" w:type="dxa"/>
            </w:tcMar>
            <w:tcBorders>
              <w:bottom w:val="single" w:sz="4" w:color="D7E3E7"/>
            </w:tcBorders>
            <w:vAlign w:val="center"/>
          </w:tcPr>
          <w:p>
            <w:pPr>
              <w:pStyle w:val="TableText"/>
            </w:pPr>
            <w:r>
              <w:rPr>
                <w:sz w:val="20"/>
              </w:rPr>
              <w:t>D-glucose / D-mannose : épimères en C2, donc aussi diastéréoisomères. D-glucose / D-fructose : isomères de constitution aldose/cétose.</w:t>
            </w:r>
          </w:p>
        </w:tc>
      </w:tr>
      <w:tr>
        <w:trPr>
          <w:cantSplit/>
        </w:trPr>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Q4</w:t>
            </w:r>
          </w:p>
        </w:tc>
        <w:tc>
          <w:tcPr>
            <w:tcW w:type="dxa" w:w="8674"/>
            <w:shd w:fill="FFFFFF" w:val="clear"/>
            <w:tcMar>
              <w:top w:w="90" w:type="dxa"/>
              <w:start w:w="115" w:type="dxa"/>
              <w:bottom w:w="90" w:type="dxa"/>
              <w:end w:w="115" w:type="dxa"/>
            </w:tcMar>
            <w:tcBorders>
              <w:bottom w:val="single" w:sz="4" w:color="D7E3E7"/>
            </w:tcBorders>
            <w:vAlign w:val="center"/>
          </w:tcPr>
          <w:p>
            <w:pPr>
              <w:pStyle w:val="TableText"/>
            </w:pPr>
            <w:r>
              <w:rPr>
                <w:sz w:val="20"/>
              </w:rPr>
              <w:t>Inverser seulement la configuration en C1. En Haworth standard D, le OH anomérique passe de bas (α) à haut (β). Ne pas déplacer les autres OH.</w:t>
            </w:r>
          </w:p>
        </w:tc>
      </w:tr>
      <w:tr>
        <w:trPr>
          <w:cantSplit/>
        </w:trPr>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Q5</w:t>
            </w:r>
          </w:p>
        </w:tc>
        <w:tc>
          <w:tcPr>
            <w:tcW w:type="dxa" w:w="8674"/>
            <w:shd w:fill="F4F8F9" w:val="clear"/>
            <w:tcMar>
              <w:top w:w="90" w:type="dxa"/>
              <w:start w:w="115" w:type="dxa"/>
              <w:bottom w:w="90" w:type="dxa"/>
              <w:end w:w="115" w:type="dxa"/>
            </w:tcMar>
            <w:tcBorders>
              <w:bottom w:val="single" w:sz="4" w:color="D7E3E7"/>
            </w:tcBorders>
            <w:vAlign w:val="center"/>
          </w:tcPr>
          <w:p>
            <w:pPr>
              <w:pStyle w:val="TableText"/>
            </w:pPr>
            <w:r>
              <w:rPr>
                <w:sz w:val="20"/>
              </w:rPr>
              <w:t>La fonction cétone est en C2 ; C1 est un CH₂OH. L’attaque de C5–OH sur C2 donne un cycle C2–C3–C4–C5–O, donc un furanose.</w:t>
            </w:r>
          </w:p>
        </w:tc>
      </w:tr>
      <w:tr>
        <w:trPr>
          <w:cantSplit/>
        </w:trPr>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Q6</w:t>
            </w:r>
          </w:p>
        </w:tc>
        <w:tc>
          <w:tcPr>
            <w:tcW w:type="dxa" w:w="8674"/>
            <w:shd w:fill="FFFFFF" w:val="clear"/>
            <w:tcMar>
              <w:top w:w="90" w:type="dxa"/>
              <w:start w:w="115" w:type="dxa"/>
              <w:bottom w:w="90" w:type="dxa"/>
              <w:end w:w="115" w:type="dxa"/>
            </w:tcMar>
            <w:tcBorders>
              <w:bottom w:val="single" w:sz="4" w:color="D7E3E7"/>
            </w:tcBorders>
            <w:vAlign w:val="center"/>
          </w:tcPr>
          <w:p>
            <w:pPr>
              <w:pStyle w:val="TableText"/>
            </w:pPr>
            <w:r>
              <w:rPr>
                <w:sz w:val="20"/>
              </w:rPr>
              <w:t>Donneur : β-D-galactopyranosyl. Liaison C1→OH de C4 du D-glucopyranose. Le C1 du glucose reste libre : lactose réducteur.</w:t>
            </w:r>
          </w:p>
        </w:tc>
      </w:tr>
      <w:tr>
        <w:trPr>
          <w:cantSplit/>
        </w:trPr>
        <w:tc>
          <w:tcPr>
            <w:tcW w:type="dxa" w:w="964"/>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Q7</w:t>
            </w:r>
          </w:p>
        </w:tc>
        <w:tc>
          <w:tcPr>
            <w:tcW w:type="dxa" w:w="8674"/>
            <w:shd w:fill="F4F8F9" w:val="clear"/>
            <w:tcMar>
              <w:top w:w="90" w:type="dxa"/>
              <w:start w:w="115" w:type="dxa"/>
              <w:bottom w:w="90" w:type="dxa"/>
              <w:end w:w="115" w:type="dxa"/>
            </w:tcMar>
            <w:tcBorders>
              <w:bottom w:val="single" w:sz="4" w:color="D7E3E7"/>
            </w:tcBorders>
            <w:vAlign w:val="center"/>
          </w:tcPr>
          <w:p>
            <w:pPr>
              <w:pStyle w:val="TableText"/>
            </w:pPr>
            <w:r>
              <w:rPr>
                <w:sz w:val="20"/>
              </w:rPr>
              <w:t>Dans le saccharose, le C1 anomérique du glucose est engagé dans la liaison avec C2 du fructose. Il ne peut plus s’ouvrir directement ; les deux anomères sont bloqués.</w:t>
            </w:r>
          </w:p>
        </w:tc>
      </w:tr>
      <w:tr>
        <w:trPr>
          <w:cantSplit/>
        </w:trPr>
        <w:tc>
          <w:tcPr>
            <w:tcW w:type="dxa" w:w="964"/>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Q8</w:t>
            </w:r>
          </w:p>
        </w:tc>
        <w:tc>
          <w:tcPr>
            <w:tcW w:type="dxa" w:w="8674"/>
            <w:shd w:fill="FFFFFF" w:val="clear"/>
            <w:tcMar>
              <w:top w:w="90" w:type="dxa"/>
              <w:start w:w="115" w:type="dxa"/>
              <w:bottom w:w="90" w:type="dxa"/>
              <w:end w:w="115" w:type="dxa"/>
            </w:tcMar>
            <w:tcBorders>
              <w:bottom w:val="single" w:sz="4" w:color="D7E3E7"/>
            </w:tcBorders>
            <w:vAlign w:val="center"/>
          </w:tcPr>
          <w:p>
            <w:pPr>
              <w:pStyle w:val="TableText"/>
            </w:pPr>
            <w:r>
              <w:rPr>
                <w:sz w:val="20"/>
              </w:rPr>
              <w:t>Bilan formel : 2 × C₆H₁₂O₆ − H₂O = C₁₂H₂₂O₁₁. Cette formule ne précise ni les oses, ni les cycles, ni les configurations, ni les positions de liaison.</w:t>
            </w:r>
          </w:p>
        </w:tc>
      </w:tr>
    </w:tbl>
    <w:p>
      <w:pPr>
        <w:spacing w:after="20"/>
      </w:pPr>
    </w:p>
    <w:p>
      <w:pPr>
        <w:pStyle w:val="Heading2"/>
      </w:pPr>
      <w:r>
        <w:t>Barème personnel de maîtrise</w:t>
      </w:r>
    </w:p>
    <w:tbl>
      <w:tblPr>
        <w:tblW w:type="dxa" w:w="9639"/>
        <w:jc w:val="center"/>
        <w:tblLayout w:type="fixed"/>
        <w:tblLook w:firstColumn="1" w:firstRow="1" w:lastColumn="0" w:lastRow="0" w:noHBand="0" w:noVBand="1" w:val="04A0"/>
      </w:tblPr>
      <w:tblGrid>
        <w:gridCol w:w="3402"/>
        <w:gridCol w:w="6236"/>
      </w:tblGrid>
      <w:tr>
        <w:trPr>
          <w:tblHeader/>
          <w:cantSplit/>
        </w:trPr>
        <w:tc>
          <w:tcPr>
            <w:tcW w:type="dxa" w:w="3402"/>
            <w:shd w:fill="17324D" w:val="clear"/>
            <w:tcMar>
              <w:top w:w="100" w:type="dxa"/>
              <w:start w:w="115" w:type="dxa"/>
              <w:bottom w:w="100" w:type="dxa"/>
              <w:end w:w="115" w:type="dxa"/>
            </w:tcMar>
            <w:vAlign w:val="center"/>
          </w:tcPr>
          <w:p>
            <w:pPr>
              <w:pStyle w:val="TableText"/>
              <w:keepNext/>
            </w:pPr>
            <w:r>
              <w:rPr>
                <w:b/>
                <w:color w:val="FFFFFF"/>
                <w:sz w:val="20"/>
              </w:rPr>
              <w:t>Résultat</w:t>
            </w:r>
          </w:p>
        </w:tc>
        <w:tc>
          <w:tcPr>
            <w:tcW w:type="dxa" w:w="6236"/>
            <w:shd w:fill="17324D" w:val="clear"/>
            <w:tcMar>
              <w:top w:w="100" w:type="dxa"/>
              <w:start w:w="115" w:type="dxa"/>
              <w:bottom w:w="100" w:type="dxa"/>
              <w:end w:w="115" w:type="dxa"/>
            </w:tcMar>
            <w:vAlign w:val="center"/>
          </w:tcPr>
          <w:p>
            <w:pPr>
              <w:pStyle w:val="TableText"/>
              <w:keepNext/>
            </w:pPr>
            <w:r>
              <w:rPr>
                <w:b/>
                <w:color w:val="FFFFFF"/>
                <w:sz w:val="20"/>
              </w:rPr>
              <w:t>Action conseillée</w:t>
            </w:r>
          </w:p>
        </w:tc>
      </w:tr>
      <w:tr>
        <w:trPr>
          <w:cantSplit/>
        </w:trPr>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7–8 réponses justes et justifiées</w:t>
            </w:r>
          </w:p>
        </w:tc>
        <w:tc>
          <w:tcPr>
            <w:tcW w:type="dxa" w:w="6236"/>
            <w:shd w:fill="F4F8F9" w:val="clear"/>
            <w:tcMar>
              <w:top w:w="90" w:type="dxa"/>
              <w:start w:w="115" w:type="dxa"/>
              <w:bottom w:w="90" w:type="dxa"/>
              <w:end w:w="115" w:type="dxa"/>
            </w:tcMar>
            <w:tcBorders>
              <w:bottom w:val="single" w:sz="4" w:color="D7E3E7"/>
            </w:tcBorders>
            <w:vAlign w:val="center"/>
          </w:tcPr>
          <w:p>
            <w:pPr>
              <w:pStyle w:val="TableText"/>
            </w:pPr>
            <w:r>
              <w:rPr>
                <w:sz w:val="20"/>
              </w:rPr>
              <w:t>Passer au TD et vérifier surtout la qualité des dessins.</w:t>
            </w:r>
          </w:p>
        </w:tc>
      </w:tr>
      <w:tr>
        <w:trPr>
          <w:cantSplit/>
        </w:trPr>
        <w:tc>
          <w:tcPr>
            <w:tcW w:type="dxa" w:w="3402"/>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5–6 réponses justes</w:t>
            </w:r>
          </w:p>
        </w:tc>
        <w:tc>
          <w:tcPr>
            <w:tcW w:type="dxa" w:w="6236"/>
            <w:shd w:fill="FFFFFF" w:val="clear"/>
            <w:tcMar>
              <w:top w:w="90" w:type="dxa"/>
              <w:start w:w="115" w:type="dxa"/>
              <w:bottom w:w="90" w:type="dxa"/>
              <w:end w:w="115" w:type="dxa"/>
            </w:tcMar>
            <w:tcBorders>
              <w:bottom w:val="single" w:sz="4" w:color="D7E3E7"/>
            </w:tcBorders>
            <w:vAlign w:val="center"/>
          </w:tcPr>
          <w:p>
            <w:pPr>
              <w:pStyle w:val="TableText"/>
            </w:pPr>
            <w:r>
              <w:rPr>
                <w:sz w:val="20"/>
              </w:rPr>
              <w:t>Revoir les notions correspondant aux erreurs avant de mémoriser les noms.</w:t>
            </w:r>
          </w:p>
        </w:tc>
      </w:tr>
      <w:tr>
        <w:trPr>
          <w:cantSplit/>
        </w:trPr>
        <w:tc>
          <w:tcPr>
            <w:tcW w:type="dxa" w:w="3402"/>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Moins de 5 réponses justes</w:t>
            </w:r>
          </w:p>
        </w:tc>
        <w:tc>
          <w:tcPr>
            <w:tcW w:type="dxa" w:w="6236"/>
            <w:shd w:fill="F4F8F9" w:val="clear"/>
            <w:tcMar>
              <w:top w:w="90" w:type="dxa"/>
              <w:start w:w="115" w:type="dxa"/>
              <w:bottom w:w="90" w:type="dxa"/>
              <w:end w:w="115" w:type="dxa"/>
            </w:tcMar>
            <w:tcBorders>
              <w:bottom w:val="single" w:sz="4" w:color="D7E3E7"/>
            </w:tcBorders>
            <w:vAlign w:val="center"/>
          </w:tcPr>
          <w:p>
            <w:pPr>
              <w:pStyle w:val="TableText"/>
            </w:pPr>
            <w:r>
              <w:rPr>
                <w:sz w:val="20"/>
              </w:rPr>
              <w:t>Reprendre Fischer → Haworth → liaison → pouvoir réducteur dans cet ordre.</w:t>
            </w:r>
          </w:p>
        </w:tc>
      </w:tr>
    </w:tbl>
    <w:p>
      <w:pPr>
        <w:spacing w:after="20"/>
      </w:pPr>
    </w:p>
    <w:tbl>
      <w:tblPr>
        <w:tblW w:type="auto" w:w="0"/>
        <w:jc w:val="center"/>
        <w:tblLayout w:type="fixed"/>
        <w:tblLook w:firstColumn="1" w:firstRow="1" w:lastColumn="0" w:lastRow="0" w:noHBand="0" w:noVBand="1" w:val="04A0"/>
      </w:tblPr>
      <w:tblGrid>
        <w:gridCol w:w="9638"/>
      </w:tblGrid>
      <w:tr>
        <w:trPr>
          <w:cantSplit/>
        </w:trPr>
        <w:tc>
          <w:tcPr>
            <w:tcW w:type="dxa" w:w="9638"/>
            <w:shd w:fill="FFF4DE" w:val="clear"/>
            <w:tcMar>
              <w:top w:w="120" w:type="dxa"/>
              <w:start w:w="160" w:type="dxa"/>
              <w:bottom w:w="120" w:type="dxa"/>
              <w:end w:w="160" w:type="dxa"/>
            </w:tcMar>
            <w:tcBorders>
              <w:left w:val="single" w:sz="20" w:color="D69A36"/>
              <w:top w:val="nil" w:sz="6" w:color="D7E3E7"/>
              <w:bottom w:val="nil" w:sz="6" w:color="D7E3E7"/>
              <w:right w:val="nil" w:sz="6" w:color="D7E3E7"/>
            </w:tcBorders>
          </w:tcPr>
          <w:p>
            <w:pPr>
              <w:pStyle w:val="Callout"/>
            </w:pPr>
            <w:r>
              <w:rPr>
                <w:b/>
                <w:color w:val="D69A36"/>
                <w:sz w:val="18"/>
              </w:rPr>
              <w:t>CRITÈRE DE RÉUSSITE</w:t>
            </w:r>
          </w:p>
          <w:p>
            <w:pPr>
              <w:pStyle w:val="Callout"/>
              <w:spacing w:after="0"/>
            </w:pPr>
            <w:r>
              <w:t>Une réponse juste avec une justification fausse n’est pas maîtrisée. En stéréochimie, la relation entre les structures compte autant que le nom.</w:t>
            </w:r>
          </w:p>
        </w:tc>
      </w:tr>
    </w:tbl>
    <w:p>
      <w:pPr>
        <w:spacing w:after="20"/>
      </w:pPr>
    </w:p>
    <w:p>
      <w:pPr>
        <w:pStyle w:val="Kicker"/>
        <w:pageBreakBefore/>
      </w:pPr>
      <w:r>
        <w:t>MODULE 7 • FICHE DE SYNTHÈSE</w:t>
      </w:r>
    </w:p>
    <w:p>
      <w:bookmarkStart w:id="30" w:name="revision"/>
      <w:pPr>
        <w:pStyle w:val="Heading1"/>
      </w:pPr>
      <w:r>
        <w:t>17. Les réflexes à conserver</w:t>
      </w:r>
      <w:bookmarkEnd w:id="30"/>
    </w:p>
    <w:tbl>
      <w:tblPr>
        <w:tblW w:type="dxa" w:w="9639"/>
        <w:jc w:val="center"/>
        <w:tblLayout w:type="fixed"/>
        <w:tblLook w:firstColumn="1" w:firstRow="1" w:lastColumn="0" w:lastRow="0" w:noHBand="0" w:noVBand="1" w:val="04A0"/>
      </w:tblPr>
      <w:tblGrid>
        <w:gridCol w:w="3969"/>
        <w:gridCol w:w="5669"/>
      </w:tblGrid>
      <w:tr>
        <w:trPr>
          <w:tblHeader/>
          <w:cantSplit/>
        </w:trPr>
        <w:tc>
          <w:tcPr>
            <w:tcW w:type="dxa" w:w="3969"/>
            <w:shd w:fill="17324D" w:val="clear"/>
            <w:tcMar>
              <w:top w:w="100" w:type="dxa"/>
              <w:start w:w="115" w:type="dxa"/>
              <w:bottom w:w="100" w:type="dxa"/>
              <w:end w:w="115" w:type="dxa"/>
            </w:tcMar>
            <w:vAlign w:val="center"/>
          </w:tcPr>
          <w:p>
            <w:pPr>
              <w:pStyle w:val="TableText"/>
              <w:keepNext/>
            </w:pPr>
            <w:r>
              <w:rPr>
                <w:b/>
                <w:color w:val="FFFFFF"/>
                <w:sz w:val="20"/>
              </w:rPr>
              <w:t>Avant de rendre une copie…</w:t>
            </w:r>
          </w:p>
        </w:tc>
        <w:tc>
          <w:tcPr>
            <w:tcW w:type="dxa" w:w="5669"/>
            <w:shd w:fill="17324D" w:val="clear"/>
            <w:tcMar>
              <w:top w:w="100" w:type="dxa"/>
              <w:start w:w="115" w:type="dxa"/>
              <w:bottom w:w="100" w:type="dxa"/>
              <w:end w:w="115" w:type="dxa"/>
            </w:tcMar>
            <w:vAlign w:val="center"/>
          </w:tcPr>
          <w:p>
            <w:pPr>
              <w:pStyle w:val="TableText"/>
              <w:keepNext/>
            </w:pPr>
            <w:r>
              <w:rPr>
                <w:b/>
                <w:color w:val="FFFFFF"/>
                <w:sz w:val="20"/>
              </w:rPr>
              <w:t>Vérification</w:t>
            </w:r>
          </w:p>
        </w:tc>
      </w:tr>
      <w:tr>
        <w:trPr>
          <w:cantSplit/>
        </w:trPr>
        <w:tc>
          <w:tcPr>
            <w:tcW w:type="dxa" w:w="3969"/>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J’ai identifié la fonction</w:t>
            </w:r>
          </w:p>
        </w:tc>
        <w:tc>
          <w:tcPr>
            <w:tcW w:type="dxa" w:w="5669"/>
            <w:shd w:fill="F4F8F9" w:val="clear"/>
            <w:tcMar>
              <w:top w:w="90" w:type="dxa"/>
              <w:start w:w="115" w:type="dxa"/>
              <w:bottom w:w="90" w:type="dxa"/>
              <w:end w:w="115" w:type="dxa"/>
            </w:tcMar>
            <w:tcBorders>
              <w:bottom w:val="single" w:sz="4" w:color="D7E3E7"/>
            </w:tcBorders>
            <w:vAlign w:val="center"/>
          </w:tcPr>
          <w:p>
            <w:pPr>
              <w:pStyle w:val="TableText"/>
            </w:pPr>
            <w:r>
              <w:rPr>
                <w:sz w:val="20"/>
              </w:rPr>
              <w:t>Aldéhyde ou cétone ; numéro du carbone anomérique.</w:t>
            </w:r>
          </w:p>
        </w:tc>
      </w:tr>
      <w:tr>
        <w:trPr>
          <w:cantSplit/>
        </w:trPr>
        <w:tc>
          <w:tcPr>
            <w:tcW w:type="dxa" w:w="3969"/>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J’ai numéroté les carbones</w:t>
            </w:r>
          </w:p>
        </w:tc>
        <w:tc>
          <w:tcPr>
            <w:tcW w:type="dxa" w:w="5669"/>
            <w:shd w:fill="FFFFFF" w:val="clear"/>
            <w:tcMar>
              <w:top w:w="90" w:type="dxa"/>
              <w:start w:w="115" w:type="dxa"/>
              <w:bottom w:w="90" w:type="dxa"/>
              <w:end w:w="115" w:type="dxa"/>
            </w:tcMar>
            <w:tcBorders>
              <w:bottom w:val="single" w:sz="4" w:color="D7E3E7"/>
            </w:tcBorders>
            <w:vAlign w:val="center"/>
          </w:tcPr>
          <w:p>
            <w:pPr>
              <w:pStyle w:val="TableText"/>
            </w:pPr>
            <w:r>
              <w:rPr>
                <w:sz w:val="20"/>
              </w:rPr>
              <w:t>C1 aldéhyde ; C2 cétone pour les 2-cétoses du cours.</w:t>
            </w:r>
          </w:p>
        </w:tc>
      </w:tr>
      <w:tr>
        <w:trPr>
          <w:cantSplit/>
        </w:trPr>
        <w:tc>
          <w:tcPr>
            <w:tcW w:type="dxa" w:w="3969"/>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J’ai justifié D/L</w:t>
            </w:r>
          </w:p>
        </w:tc>
        <w:tc>
          <w:tcPr>
            <w:tcW w:type="dxa" w:w="5669"/>
            <w:shd w:fill="F4F8F9" w:val="clear"/>
            <w:tcMar>
              <w:top w:w="90" w:type="dxa"/>
              <w:start w:w="115" w:type="dxa"/>
              <w:bottom w:w="90" w:type="dxa"/>
              <w:end w:w="115" w:type="dxa"/>
            </w:tcMar>
            <w:tcBorders>
              <w:bottom w:val="single" w:sz="4" w:color="D7E3E7"/>
            </w:tcBorders>
            <w:vAlign w:val="center"/>
          </w:tcPr>
          <w:p>
            <w:pPr>
              <w:pStyle w:val="TableText"/>
            </w:pPr>
            <w:r>
              <w:rPr>
                <w:sz w:val="20"/>
              </w:rPr>
              <w:t>OH du dernier centre chiral, et non signe optique.</w:t>
            </w:r>
          </w:p>
        </w:tc>
      </w:tr>
      <w:tr>
        <w:trPr>
          <w:cantSplit/>
        </w:trPr>
        <w:tc>
          <w:tcPr>
            <w:tcW w:type="dxa" w:w="3969"/>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J’ai nommé la relation</w:t>
            </w:r>
          </w:p>
        </w:tc>
        <w:tc>
          <w:tcPr>
            <w:tcW w:type="dxa" w:w="5669"/>
            <w:shd w:fill="FFFFFF" w:val="clear"/>
            <w:tcMar>
              <w:top w:w="90" w:type="dxa"/>
              <w:start w:w="115" w:type="dxa"/>
              <w:bottom w:w="90" w:type="dxa"/>
              <w:end w:w="115" w:type="dxa"/>
            </w:tcMar>
            <w:tcBorders>
              <w:bottom w:val="single" w:sz="4" w:color="D7E3E7"/>
            </w:tcBorders>
            <w:vAlign w:val="center"/>
          </w:tcPr>
          <w:p>
            <w:pPr>
              <w:pStyle w:val="TableText"/>
            </w:pPr>
            <w:r>
              <w:rPr>
                <w:sz w:val="20"/>
              </w:rPr>
              <w:t>Constitution, énantiomérie, diastéréoisomérie, épimérie ou anomérie.</w:t>
            </w:r>
          </w:p>
        </w:tc>
      </w:tr>
      <w:tr>
        <w:trPr>
          <w:cantSplit/>
        </w:trPr>
        <w:tc>
          <w:tcPr>
            <w:tcW w:type="dxa" w:w="3969"/>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J’ai contrôlé Haworth</w:t>
            </w:r>
          </w:p>
        </w:tc>
        <w:tc>
          <w:tcPr>
            <w:tcW w:type="dxa" w:w="5669"/>
            <w:shd w:fill="F4F8F9" w:val="clear"/>
            <w:tcMar>
              <w:top w:w="90" w:type="dxa"/>
              <w:start w:w="115" w:type="dxa"/>
              <w:bottom w:w="90" w:type="dxa"/>
              <w:end w:w="115" w:type="dxa"/>
            </w:tcMar>
            <w:tcBorders>
              <w:bottom w:val="single" w:sz="4" w:color="D7E3E7"/>
            </w:tcBorders>
            <w:vAlign w:val="center"/>
          </w:tcPr>
          <w:p>
            <w:pPr>
              <w:pStyle w:val="TableText"/>
            </w:pPr>
            <w:r>
              <w:rPr>
                <w:sz w:val="20"/>
              </w:rPr>
              <w:t>Taille du cycle, série, α/β, positions des OH et CH₂OH.</w:t>
            </w:r>
          </w:p>
        </w:tc>
      </w:tr>
      <w:tr>
        <w:trPr>
          <w:cantSplit/>
        </w:trPr>
        <w:tc>
          <w:tcPr>
            <w:tcW w:type="dxa" w:w="3969"/>
            <w:shd w:fill="FFFFFF" w:val="clear"/>
            <w:tcMar>
              <w:top w:w="90" w:type="dxa"/>
              <w:start w:w="115" w:type="dxa"/>
              <w:bottom w:w="90" w:type="dxa"/>
              <w:end w:w="115" w:type="dxa"/>
            </w:tcMar>
            <w:tcBorders>
              <w:bottom w:val="single" w:sz="4" w:color="D7E3E7"/>
            </w:tcBorders>
            <w:vAlign w:val="center"/>
          </w:tcPr>
          <w:p>
            <w:pPr>
              <w:pStyle w:val="TableText"/>
            </w:pPr>
            <w:r>
              <w:rPr>
                <w:b/>
                <w:color w:val="17324D"/>
                <w:sz w:val="20"/>
              </w:rPr>
              <w:t>J’ai vérifié la liaison</w:t>
            </w:r>
          </w:p>
        </w:tc>
        <w:tc>
          <w:tcPr>
            <w:tcW w:type="dxa" w:w="5669"/>
            <w:shd w:fill="FFFFFF" w:val="clear"/>
            <w:tcMar>
              <w:top w:w="90" w:type="dxa"/>
              <w:start w:w="115" w:type="dxa"/>
              <w:bottom w:w="90" w:type="dxa"/>
              <w:end w:w="115" w:type="dxa"/>
            </w:tcMar>
            <w:tcBorders>
              <w:bottom w:val="single" w:sz="4" w:color="D7E3E7"/>
            </w:tcBorders>
            <w:vAlign w:val="center"/>
          </w:tcPr>
          <w:p>
            <w:pPr>
              <w:pStyle w:val="TableText"/>
            </w:pPr>
            <w:r>
              <w:rPr>
                <w:sz w:val="20"/>
              </w:rPr>
              <w:t>Carbone donneur, carbone accepteur et configuration du donneur.</w:t>
            </w:r>
          </w:p>
        </w:tc>
      </w:tr>
      <w:tr>
        <w:trPr>
          <w:cantSplit/>
        </w:trPr>
        <w:tc>
          <w:tcPr>
            <w:tcW w:type="dxa" w:w="3969"/>
            <w:shd w:fill="F4F8F9" w:val="clear"/>
            <w:tcMar>
              <w:top w:w="90" w:type="dxa"/>
              <w:start w:w="115" w:type="dxa"/>
              <w:bottom w:w="90" w:type="dxa"/>
              <w:end w:w="115" w:type="dxa"/>
            </w:tcMar>
            <w:tcBorders>
              <w:bottom w:val="single" w:sz="4" w:color="D7E3E7"/>
            </w:tcBorders>
            <w:vAlign w:val="center"/>
          </w:tcPr>
          <w:p>
            <w:pPr>
              <w:pStyle w:val="TableText"/>
            </w:pPr>
            <w:r>
              <w:rPr>
                <w:b/>
                <w:color w:val="17324D"/>
                <w:sz w:val="20"/>
              </w:rPr>
              <w:t>J’ai conclu sur la réduction</w:t>
            </w:r>
          </w:p>
        </w:tc>
        <w:tc>
          <w:tcPr>
            <w:tcW w:type="dxa" w:w="5669"/>
            <w:shd w:fill="F4F8F9" w:val="clear"/>
            <w:tcMar>
              <w:top w:w="90" w:type="dxa"/>
              <w:start w:w="115" w:type="dxa"/>
              <w:bottom w:w="90" w:type="dxa"/>
              <w:end w:w="115" w:type="dxa"/>
            </w:tcMar>
            <w:tcBorders>
              <w:bottom w:val="single" w:sz="4" w:color="D7E3E7"/>
            </w:tcBorders>
            <w:vAlign w:val="center"/>
          </w:tcPr>
          <w:p>
            <w:pPr>
              <w:pStyle w:val="TableText"/>
            </w:pPr>
            <w:r>
              <w:rPr>
                <w:sz w:val="20"/>
              </w:rPr>
              <w:t>Existence ou non d’un carbone anomérique libre.</w:t>
            </w:r>
          </w:p>
        </w:tc>
      </w:tr>
    </w:tbl>
    <w:p>
      <w:pPr>
        <w:spacing w:after="20"/>
      </w:pPr>
    </w:p>
    <w:p>
      <w:pPr>
        <w:pStyle w:val="Heading2"/>
      </w:pPr>
      <w:r>
        <w:t>Sept erreurs fréquentes</w:t>
      </w:r>
    </w:p>
    <w:p>
      <w:pPr>
        <w:pStyle w:val="ListBullet"/>
      </w:pPr>
      <w:r>
        <w:t>Confondre nombre de carbones et nombre de centres chiraux.</w:t>
      </w:r>
    </w:p>
    <w:p>
      <w:pPr>
        <w:pStyle w:val="ListBullet"/>
      </w:pPr>
      <w:r>
        <w:t>Écrire D = dextrogyre ou L = lévogyre.</w:t>
      </w:r>
    </w:p>
    <w:p>
      <w:pPr>
        <w:pStyle w:val="ListBullet"/>
      </w:pPr>
      <w:r>
        <w:t>Qualifier d’épimères deux oses de connectivité différente.</w:t>
      </w:r>
    </w:p>
    <w:p>
      <w:pPr>
        <w:pStyle w:val="ListBullet"/>
      </w:pPr>
      <w:r>
        <w:t>Oublier que C2, et non C1, est anomérique dans le fructose.</w:t>
      </w:r>
    </w:p>
    <w:p>
      <w:pPr>
        <w:pStyle w:val="ListBullet"/>
      </w:pPr>
      <w:r>
        <w:t>Placer un CH₂OH exocyclique en C5 du fructopyranose : C6 appartient déjà au cycle.</w:t>
      </w:r>
    </w:p>
    <w:p>
      <w:pPr>
        <w:pStyle w:val="ListBullet"/>
      </w:pPr>
      <w:r>
        <w:t>Déclarer un diholoside réducteur simplement parce qu’il possède plusieurs OH.</w:t>
      </w:r>
    </w:p>
    <w:p>
      <w:pPr>
        <w:pStyle w:val="ListBullet"/>
      </w:pPr>
      <w:r>
        <w:t>Oublier que α-lactose et β-lactose désignent des formes anomériques à l’extrémité réductrice.</w:t>
      </w:r>
    </w:p>
    <w:tbl>
      <w:tblPr>
        <w:tblW w:type="auto" w:w="0"/>
        <w:jc w:val="center"/>
        <w:tblLayout w:type="fixed"/>
        <w:tblLook w:firstColumn="1" w:firstRow="1" w:lastColumn="0" w:lastRow="0" w:noHBand="0" w:noVBand="1" w:val="04A0"/>
      </w:tblPr>
      <w:tblGrid>
        <w:gridCol w:w="9638"/>
      </w:tblGrid>
      <w:tr>
        <w:trPr>
          <w:cantSplit/>
        </w:trPr>
        <w:tc>
          <w:tcPr>
            <w:tcW w:type="dxa" w:w="9638"/>
            <w:shd w:fill="EAF5F3" w:val="clear"/>
            <w:tcMar>
              <w:top w:w="120" w:type="dxa"/>
              <w:start w:w="160" w:type="dxa"/>
              <w:bottom w:w="120" w:type="dxa"/>
              <w:end w:w="160" w:type="dxa"/>
            </w:tcMar>
            <w:tcBorders>
              <w:left w:val="single" w:sz="20" w:color="137C7A"/>
              <w:top w:val="nil" w:sz="6" w:color="D7E3E7"/>
              <w:bottom w:val="nil" w:sz="6" w:color="D7E3E7"/>
              <w:right w:val="nil" w:sz="6" w:color="D7E3E7"/>
            </w:tcBorders>
          </w:tcPr>
          <w:p>
            <w:pPr>
              <w:pStyle w:val="Callout"/>
            </w:pPr>
            <w:r>
              <w:rPr>
                <w:b/>
                <w:color w:val="137C7A"/>
                <w:sz w:val="18"/>
              </w:rPr>
              <w:t>LE MINIMUM À SAVOIR RESTITUER</w:t>
            </w:r>
          </w:p>
          <w:p>
            <w:pPr>
              <w:pStyle w:val="Callout"/>
              <w:spacing w:after="0"/>
            </w:pPr>
            <w:r>
              <w:t>Aldohexose ouvert : 4 centres, 16 stéréoisomères.</w:t>
              <w:br/>
              <w:t>Glucose : anomère C1 ; fructose : anomère C2.</w:t>
              <w:br/>
              <w:t>Saccharose : non réducteur ; lactose et maltose : réducteurs.</w:t>
            </w:r>
          </w:p>
        </w:tc>
      </w:tr>
    </w:tbl>
    <w:p>
      <w:pPr>
        <w:spacing w:after="20"/>
      </w:pPr>
    </w:p>
    <w:p>
      <w:pPr>
        <w:pStyle w:val="Kicker"/>
        <w:pageBreakBefore/>
      </w:pPr>
      <w:r>
        <w:t>POUR ALLER PLUS LOIN</w:t>
      </w:r>
    </w:p>
    <w:p>
      <w:bookmarkStart w:id="31" w:name="references"/>
      <w:pPr>
        <w:pStyle w:val="Heading1"/>
      </w:pPr>
      <w:r>
        <w:t>Références et conventions</w:t>
      </w:r>
      <w:bookmarkEnd w:id="31"/>
    </w:p>
    <w:p>
      <w:pPr>
        <w:pStyle w:val="Heading2"/>
      </w:pPr>
      <w:r>
        <w:t>Source pédagogique directe</w:t>
      </w:r>
    </w:p>
    <w:p>
      <w:r>
        <w:t>TRAVAUX DIRIGÉS N°1 DE BIOCHIMIE STRUCTURALE — LA STRUCTURE DES GLUCIDES, SNV L2, 2026/2027. Document PDF de trois pages fourni par l’utilisateur, comprenant une page de filiation des oses et quatre exercices.</w:t>
      </w:r>
    </w:p>
    <w:p>
      <w:pPr>
        <w:pStyle w:val="Heading2"/>
      </w:pPr>
      <w:r>
        <w:t>Ouvrages de référence conseillés</w:t>
      </w:r>
    </w:p>
    <w:p>
      <w:pPr>
        <w:pStyle w:val="ListBullet"/>
      </w:pPr>
      <w:r>
        <w:t>Nelson, D. L. &amp; Cox, M. M. — Lehninger Principles of Biochemistry, 8e éd., Macmillan Learning, 2021. Chapitre consacré aux glucides et aux glycoconjugués.</w:t>
      </w:r>
    </w:p>
    <w:p>
      <w:pPr>
        <w:pStyle w:val="ListBullet"/>
      </w:pPr>
      <w:r>
        <w:t>Berg, J. M., Tymoczko, J. L., Gatto, G. J. &amp; Stryer, L. — Biochemistry, 9e éd., W. H. Freeman, 2019. Structure des glucides et liaisons glycosidiques.</w:t>
      </w:r>
    </w:p>
    <w:p>
      <w:pPr>
        <w:pStyle w:val="ListBullet"/>
      </w:pPr>
      <w:r>
        <w:t>Voet, D., Voet, J. G. &amp; Pratt, C. W. — Fundamentals of Biochemistry, 5e éd., Wiley, 2016. Stéréochimie et structure des osides.</w:t>
      </w:r>
    </w:p>
    <w:p>
      <w:pPr>
        <w:pStyle w:val="ListBullet"/>
      </w:pPr>
      <w:r>
        <w:t>IUPAC–IUBMB — Nomenclature of Carbohydrates (Recommendations 1996). Référence pour la nomenclature et les conventions de représentation.</w:t>
      </w:r>
    </w:p>
    <w:p>
      <w:pPr>
        <w:pStyle w:val="Heading2"/>
      </w:pPr>
      <w:r>
        <w:t>Conventions adoptées dans ce support</w:t>
      </w:r>
    </w:p>
    <w:p>
      <w:pPr>
        <w:pStyle w:val="ListBullet"/>
      </w:pPr>
      <w:r>
        <w:t>Les oses sont représentés en séries D, sauf lorsqu’un énantiomère L est explicitement étudié.</w:t>
      </w:r>
    </w:p>
    <w:p>
      <w:pPr>
        <w:pStyle w:val="ListBullet"/>
      </w:pPr>
      <w:r>
        <w:t>Les projections de Haworth utilisent l’orientation standard : groupe CH₂OH de référence vers le haut pour les D-oses.</w:t>
      </w:r>
    </w:p>
    <w:p>
      <w:pPr>
        <w:pStyle w:val="ListBullet"/>
      </w:pPr>
      <w:r>
        <w:t>Les H liés aux carbones sont implicites dans les cycles ; tous les carbones utiles au TD sont numérotés.</w:t>
      </w:r>
    </w:p>
    <w:p>
      <w:pPr>
        <w:pStyle w:val="ListBullet"/>
      </w:pPr>
      <w:r>
        <w:t>Une rotation de 180° du cycle fructose dans le saccharose facilite la représentation de la liaison ; elle ne modifie pas la structure.</w:t>
      </w:r>
    </w:p>
    <w:p>
      <w:pPr>
        <w:pStyle w:val="ListBullet"/>
      </w:pPr>
      <w:r>
        <w:t>Les réactions de condensation sont données comme bilans formels. Les tests de réduction sont décrits dans leurs conditions usuelles.</w:t>
      </w:r>
    </w:p>
    <w:p>
      <w:pPr>
        <w:pStyle w:val="ListBullet"/>
      </w:pPr>
      <w:r>
        <w:t>Les noms α-maltose et β-lactose précisent la forme de l’extrémité réductrice imposée par l’énoncé.</w:t>
      </w:r>
    </w:p>
    <w:tbl>
      <w:tblPr>
        <w:tblW w:type="auto" w:w="0"/>
        <w:jc w:val="center"/>
        <w:tblLayout w:type="fixed"/>
        <w:tblLook w:firstColumn="1" w:firstRow="1" w:lastColumn="0" w:lastRow="0" w:noHBand="0" w:noVBand="1" w:val="04A0"/>
      </w:tblPr>
      <w:tblGrid>
        <w:gridCol w:w="9638"/>
      </w:tblGrid>
      <w:tr>
        <w:trPr>
          <w:cantSplit/>
        </w:trPr>
        <w:tc>
          <w:tcPr>
            <w:tcW w:type="dxa" w:w="9638"/>
            <w:shd w:fill="EAF0F8" w:val="clear"/>
            <w:tcMar>
              <w:top w:w="120" w:type="dxa"/>
              <w:start w:w="160" w:type="dxa"/>
              <w:bottom w:w="120" w:type="dxa"/>
              <w:end w:w="160" w:type="dxa"/>
            </w:tcMar>
            <w:tcBorders>
              <w:left w:val="single" w:sz="20" w:color="17324D"/>
              <w:top w:val="nil" w:sz="6" w:color="D7E3E7"/>
              <w:bottom w:val="nil" w:sz="6" w:color="D7E3E7"/>
              <w:right w:val="nil" w:sz="6" w:color="D7E3E7"/>
            </w:tcBorders>
          </w:tcPr>
          <w:p>
            <w:pPr>
              <w:pStyle w:val="Callout"/>
            </w:pPr>
            <w:r>
              <w:rPr>
                <w:b/>
                <w:color w:val="17324D"/>
                <w:sz w:val="18"/>
              </w:rPr>
              <w:t>NATURE DU DOCUMENT</w:t>
            </w:r>
          </w:p>
          <w:p>
            <w:pPr>
              <w:pStyle w:val="Callout"/>
              <w:spacing w:after="0"/>
            </w:pPr>
            <w:r>
              <w:t>Ce cours et le corrigé associé sont des supports pédagogiques originaux, et non la reproduction d’un corrigé officiel. Le corrigé explicite les hypothèses nécessaires lorsque l’énoncé est sous-spécifié.</w:t>
            </w:r>
          </w:p>
        </w:tc>
      </w:tr>
    </w:tbl>
    <w:p>
      <w:pPr>
        <w:spacing w:after="20"/>
      </w:pPr>
    </w:p>
    <w:p>
      <w:pPr>
        <w:pStyle w:val="Small"/>
        <w:spacing w:before="160"/>
      </w:pPr>
      <w:r>
        <w:t>Production : python-docx pour les documents Word ; matplotlib pour les figures scientifiques originales. Les illustrations sont intégrées aux fichiers .docx et restent modifiables via les scripts fournis.</w:t>
      </w:r>
    </w:p>
    <w:sectPr w:rsidR="00FC693F" w:rsidRPr="0006063C" w:rsidSect="00034616">
      <w:headerReference w:type="default" r:id="rId9"/>
      <w:footerReference w:type="default" r:id="rId10"/>
      <w:headerReference w:type="first" r:id="rId11"/>
      <w:footerReference w:type="first" r:id="rId12"/>
      <w:pgSz w:w="11906" w:h="16838"/>
      <w:pgMar w:top="1162" w:right="1134" w:bottom="1020" w:left="1134"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627582"/>
        <w:sz w:val="16"/>
      </w:rPr>
      <w:t>La structure des glucides • 2026 / 2027</w:t>
    </w:r>
    <w:r>
      <w:rPr>
        <w:sz w:val="16"/>
      </w:rPr>
      <w:tab/>
    </w:r>
    <w:r>
      <w:rPr>
        <w:color w:val="627582"/>
        <w:sz w:val="16"/>
      </w:rPr>
      <w:t xml:space="preserve">Page </w:t>
    </w:r>
    <w:r>
      <w:rPr>
        <w:sz w:val="16"/>
      </w:rPr>
      <w:fldChar w:fldCharType="begin"/>
      <w:instrText xml:space="preserve"> PAGE </w:instrText>
      <w:fldChar w:fldCharType="separate"/>
      <w:t>1</w:t>
      <w:fldChar w:fldCharType="end"/>
    </w:r>
    <w:r>
      <w:rPr>
        <w:color w:val="627582"/>
        <w:sz w:val="16"/>
      </w:rPr>
      <w:t xml:space="preserve"> / </w:t>
    </w:r>
    <w:r>
      <w:rPr>
        <w:color w:val="627582"/>
        <w:sz w:val="16"/>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spacing w:after="100"/>
      <w:pBdr>
        <w:bottom w:val="single" w:sz="8" w:color="137C7A" w:space="6"/>
      </w:pBdr>
    </w:pPr>
    <w:r>
      <w:rPr>
        <w:b/>
        <w:color w:val="627582"/>
        <w:sz w:val="17"/>
      </w:rPr>
      <w:t>BIOCHIMIE STRUCTURALE  /  L2 SNV</w:t>
    </w:r>
    <w:r>
      <w:rPr>
        <w:b/>
        <w:color w:val="137C7A"/>
        <w:sz w:val="17"/>
      </w:rPr>
      <w:tab/>
      <w:t>COURS • TD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Calibri" w:hAnsi="Calibri" w:hint="default" w:cs="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9" w:lineRule="auto"/>
    </w:pPr>
    <w:rPr>
      <w:rFonts w:ascii="Calibri" w:hAnsi="Calibri"/>
      <w:b w:val="0"/>
      <w:color w:val="243746"/>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59" w:lineRule="auto"/>
      <w:outlineLvl w:val="0"/>
    </w:pPr>
    <w:rPr>
      <w:rFonts w:asciiTheme="majorHAnsi" w:eastAsiaTheme="majorEastAsia" w:hAnsiTheme="majorHAnsi" w:cstheme="majorBidi" w:ascii="Calibri" w:hAnsi="Calibri"/>
      <w:b/>
      <w:bCs/>
      <w:color w:val="17324D"/>
      <w:sz w:val="36"/>
      <w:szCs w:val="28"/>
      <w:lang w:val="fr-FR"/>
      <w:lang w:val="fr-FR"/>
    </w:rPr>
  </w:style>
  <w:style w:type="paragraph" w:styleId="Heading2">
    <w:name w:val="heading 2"/>
    <w:basedOn w:val="Normal"/>
    <w:next w:val="Normal"/>
    <w:link w:val="Heading2Char"/>
    <w:uiPriority w:val="9"/>
    <w:unhideWhenUsed/>
    <w:qFormat/>
    <w:rsid w:val="00FC693F"/>
    <w:pPr>
      <w:keepNext/>
      <w:keepLines/>
      <w:widowControl/>
      <w:spacing w:before="180" w:after="80" w:line="259" w:lineRule="auto"/>
      <w:outlineLvl w:val="1"/>
    </w:pPr>
    <w:rPr>
      <w:rFonts w:asciiTheme="majorHAnsi" w:eastAsiaTheme="majorEastAsia" w:hAnsiTheme="majorHAnsi" w:cstheme="majorBidi" w:ascii="Calibri" w:hAnsi="Calibri"/>
      <w:b/>
      <w:bCs/>
      <w:color w:val="137C7A"/>
      <w:sz w:val="25"/>
      <w:szCs w:val="26"/>
      <w:lang w:val="fr-FR"/>
      <w:lang w:val="fr-FR"/>
    </w:rPr>
  </w:style>
  <w:style w:type="paragraph" w:styleId="Heading3">
    <w:name w:val="heading 3"/>
    <w:basedOn w:val="Normal"/>
    <w:next w:val="Normal"/>
    <w:link w:val="Heading3Char"/>
    <w:uiPriority w:val="9"/>
    <w:unhideWhenUsed/>
    <w:qFormat/>
    <w:rsid w:val="00FC693F"/>
    <w:pPr>
      <w:keepNext/>
      <w:keepLines/>
      <w:widowControl/>
      <w:spacing w:before="140" w:after="60" w:line="259" w:lineRule="auto"/>
      <w:outlineLvl w:val="2"/>
    </w:pPr>
    <w:rPr>
      <w:rFonts w:asciiTheme="majorHAnsi" w:eastAsiaTheme="majorEastAsia" w:hAnsiTheme="majorHAnsi" w:cstheme="majorBidi" w:ascii="Calibri" w:hAnsi="Calibri"/>
      <w:b/>
      <w:bCs/>
      <w:color w:val="17324D"/>
      <w:sz w:val="22"/>
      <w:lang w:val="fr-FR"/>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40" w:line="247" w:lineRule="auto" w:before="0"/>
      <w:contextualSpacing/>
    </w:pPr>
    <w:rPr>
      <w:rFonts w:asciiTheme="majorHAnsi" w:eastAsiaTheme="majorEastAsia" w:hAnsiTheme="majorHAnsi" w:cstheme="majorBidi" w:ascii="Calibri" w:hAnsi="Calibri"/>
      <w:b/>
      <w:color w:val="17324D"/>
      <w:spacing w:val="5"/>
      <w:kern w:val="28"/>
      <w:sz w:val="64"/>
      <w:szCs w:val="52"/>
      <w:lang w:val="fr-FR"/>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9" w:lineRule="auto"/>
    </w:pPr>
    <w:rPr>
      <w:rFonts w:asciiTheme="majorHAnsi" w:eastAsiaTheme="majorEastAsia" w:hAnsiTheme="majorHAnsi" w:cstheme="majorBidi" w:ascii="Calibri" w:hAnsi="Calibri"/>
      <w:b w:val="0"/>
      <w:i w:val="0"/>
      <w:iCs/>
      <w:color w:val="137C7A"/>
      <w:spacing w:val="15"/>
      <w:sz w:val="30"/>
      <w:szCs w:val="24"/>
      <w:lang w:val="fr-FR"/>
      <w:lang w:val="fr-F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283" w:hanging="142"/>
      <w:contextualSpacing/>
    </w:pPr>
    <w:rPr>
      <w:rFonts w:ascii="Calibri" w:hAnsi="Calibri"/>
      <w:color w:val="24374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283" w:hanging="142"/>
      <w:contextualSpacing/>
    </w:pPr>
    <w:rPr>
      <w:rFonts w:ascii="Calibri" w:hAnsi="Calibri"/>
      <w:color w:val="24374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52" w:lineRule="auto" w:before="80" w:after="160"/>
    </w:pPr>
    <w:rPr>
      <w:rFonts w:ascii="Calibri" w:hAnsi="Calibri"/>
      <w:b w:val="0"/>
      <w:bCs/>
      <w:i/>
      <w:color w:val="627582"/>
      <w:sz w:val="18"/>
      <w:szCs w:val="18"/>
      <w:lang w:val="fr-F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spacing w:before="0" w:after="80" w:line="259" w:lineRule="auto"/>
    </w:pPr>
    <w:rPr>
      <w:rFonts w:ascii="Calibri" w:hAnsi="Calibri"/>
      <w:b w:val="0"/>
      <w:color w:val="627582"/>
      <w:sz w:val="18"/>
      <w:lang w:val="fr-FR"/>
    </w:rPr>
  </w:style>
  <w:style w:type="paragraph" w:customStyle="1" w:styleId="TableText">
    <w:name w:val="Table Text"/>
    <w:pPr>
      <w:widowControl/>
      <w:spacing w:before="0" w:after="40" w:line="254" w:lineRule="auto"/>
    </w:pPr>
    <w:rPr>
      <w:rFonts w:ascii="Calibri" w:hAnsi="Calibri"/>
      <w:b w:val="0"/>
      <w:color w:val="243746"/>
      <w:sz w:val="20"/>
      <w:lang w:val="fr-FR"/>
    </w:rPr>
  </w:style>
  <w:style w:type="paragraph" w:customStyle="1" w:styleId="Callout">
    <w:name w:val="Callout"/>
    <w:pPr>
      <w:widowControl/>
      <w:spacing w:before="0" w:after="60" w:line="264" w:lineRule="auto"/>
    </w:pPr>
    <w:rPr>
      <w:rFonts w:ascii="Calibri" w:hAnsi="Calibri"/>
      <w:b w:val="0"/>
      <w:color w:val="243746"/>
      <w:sz w:val="21"/>
      <w:lang w:val="fr-FR"/>
    </w:rPr>
  </w:style>
  <w:style w:type="paragraph" w:customStyle="1" w:styleId="Equation">
    <w:name w:val="Equation"/>
    <w:pPr>
      <w:widowControl/>
      <w:spacing w:before="100" w:after="140" w:line="264" w:lineRule="auto"/>
      <w:jc w:val="center"/>
    </w:pPr>
    <w:rPr>
      <w:rFonts w:ascii="Calibri" w:hAnsi="Calibri"/>
      <w:b/>
      <w:color w:val="17324D"/>
      <w:sz w:val="26"/>
      <w:lang w:val="fr-FR"/>
    </w:rPr>
  </w:style>
  <w:style w:type="paragraph" w:customStyle="1" w:styleId="Kicker">
    <w:name w:val="Kicker"/>
    <w:pPr>
      <w:keepNext/>
      <w:widowControl/>
      <w:spacing w:before="0" w:after="160" w:line="259" w:lineRule="auto"/>
    </w:pPr>
    <w:rPr>
      <w:rFonts w:ascii="Calibri" w:hAnsi="Calibri"/>
      <w:b/>
      <w:color w:val="137C7A"/>
      <w:sz w:val="20"/>
      <w:lang w:val="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 La structure des glucides</dc:title>
  <dc:subject>SNV L2 — Biochimie structurale — La structure des glucides</dc:subject>
  <dc:creator>Support pédagogique L2 SNV</dc:creator>
  <cp:keywords>glucides, Fischer, Haworth, stéréoisomérie, anomères, liaisons osidiques, L2</cp:keywords>
  <dc:description>Document pédagogique original élaboré à partir du TD fourni. Figures scientifiques vectorielles rasterisées et générées par Python.</dc:description>
  <cp:lastModifiedBy/>
  <cp:revision>1</cp:revision>
  <dcterms:created xsi:type="dcterms:W3CDTF">2026-10-29T00:00:00Z</dcterms:created>
  <dcterms:modified xsi:type="dcterms:W3CDTF">2026-10-29T00:00:00Z</dcterms:modified>
  <cp:category>Enseignement supérieur — Licence 2</cp:category>
</cp:coreProperties>
</file>