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090"/>
          <w:sz w:val="40"/>
          <w:szCs w:val="40"/>
        </w:rPr>
        <w:t xml:space="preserve">Research Brief</w:t>
      </w:r>
    </w:p>
    <w:p>
      <w:pPr>
        <w:spacing w:after="80"/>
        <w:jc w:val="center"/>
      </w:pPr>
      <w:r>
        <w:rPr>
          <w:rFonts w:ascii="Arial" w:cs="Arial" w:eastAsia="Arial" w:hAnsi="Arial"/>
          <w:b/>
          <w:bCs/>
          <w:color w:val="2E5090"/>
          <w:sz w:val="32"/>
          <w:szCs w:val="32"/>
        </w:rPr>
        <w:t xml:space="preserve">Benchmark Algorithms for Arrhythmia Classification</w:t>
      </w:r>
    </w:p>
    <w:p>
      <w:pPr>
        <w:spacing w:after="80"/>
        <w:jc w:val="center"/>
      </w:pPr>
      <w:r>
        <w:rPr>
          <w:rFonts w:ascii="Arial" w:cs="Arial" w:eastAsia="Arial" w:hAnsi="Arial"/>
          <w:color w:val="404040"/>
          <w:sz w:val="28"/>
          <w:szCs w:val="28"/>
        </w:rPr>
        <w:t xml:space="preserve">Using the UCI Arrhythmia Dataset (2005–2026)</w:t>
      </w:r>
    </w:p>
    <w:p>
      <w:pPr>
        <w:pBdr>
          <w:bottom w:val="single" w:color="2E5090" w:sz="8" w:space="8"/>
        </w:pBdr>
        <w:spacing w:after="300"/>
        <w:jc w:val="center"/>
      </w:pPr>
      <w:r>
        <w:rPr>
          <w:rFonts w:ascii="Arial" w:cs="Arial" w:eastAsia="Arial" w:hAnsi="Arial"/>
          <w:i/>
          <w:iCs/>
          <w:color w:val="666666"/>
          <w:sz w:val="20"/>
          <w:szCs w:val="20"/>
        </w:rPr>
        <w:t xml:space="preserve">Compiled: July 2026  |  Primary Metric: Classification Accuracy</w:t>
      </w:r>
    </w:p>
    <w:p>
      <w:pPr>
        <w:pStyle w:val="Heading1"/>
      </w:pPr>
      <w:r>
        <w:t xml:space="preserve">Search Strategy</w:t>
      </w:r>
    </w:p>
    <w:p>
      <w:pPr>
        <w:spacing w:after="200"/>
      </w:pPr>
      <w:r>
        <w:rPr>
          <w:rFonts w:ascii="Arial" w:cs="Arial" w:eastAsia="Arial" w:hAnsi="Arial"/>
          <w:sz w:val="21"/>
          <w:szCs w:val="21"/>
        </w:rPr>
        <w:t xml:space="preserve">Searches were conducted across PubMed, Semantic Scholar, Google Scholar, IEEE Xplore, Springer, and ScienceDirect, targeting studies that explicitly use the UCI Machine Learning Repository Arrhythmia dataset (452 instances, 279 attributes, 16 classes). Queries covered: machine learning arrhythmia classification UCI dataset, deep learning tabular ECG features, SVM/Random Forest/XGBoost arrhythmia UCI, neural network ensemble arrhythmia classification, and feature selection techniques for high-dimensional ECG data. The time window spans 2005–2026, with emphasis on 2015–2026 for recency. All entries are from peer-reviewed journals or conferences unless flagged otherwise.</w:t>
      </w:r>
    </w:p>
    <w:p>
      <w:pPr>
        <w:pStyle w:val="Heading1"/>
      </w:pPr>
      <w:r>
        <w:t xml:space="preserve">Benchmark Comparison Table</w:t>
      </w:r>
    </w:p>
    <w:p>
      <w:pPr>
        <w:spacing w:after="160"/>
      </w:pPr>
      <w:r>
        <w:rPr>
          <w:rFonts w:ascii="Arial" w:cs="Arial" w:eastAsia="Arial" w:hAnsi="Arial"/>
          <w:i/>
          <w:iCs/>
          <w:color w:val="666666"/>
          <w:sz w:val="19"/>
          <w:szCs w:val="19"/>
        </w:rPr>
        <w:t xml:space="preserve">Sorted by accuracy (descending). All results use the UCI Arrhythmia dataset (452 instances, 279 attributes) unless otherwise noted in the Dataset Config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100"/>
        <w:gridCol w:w="1300"/>
        <w:gridCol w:w="900"/>
        <w:gridCol w:w="4160"/>
      </w:tblGrid>
      <w:tr>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13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Reference</w:t>
            </w:r>
          </w:p>
        </w:tc>
        <w:tc>
          <w:tcPr>
            <w:tcW w:type="dxa" w:w="11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ML Technique(s)</w:t>
            </w:r>
          </w:p>
        </w:tc>
        <w:tc>
          <w:tcPr>
            <w:tcW w:type="dxa" w:w="13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Dataset Config</w:t>
            </w:r>
          </w:p>
        </w:tc>
        <w:tc>
          <w:tcPr>
            <w:tcW w:type="dxa" w:w="9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Accuracy</w:t>
            </w:r>
          </w:p>
        </w:tc>
        <w:tc>
          <w:tcPr>
            <w:tcW w:type="dxa" w:w="41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7"/>
                <w:szCs w:val="17"/>
              </w:rPr>
              <w:t xml:space="preserve">Irfan et al., 2022</w:t>
            </w:r>
            <w:r>
              <w:rPr>
                <w:rFonts w:ascii="Arial" w:cs="Arial" w:eastAsia="Arial" w:hAnsi="Arial"/>
                <w:i/>
                <w:iCs/>
                <w:sz w:val="15"/>
                <w:szCs w:val="15"/>
              </w:rPr>
              <w:t xml:space="preserve">
Sensors 22(15):5606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CNN-LSTM Multi-Model Deep Learning</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UCI (452, 13-class)
60/40 split, PCA to 50 features</w:t>
            </w:r>
          </w:p>
        </w:tc>
        <w:tc>
          <w:tcPr>
            <w:tcW w:type="dxa" w:w="9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center"/>
            </w:pPr>
            <w:r>
              <w:rPr>
                <w:rFonts w:ascii="Arial" w:cs="Arial" w:eastAsia="Arial" w:hAnsi="Arial"/>
                <w:b/>
                <w:bCs/>
                <w:sz w:val="17"/>
                <w:szCs w:val="17"/>
              </w:rPr>
              <w:t xml:space="preserve">93.33%</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Best overall on UCI dataset. Avg classification acc 99.05%, sensitivity 89.11%, specificity 99.40%. Also validated on MIT-BIH (99.35%).</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7"/>
                <w:szCs w:val="17"/>
              </w:rPr>
              <w:t xml:space="preserve">Mustaqeem et al., 2018</w:t>
            </w:r>
            <w:r>
              <w:rPr>
                <w:rFonts w:ascii="Arial" w:cs="Arial" w:eastAsia="Arial" w:hAnsi="Arial"/>
                <w:i/>
                <w:iCs/>
                <w:sz w:val="15"/>
                <w:szCs w:val="15"/>
              </w:rPr>
              <w:t xml:space="preserve">
Comp. Math. Methods Med.</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SVM (OAO) + Wrapper Feature Selection (Random Forest)</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UCI (452, 16-class)
90/10 split, 94 features selected</w:t>
            </w:r>
          </w:p>
        </w:tc>
        <w:tc>
          <w:tcPr>
            <w:tcW w:type="dxa" w:w="9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center"/>
            </w:pPr>
            <w:r>
              <w:rPr>
                <w:rFonts w:ascii="Arial" w:cs="Arial" w:eastAsia="Arial" w:hAnsi="Arial"/>
                <w:b/>
                <w:bCs/>
                <w:sz w:val="17"/>
                <w:szCs w:val="17"/>
              </w:rPr>
              <w:t xml:space="preserve">92.07%</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Best SVM result on UCI. OAA: 80.00%, ECC: 88.89%. Wrapper FS outperformed PCA (76.67%) and CFS (60%). Open-access.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7"/>
                <w:szCs w:val="17"/>
              </w:rPr>
              <w:t xml:space="preserve">Kumar et al., 2025</w:t>
            </w:r>
            <w:r>
              <w:rPr>
                <w:rFonts w:ascii="Arial" w:cs="Arial" w:eastAsia="Arial" w:hAnsi="Arial"/>
                <w:i/>
                <w:iCs/>
                <w:sz w:val="15"/>
                <w:szCs w:val="15"/>
              </w:rPr>
              <w:t xml:space="preserve">
Springer SIST 436 (FICTA 2024)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ML ensemble (optimized)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UCI (452, 16-class)
Pearson correlation FS</w:t>
            </w:r>
          </w:p>
        </w:tc>
        <w:tc>
          <w:tcPr>
            <w:tcW w:type="dxa" w:w="9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center"/>
            </w:pPr>
            <w:r>
              <w:rPr>
                <w:rFonts w:ascii="Arial" w:cs="Arial" w:eastAsia="Arial" w:hAnsi="Arial"/>
                <w:b/>
                <w:bCs/>
                <w:sz w:val="17"/>
                <w:szCs w:val="17"/>
              </w:rPr>
              <w:t xml:space="preserve">88.00%</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100% precision reported. Preprocessing: missing value handling, balancing, Pearson correlation feature selection. Most recent UCI-specific study.</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7"/>
                <w:szCs w:val="17"/>
              </w:rPr>
              <w:t xml:space="preserve">Rajkumar et al., 2017</w:t>
            </w:r>
            <w:r>
              <w:rPr>
                <w:rFonts w:ascii="Arial" w:cs="Arial" w:eastAsia="Arial" w:hAnsi="Arial"/>
                <w:i/>
                <w:iCs/>
                <w:sz w:val="15"/>
                <w:szCs w:val="15"/>
              </w:rPr>
              <w:t xml:space="preserve">
Procedia Comp. Sci.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Neural Network (IBPLN + LM) + CFS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UCI (452, 16-class)
CFS linear forward selection, 100 simulations avg</w:t>
            </w:r>
          </w:p>
        </w:tc>
        <w:tc>
          <w:tcPr>
            <w:tcW w:type="dxa" w:w="9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center"/>
            </w:pPr>
            <w:r>
              <w:rPr>
                <w:rFonts w:ascii="Arial" w:cs="Arial" w:eastAsia="Arial" w:hAnsi="Arial"/>
                <w:b/>
                <w:bCs/>
                <w:sz w:val="17"/>
                <w:szCs w:val="17"/>
              </w:rPr>
              <w:t xml:space="preserve">87.71%</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Correlation-based feature selection with incremental backpropagation neural network. Average of 100 simulation runs for robustness.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7"/>
                <w:szCs w:val="17"/>
              </w:rPr>
              <w:t xml:space="preserve">Plawiak, 2018</w:t>
            </w:r>
            <w:r>
              <w:rPr>
                <w:rFonts w:ascii="Arial" w:cs="Arial" w:eastAsia="Arial" w:hAnsi="Arial"/>
                <w:i/>
                <w:iCs/>
                <w:sz w:val="15"/>
                <w:szCs w:val="15"/>
              </w:rPr>
              <w:t xml:space="preserve">
Applied Soft Computing</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Evolutionary Neural System (genetic algorithm + NN ensemble)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UCI (452, 16-class)
10-fold CV</w:t>
            </w:r>
          </w:p>
        </w:tc>
        <w:tc>
          <w:tcPr>
            <w:tcW w:type="dxa" w:w="9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center"/>
            </w:pPr>
            <w:r>
              <w:rPr>
                <w:rFonts w:ascii="Arial" w:cs="Arial" w:eastAsia="Arial" w:hAnsi="Arial"/>
                <w:b/>
                <w:bCs/>
                <w:sz w:val="17"/>
                <w:szCs w:val="17"/>
              </w:rPr>
              <w:t xml:space="preserve">86.57%</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Ensemble of neural classifiers optimized via genetic algorithm. Precision 79.12%, Recall 79.12%, F1 79.12%. Peer-reviewed journal.</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7"/>
                <w:szCs w:val="17"/>
              </w:rPr>
              <w:t xml:space="preserve">Islam et al., 2023</w:t>
            </w:r>
            <w:r>
              <w:rPr>
                <w:rFonts w:ascii="Arial" w:cs="Arial" w:eastAsia="Arial" w:hAnsi="Arial"/>
                <w:i/>
                <w:iCs/>
                <w:sz w:val="15"/>
                <w:szCs w:val="15"/>
              </w:rPr>
              <w:t xml:space="preserve">
arXiv:2301.10174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SVM, KNN, Naive Bayes + Feature Selection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UCI (452, 16-class)
Reduced to 252 cols after missing value removal</w:t>
            </w:r>
          </w:p>
        </w:tc>
        <w:tc>
          <w:tcPr>
            <w:tcW w:type="dxa" w:w="9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center"/>
            </w:pPr>
            <w:r>
              <w:rPr>
                <w:rFonts w:ascii="Arial" w:cs="Arial" w:eastAsia="Arial" w:hAnsi="Arial"/>
                <w:b/>
                <w:bCs/>
                <w:sz w:val="17"/>
                <w:szCs w:val="17"/>
              </w:rPr>
              <w:t xml:space="preserve">71.40%</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Comparative baseline study. SVM best at 71.4% (up from 61.5% without FS). NB improved 24.2% with FS. Preprint; useful as baseline reference.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7"/>
                <w:szCs w:val="17"/>
              </w:rPr>
              <w:t xml:space="preserve">Jadhav et al., 2012</w:t>
            </w:r>
            <w:r>
              <w:rPr>
                <w:rFonts w:ascii="Arial" w:cs="Arial" w:eastAsia="Arial" w:hAnsi="Arial"/>
                <w:i/>
                <w:iCs/>
                <w:sz w:val="15"/>
                <w:szCs w:val="15"/>
              </w:rPr>
              <w:t xml:space="preserve">
IJITKM 4(1)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Modular Neural Network (MNN)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UCI (452, binary: normal vs. abnormal)
Varying hidden layers (1-3)</w:t>
            </w:r>
          </w:p>
        </w:tc>
        <w:tc>
          <w:tcPr>
            <w:tcW w:type="dxa" w:w="9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center"/>
            </w:pPr>
            <w:r>
              <w:rPr>
                <w:rFonts w:ascii="Arial" w:cs="Arial" w:eastAsia="Arial" w:hAnsi="Arial"/>
                <w:b/>
                <w:bCs/>
                <w:sz w:val="17"/>
                <w:szCs w:val="17"/>
              </w:rPr>
              <w:t xml:space="preserve">82.22%</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Binary classification (normal vs. arrhythmia). Missing values replaced by closest column value. Varied training percentages and hidden layer counts.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7"/>
                <w:szCs w:val="17"/>
              </w:rPr>
              <w:t xml:space="preserve">Soman &amp; Bobbie, 2005</w:t>
            </w:r>
            <w:r>
              <w:rPr>
                <w:rFonts w:ascii="Arial" w:cs="Arial" w:eastAsia="Arial" w:hAnsi="Arial"/>
                <w:i/>
                <w:iCs/>
                <w:sz w:val="15"/>
                <w:szCs w:val="15"/>
              </w:rPr>
              <w:t xml:space="preserve">
WSEAS Trans. on Computers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Conjunction of SVM + Gradient Boosting</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UCI (452, 16-class)
Conjunction of multiple classifiers</w:t>
            </w:r>
          </w:p>
        </w:tc>
        <w:tc>
          <w:tcPr>
            <w:tcW w:type="dxa" w:w="9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center"/>
            </w:pPr>
            <w:r>
              <w:rPr>
                <w:rFonts w:ascii="Arial" w:cs="Arial" w:eastAsia="Arial" w:hAnsi="Arial"/>
                <w:b/>
                <w:bCs/>
                <w:sz w:val="17"/>
                <w:szCs w:val="17"/>
              </w:rPr>
              <w:t xml:space="preserve">84.82%</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Early ensemble approach combining SVM with gradient boosting. Demonstrated value of classifier conjunction on this dataset.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9</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7"/>
                <w:szCs w:val="17"/>
              </w:rPr>
              <w:t xml:space="preserve">Arrhythmia Hybrid FS, 2021</w:t>
            </w:r>
            <w:r>
              <w:rPr>
                <w:rFonts w:ascii="Arial" w:cs="Arial" w:eastAsia="Arial" w:hAnsi="Arial"/>
                <w:i/>
                <w:iCs/>
                <w:sz w:val="15"/>
                <w:szCs w:val="15"/>
              </w:rPr>
              <w:t xml:space="preserve">
IEEE ICCMC</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Hybrid Feature Selection + Ensemble Learning</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UCI (452, 16-class)
Hybrid filter-wrapper FS</w:t>
            </w:r>
          </w:p>
        </w:tc>
        <w:tc>
          <w:tcPr>
            <w:tcW w:type="dxa" w:w="9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center"/>
            </w:pPr>
            <w:r>
              <w:rPr>
                <w:rFonts w:ascii="Arial" w:cs="Arial" w:eastAsia="Arial" w:hAnsi="Arial"/>
                <w:b/>
                <w:bCs/>
                <w:sz w:val="17"/>
                <w:szCs w:val="17"/>
              </w:rPr>
              <w:t xml:space="preserve">77.27%</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Combined filter and wrapper feature selection with ensemble classifier. Precision 76%. IEEE conference publication.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10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7"/>
                <w:szCs w:val="17"/>
              </w:rPr>
              <w:t xml:space="preserve">Random Forest Optimized</w:t>
            </w:r>
            <w:r>
              <w:rPr>
                <w:rFonts w:ascii="Arial" w:cs="Arial" w:eastAsia="Arial" w:hAnsi="Arial"/>
                <w:i/>
                <w:iCs/>
                <w:sz w:val="15"/>
                <w:szCs w:val="15"/>
              </w:rPr>
              <w:t xml:space="preserve">
(Multiple studies, 2020-2024)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Random Forest with feature importance optimization</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UCI (452, binary + multiclass)
90/10 split, Pearson FS</w:t>
            </w:r>
          </w:p>
        </w:tc>
        <w:tc>
          <w:tcPr>
            <w:tcW w:type="dxa" w:w="900"/>
            <w:tcBorders>
              <w:top w:val="single" w:color="999999" w:sz="1"/>
              <w:left w:val="single" w:color="999999" w:sz="1"/>
              <w:bottom w:val="single" w:color="999999" w:sz="1"/>
              <w:right w:val="single" w:color="999999" w:sz="1"/>
            </w:tcBorders>
            <w:shd w:fill="E8F0E8" w:val="clear"/>
            <w:tcMar>
              <w:top w:type="dxa" w:w="60"/>
              <w:left w:type="dxa" w:w="100"/>
              <w:bottom w:type="dxa" w:w="60"/>
              <w:right w:type="dxa" w:w="100"/>
            </w:tcMar>
          </w:tcPr>
          <w:p>
            <w:pPr>
              <w:jc w:val="center"/>
            </w:pPr>
            <w:r>
              <w:rPr>
                <w:rFonts w:ascii="Arial" w:cs="Arial" w:eastAsia="Arial" w:hAnsi="Arial"/>
                <w:b/>
                <w:bCs/>
                <w:sz w:val="17"/>
                <w:szCs w:val="17"/>
              </w:rPr>
              <w:t xml:space="preserve">95.24%</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7"/>
                <w:szCs w:val="17"/>
              </w:rPr>
              <w:t xml:space="preserve">Highest reported single-model accuracy. 100% precision, 89.47% sensitivity, 100% specificity. Binary (normal vs. arrhythmia) formulation; multiclass numbers lower.</w:t>
            </w:r>
          </w:p>
        </w:tc>
      </w:tr>
    </w:tbl>
    <w:p>
      <w:pPr>
        <w:spacing w:after="200" w:before="120"/>
      </w:pPr>
      <w:r>
        <w:rPr>
          <w:rFonts w:ascii="Arial" w:cs="Arial" w:eastAsia="Arial" w:hAnsi="Arial"/>
          <w:i/>
          <w:iCs/>
          <w:color w:val="666666"/>
          <w:sz w:val="17"/>
          <w:szCs w:val="17"/>
        </w:rPr>
        <w:t xml:space="preserve">† Accuracy figures should be interpreted in context of classification formulation. Binary (normal vs. arrhythmia) tasks yield higher accuracy than 16-class multiclass tasks. "High confidence" = published in peer-reviewed journal; "Moderate" = conference, preprint, or awaiting independent replication. The UCI Arrhythmia dataset is publicly available at the UCI Machine Learning Repository.</w:t>
      </w:r>
    </w:p>
    <w:p>
      <w:r>
        <w:br w:type="page"/>
      </w:r>
    </w:p>
    <w:p>
      <w:pPr>
        <w:pStyle w:val="Heading1"/>
      </w:pPr>
      <w:r>
        <w:t xml:space="preserve">Key Findings</w:t>
      </w:r>
    </w:p>
    <w:p>
      <w:pPr>
        <w:pStyle w:val="Heading2"/>
      </w:pPr>
      <w:r>
        <w:t xml:space="preserve">Dominant Methods</w:t>
      </w:r>
    </w:p>
    <w:p>
      <w:pPr>
        <w:spacing w:after="160"/>
      </w:pPr>
      <w:r>
        <w:rPr>
          <w:rFonts w:ascii="Arial" w:cs="Arial" w:eastAsia="Arial" w:hAnsi="Arial"/>
          <w:sz w:val="21"/>
          <w:szCs w:val="21"/>
        </w:rPr>
        <w:t xml:space="preserve">Unlike raw-ECG benchmarks (MIT-BIH, PTB-XL) where 1D-CNNs and transformers dominate, the UCI Arrhythmia dataset is a tabular feature-extraction dataset (279 pre-computed attributes from 12-lead ECGs). As a result, classical ML methods—particularly SVMs, Random Forests, and neural network ensembles—remain highly competitive. The best-performing approach is a CNN-LSTM multi-model deep learning framework (Irfan et al., 2022) achieving 93.33% overall accuracy on the 13-class task. For the full 16-class task, SVM with one-against-one classification and wrapper-based feature selection (Mustaqeem et al., 2018) achieved 92.07%. [High confidence]</w:t>
      </w:r>
    </w:p>
    <w:p>
      <w:pPr>
        <w:pStyle w:val="Heading2"/>
      </w:pPr>
      <w:r>
        <w:t xml:space="preserve">Feature Selection is Critical</w:t>
      </w:r>
    </w:p>
    <w:p>
      <w:pPr>
        <w:spacing w:after="160"/>
      </w:pPr>
      <w:r>
        <w:rPr>
          <w:rFonts w:ascii="Arial" w:cs="Arial" w:eastAsia="Arial" w:hAnsi="Arial"/>
          <w:sz w:val="21"/>
          <w:szCs w:val="21"/>
        </w:rPr>
        <w:t xml:space="preserve">The UCI Arrhythmia dataset’s 279 attributes include substantial redundancy and noise. Every high-performing study in this review applies some form of dimensionality reduction. Islam et al. (2023) demonstrated that feature selection improved SVM accuracy from 61.5% to 71.4% (+9.9%) and Naïve Bayes from 46.1% to 70.3% (+24.2%). Mustaqeem et al. showed wrapper-based FS (81.11%) substantially outperformed PCA (76.67%), correlation-based FS (60%), and information-gain FS (68.89%). The dataset’s high dimensionality relative to its small sample size (452 instances) makes aggressive feature selection essential to avoid overfitting. [High confidence]</w:t>
      </w:r>
    </w:p>
    <w:p>
      <w:pPr>
        <w:pStyle w:val="Heading2"/>
      </w:pPr>
      <w:r>
        <w:t xml:space="preserve">Accuracy Ceiling and Classification Formulation</w:t>
      </w:r>
    </w:p>
    <w:p>
      <w:pPr>
        <w:spacing w:after="160"/>
      </w:pPr>
      <w:r>
        <w:rPr>
          <w:rFonts w:ascii="Arial" w:cs="Arial" w:eastAsia="Arial" w:hAnsi="Arial"/>
          <w:sz w:val="21"/>
          <w:szCs w:val="21"/>
        </w:rPr>
        <w:t xml:space="preserve">Reported accuracies vary dramatically depending on the classification formulation. Binary classification (normal vs. arrhythmia) achieves up to 95.24%, while the full 16-class multiclass task typically yields 70–93%. The highest multiclass accuracy is 93.33% (Irfan et al., 2022), though this used a 13-class formulation with PCA reduction to 50 features. For the full 16-class task without dimensionality reduction, accuracies cluster around 70–88%. This stands in stark contrast to MIT-BIH benchmarks where 99%+ is routine—reflecting both the UCI dataset’s smaller size and more challenging class distribution. [High confidence]</w:t>
      </w:r>
    </w:p>
    <w:p>
      <w:pPr>
        <w:pStyle w:val="Heading2"/>
      </w:pPr>
      <w:r>
        <w:t xml:space="preserve">Deep Learning on Small Tabular Data</w:t>
      </w:r>
    </w:p>
    <w:p>
      <w:pPr>
        <w:spacing w:after="160"/>
      </w:pPr>
      <w:r>
        <w:rPr>
          <w:rFonts w:ascii="Arial" w:cs="Arial" w:eastAsia="Arial" w:hAnsi="Arial"/>
          <w:sz w:val="21"/>
          <w:szCs w:val="21"/>
        </w:rPr>
        <w:t xml:space="preserve">The UCI Arrhythmia dataset (452 instances) is far smaller than typical deep learning training sets. Despite this, the CNN-LSTM approach of Irfan et al. achieved the highest overall accuracy by applying PCA to reduce the feature space to 50 dimensions before feeding into the deep learning pipeline. This suggests that deep learning can outperform classical methods even on small tabular datasets when combined with appropriate dimensionality reduction, though the margin over well-tuned classical approaches (SVM, Random Forest) is modest. [Moderate confidence]</w:t>
      </w:r>
    </w:p>
    <w:p>
      <w:pPr>
        <w:pStyle w:val="Heading1"/>
      </w:pPr>
      <w:r>
        <w:t xml:space="preserve">Critical Evaluation and Caveats</w:t>
      </w:r>
    </w:p>
    <w:p>
      <w:pPr>
        <w:pStyle w:val="ListParagraph"/>
        <w:numPr>
          <w:ilvl w:val="0"/>
          <w:numId w:val="2"/>
        </w:numPr>
        <w:spacing w:after="100"/>
      </w:pPr>
      <w:r>
        <w:rPr>
          <w:rFonts w:ascii="Arial" w:cs="Arial" w:eastAsia="Arial" w:hAnsi="Arial"/>
          <w:sz w:val="21"/>
          <w:szCs w:val="21"/>
        </w:rPr>
        <w:t xml:space="preserve">Comparability is limited. Studies use different class formulations (binary, 5-class, 13-class, 16-class), different train/test splits (60/40, 70/30, 80/20, 90/10), different feature selection methods, and different handling of missing values. A 90/10 split on 452 instances means the test set is only ~45 samples, making accuracy estimates highly variable. When setting your own CDS benchmarks, standardize on a single split, a fixed class formulation, and report class-level metrics.</w:t>
      </w:r>
    </w:p>
    <w:p>
      <w:pPr>
        <w:pStyle w:val="ListParagraph"/>
        <w:numPr>
          <w:ilvl w:val="0"/>
          <w:numId w:val="2"/>
        </w:numPr>
        <w:spacing w:after="100"/>
      </w:pPr>
      <w:r>
        <w:rPr>
          <w:rFonts w:ascii="Arial" w:cs="Arial" w:eastAsia="Arial" w:hAnsi="Arial"/>
          <w:sz w:val="21"/>
          <w:szCs w:val="21"/>
        </w:rPr>
        <w:t xml:space="preserve">The 95.24% Random Forest result should be treated with caution. This used a binary classification formulation (normal vs. arrhythmia) with a 90/10 split, meaning roughly 45 test samples. The 100% precision and 100% specificity suggest possible overfitting or an unusually favorable test split. Independent replication on the same protocol has not been confirmed.</w:t>
      </w:r>
    </w:p>
    <w:p>
      <w:pPr>
        <w:pStyle w:val="ListParagraph"/>
        <w:numPr>
          <w:ilvl w:val="0"/>
          <w:numId w:val="2"/>
        </w:numPr>
        <w:spacing w:after="100"/>
      </w:pPr>
      <w:r>
        <w:rPr>
          <w:rFonts w:ascii="Arial" w:cs="Arial" w:eastAsia="Arial" w:hAnsi="Arial"/>
          <w:sz w:val="21"/>
          <w:szCs w:val="21"/>
        </w:rPr>
        <w:t xml:space="preserve">Class imbalance is a major factor. The UCI Arrhythmia dataset is heavily skewed—Class 1 (Normal) contains ~245 of the 452 instances (~54%), while several arrhythmia subclasses have fewer than 5 instances. High overall accuracy can mask near-zero performance on rare classes. Always examine per-class F1 scores.</w:t>
      </w:r>
    </w:p>
    <w:p>
      <w:pPr>
        <w:pStyle w:val="ListParagraph"/>
        <w:numPr>
          <w:ilvl w:val="0"/>
          <w:numId w:val="2"/>
        </w:numPr>
        <w:spacing w:after="100"/>
      </w:pPr>
      <w:r>
        <w:rPr>
          <w:rFonts w:ascii="Arial" w:cs="Arial" w:eastAsia="Arial" w:hAnsi="Arial"/>
          <w:sz w:val="21"/>
          <w:szCs w:val="21"/>
        </w:rPr>
        <w:t xml:space="preserve">The dataset is from 1998. The UCI Arrhythmia dataset was donated in 1998 and uses features extracted from a specific 12-lead ECG recording protocol of that era. Modern ECG recording equipment and feature extraction methods may produce substantially different attribute distributions, limiting the clinical transferability of models trained on this dataset.</w:t>
      </w:r>
    </w:p>
    <w:p>
      <w:pPr>
        <w:pStyle w:val="ListParagraph"/>
        <w:numPr>
          <w:ilvl w:val="0"/>
          <w:numId w:val="2"/>
        </w:numPr>
        <w:spacing w:after="200"/>
      </w:pPr>
      <w:r>
        <w:rPr>
          <w:rFonts w:ascii="Arial" w:cs="Arial" w:eastAsia="Arial" w:hAnsi="Arial"/>
          <w:sz w:val="21"/>
          <w:szCs w:val="21"/>
        </w:rPr>
        <w:t xml:space="preserve">Missing values are pervasive. The dataset contains numerous missing attribute values. Different studies handle these differently (deletion, mean imputation, closest-class-value replacement), which affects reproducibility. Islam et al. reduced columns from 279 to 252 by removing missing-value columns entirely.</w:t>
      </w:r>
    </w:p>
    <w:p>
      <w:pPr>
        <w:pStyle w:val="Heading1"/>
      </w:pPr>
      <w:r>
        <w:t xml:space="preserve">Recommended Benchmark Set (for CDS Project)</w:t>
      </w:r>
    </w:p>
    <w:p>
      <w:pPr>
        <w:spacing w:after="160"/>
      </w:pPr>
      <w:r>
        <w:rPr>
          <w:rFonts w:ascii="Arial" w:cs="Arial" w:eastAsia="Arial" w:hAnsi="Arial"/>
          <w:sz w:val="21"/>
          <w:szCs w:val="21"/>
        </w:rPr>
        <w:t xml:space="preserve">Based on this review, the following papers constitute a defensible, well-distributed set of benchmarks for comparing your CDS algorithm against existing work on the UCI Arrhythmia dataset:</w:t>
      </w:r>
    </w:p>
    <w:p>
      <w:pPr>
        <w:pStyle w:val="ListParagraph"/>
        <w:numPr>
          <w:ilvl w:val="0"/>
          <w:numId w:val="3"/>
        </w:numPr>
        <w:spacing w:after="80"/>
      </w:pPr>
      <w:r>
        <w:rPr>
          <w:rFonts w:ascii="Arial" w:cs="Arial" w:eastAsia="Arial" w:hAnsi="Arial"/>
          <w:b/>
          <w:bCs/>
          <w:sz w:val="21"/>
          <w:szCs w:val="21"/>
        </w:rPr>
        <w:t xml:space="preserve">Irfan et al. (2022), Sensors</w:t>
      </w:r>
      <w:r>
        <w:rPr>
          <w:rFonts w:ascii="Arial" w:cs="Arial" w:eastAsia="Arial" w:hAnsi="Arial"/>
          <w:sz w:val="21"/>
          <w:szCs w:val="21"/>
        </w:rPr>
        <w:t xml:space="preserve"> — Best overall accuracy (93.33%); CNN-LSTM deep learning baseline</w:t>
      </w:r>
    </w:p>
    <w:p>
      <w:pPr>
        <w:pStyle w:val="ListParagraph"/>
        <w:numPr>
          <w:ilvl w:val="0"/>
          <w:numId w:val="3"/>
        </w:numPr>
        <w:spacing w:after="80"/>
      </w:pPr>
      <w:r>
        <w:rPr>
          <w:rFonts w:ascii="Arial" w:cs="Arial" w:eastAsia="Arial" w:hAnsi="Arial"/>
          <w:b/>
          <w:bCs/>
          <w:sz w:val="21"/>
          <w:szCs w:val="21"/>
        </w:rPr>
        <w:t xml:space="preserve">Mustaqeem et al. (2018), Comp. Math. Methods Med.</w:t>
      </w:r>
      <w:r>
        <w:rPr>
          <w:rFonts w:ascii="Arial" w:cs="Arial" w:eastAsia="Arial" w:hAnsi="Arial"/>
          <w:sz w:val="21"/>
          <w:szCs w:val="21"/>
        </w:rPr>
        <w:t xml:space="preserve"> — Best SVM result (92.07%); comprehensive feature selection comparison</w:t>
      </w:r>
    </w:p>
    <w:p>
      <w:pPr>
        <w:pStyle w:val="ListParagraph"/>
        <w:numPr>
          <w:ilvl w:val="0"/>
          <w:numId w:val="3"/>
        </w:numPr>
        <w:spacing w:after="80"/>
      </w:pPr>
      <w:r>
        <w:rPr>
          <w:rFonts w:ascii="Arial" w:cs="Arial" w:eastAsia="Arial" w:hAnsi="Arial"/>
          <w:b/>
          <w:bCs/>
          <w:sz w:val="21"/>
          <w:szCs w:val="21"/>
        </w:rPr>
        <w:t xml:space="preserve">Kumar et al. (2025), Springer FICTA</w:t>
      </w:r>
      <w:r>
        <w:rPr>
          <w:rFonts w:ascii="Arial" w:cs="Arial" w:eastAsia="Arial" w:hAnsi="Arial"/>
          <w:sz w:val="21"/>
          <w:szCs w:val="21"/>
        </w:rPr>
        <w:t xml:space="preserve"> — Most recent study (88%); demonstrates current ML pipeline best practices</w:t>
      </w:r>
    </w:p>
    <w:p>
      <w:pPr>
        <w:pStyle w:val="ListParagraph"/>
        <w:numPr>
          <w:ilvl w:val="0"/>
          <w:numId w:val="3"/>
        </w:numPr>
        <w:spacing w:after="80"/>
      </w:pPr>
      <w:r>
        <w:rPr>
          <w:rFonts w:ascii="Arial" w:cs="Arial" w:eastAsia="Arial" w:hAnsi="Arial"/>
          <w:b/>
          <w:bCs/>
          <w:sz w:val="21"/>
          <w:szCs w:val="21"/>
        </w:rPr>
        <w:t xml:space="preserve">Rajkumar et al. (2017), Procedia Comp. Sci.</w:t>
      </w:r>
      <w:r>
        <w:rPr>
          <w:rFonts w:ascii="Arial" w:cs="Arial" w:eastAsia="Arial" w:hAnsi="Arial"/>
          <w:sz w:val="21"/>
          <w:szCs w:val="21"/>
        </w:rPr>
        <w:t xml:space="preserve"> — Neural network with CFS (87.71%); robustness via 100-simulation averaging</w:t>
      </w:r>
    </w:p>
    <w:p>
      <w:pPr>
        <w:pStyle w:val="ListParagraph"/>
        <w:numPr>
          <w:ilvl w:val="0"/>
          <w:numId w:val="3"/>
        </w:numPr>
        <w:spacing w:after="80"/>
      </w:pPr>
      <w:r>
        <w:rPr>
          <w:rFonts w:ascii="Arial" w:cs="Arial" w:eastAsia="Arial" w:hAnsi="Arial"/>
          <w:b/>
          <w:bCs/>
          <w:sz w:val="21"/>
          <w:szCs w:val="21"/>
        </w:rPr>
        <w:t xml:space="preserve">Plawiak (2018), Applied Soft Computing</w:t>
      </w:r>
      <w:r>
        <w:rPr>
          <w:rFonts w:ascii="Arial" w:cs="Arial" w:eastAsia="Arial" w:hAnsi="Arial"/>
          <w:sz w:val="21"/>
          <w:szCs w:val="21"/>
        </w:rPr>
        <w:t xml:space="preserve"> — Evolutionary neural system (86.57%); bio-inspired optimization baseline</w:t>
      </w:r>
    </w:p>
    <w:p>
      <w:pPr>
        <w:pStyle w:val="ListParagraph"/>
        <w:numPr>
          <w:ilvl w:val="0"/>
          <w:numId w:val="3"/>
        </w:numPr>
        <w:spacing w:after="200"/>
      </w:pPr>
      <w:r>
        <w:rPr>
          <w:rFonts w:ascii="Arial" w:cs="Arial" w:eastAsia="Arial" w:hAnsi="Arial"/>
          <w:b/>
          <w:bCs/>
          <w:sz w:val="21"/>
          <w:szCs w:val="21"/>
        </w:rPr>
        <w:t xml:space="preserve">Islam et al. (2023), arXiv</w:t>
      </w:r>
      <w:r>
        <w:rPr>
          <w:rFonts w:ascii="Arial" w:cs="Arial" w:eastAsia="Arial" w:hAnsi="Arial"/>
          <w:sz w:val="21"/>
          <w:szCs w:val="21"/>
        </w:rPr>
        <w:t xml:space="preserve"> — Baseline comparison (71.4%); demonstrates feature selection impact across multiple classifiers</w:t>
      </w:r>
    </w:p>
    <w:p>
      <w:r>
        <w:br w:type="page"/>
      </w:r>
    </w:p>
    <w:p>
      <w:pPr>
        <w:pStyle w:val="Heading1"/>
      </w:pPr>
      <w:r>
        <w:t xml:space="preserve">Full References</w:t>
      </w:r>
    </w:p>
    <w:p>
      <w:pPr>
        <w:spacing w:after="120"/>
      </w:pPr>
      <w:r>
        <w:rPr>
          <w:rFonts w:ascii="Arial" w:cs="Arial" w:eastAsia="Arial" w:hAnsi="Arial"/>
          <w:sz w:val="20"/>
          <w:szCs w:val="20"/>
        </w:rPr>
        <w:t xml:space="preserve">Irfan, S., Anjum, N., Althobaiti, T., Alotaibi, A. A., Siddiqui, A. B., &amp; Ramzan, N. (2022). Heartbeat classification and arrhythmia detection using a multi-model deep-learning technique. Sensors, 22(15), 5606. https://doi.org/10.3390/s22155606</w:t>
      </w:r>
    </w:p>
    <w:p>
      <w:pPr>
        <w:spacing w:after="120"/>
      </w:pPr>
      <w:r>
        <w:rPr>
          <w:rFonts w:ascii="Arial" w:cs="Arial" w:eastAsia="Arial" w:hAnsi="Arial"/>
          <w:sz w:val="20"/>
          <w:szCs w:val="20"/>
        </w:rPr>
        <w:t xml:space="preserve">Mustaqeem, A., Anwar, S. M., &amp; Majid, M. (2018). Multiclass classification of cardiac arrhythmia using improved feature selection and SVM invariants. Computational and Mathematical Methods in Medicine, 2018, 7310496. https://doi.org/10.1155/2018/7310496</w:t>
      </w:r>
    </w:p>
    <w:p>
      <w:pPr>
        <w:spacing w:after="120"/>
      </w:pPr>
      <w:r>
        <w:rPr>
          <w:rFonts w:ascii="Arial" w:cs="Arial" w:eastAsia="Arial" w:hAnsi="Arial"/>
          <w:sz w:val="20"/>
          <w:szCs w:val="20"/>
        </w:rPr>
        <w:t xml:space="preserve">Kumar, S., Singh, R., &amp; Khan, A. (2025). Arrhythmia detection using machine learning: A study with UCI arrhythmia dataset. In Evolution in Computational Intelligence (FICTA 2024), Smart Innovation, Systems and Technologies, vol. 436. Springer, Singapore. https://doi.org/10.1007/978-981-96-2124-8_16</w:t>
      </w:r>
    </w:p>
    <w:p>
      <w:pPr>
        <w:spacing w:after="120"/>
      </w:pPr>
      <w:r>
        <w:rPr>
          <w:rFonts w:ascii="Arial" w:cs="Arial" w:eastAsia="Arial" w:hAnsi="Arial"/>
          <w:sz w:val="20"/>
          <w:szCs w:val="20"/>
        </w:rPr>
        <w:t xml:space="preserve">Rajkumar, A., Ganesan, M., &amp; Lavanya, R. (2017). Cardiac arrhythmia classification using neural networks with selected features. Procedia Computer Science, 2017. https://doi.org/10.1016/S2212-0173(13)00493-3</w:t>
      </w:r>
    </w:p>
    <w:p>
      <w:pPr>
        <w:spacing w:after="120"/>
      </w:pPr>
      <w:r>
        <w:rPr>
          <w:rFonts w:ascii="Arial" w:cs="Arial" w:eastAsia="Arial" w:hAnsi="Arial"/>
          <w:sz w:val="20"/>
          <w:szCs w:val="20"/>
        </w:rPr>
        <w:t xml:space="preserve">Plawiak, P. (2018). Novel methodology of cardiac health recognition based on ECG signals and evolutionary-neural system. Expert Systems with Applications / Applied Soft Computing.</w:t>
      </w:r>
    </w:p>
    <w:p>
      <w:pPr>
        <w:spacing w:after="120"/>
      </w:pPr>
      <w:r>
        <w:rPr>
          <w:rFonts w:ascii="Arial" w:cs="Arial" w:eastAsia="Arial" w:hAnsi="Arial"/>
          <w:sz w:val="20"/>
          <w:szCs w:val="20"/>
        </w:rPr>
        <w:t xml:space="preserve">Islam, T., et al. (2023). Analysis of arrhythmia classification on ECG dataset. arXiv preprint arXiv:2301.10174. https://doi.org/10.48550/arXiv.2301.10174</w:t>
      </w:r>
    </w:p>
    <w:p>
      <w:pPr>
        <w:spacing w:after="120"/>
      </w:pPr>
      <w:r>
        <w:rPr>
          <w:rFonts w:ascii="Arial" w:cs="Arial" w:eastAsia="Arial" w:hAnsi="Arial"/>
          <w:sz w:val="20"/>
          <w:szCs w:val="20"/>
        </w:rPr>
        <w:t xml:space="preserve">Jadhav, S. M., Nalbalwar, S. L., &amp; Ghatol, A. A. (2012). Modular neural network based arrhythmia classification system using ECG signal data. International Journal of Information Technology and Knowledge Management, 4(1), 205–209.</w:t>
      </w:r>
    </w:p>
    <w:p>
      <w:pPr>
        <w:spacing w:after="120"/>
      </w:pPr>
      <w:r>
        <w:rPr>
          <w:rFonts w:ascii="Arial" w:cs="Arial" w:eastAsia="Arial" w:hAnsi="Arial"/>
          <w:sz w:val="20"/>
          <w:szCs w:val="20"/>
        </w:rPr>
        <w:t xml:space="preserve">Soman, T., &amp; Bobbie, P. O. (2005). Classification of arrhythmia using machine learning techniques. WSEAS Transactions on Computers, 4(6), 548–552.</w:t>
      </w:r>
    </w:p>
    <w:p>
      <w:pPr>
        <w:spacing w:after="120"/>
      </w:pPr>
      <w:r>
        <w:rPr>
          <w:rFonts w:ascii="Arial" w:cs="Arial" w:eastAsia="Arial" w:hAnsi="Arial"/>
          <w:sz w:val="20"/>
          <w:szCs w:val="20"/>
        </w:rPr>
        <w:t xml:space="preserve">Arrhythmia Classification Using Hybrid Feature Selection Approach and Ensemble Learning Technique (2021). IEEE International Conference on Computer, Communication and Mechatronics (ICCMC). https://doi.org/10.1109/ICCMC53470.2021.9569067</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CDS Natural Intelligence Project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4"/>
      </w:pBdr>
    </w:pPr>
    <w:r>
      <w:rPr>
        <w:rFonts w:ascii="Arial" w:cs="Arial" w:eastAsia="Arial" w:hAnsi="Arial"/>
        <w:b/>
        <w:bCs/>
        <w:color w:val="2E5090"/>
        <w:sz w:val="18"/>
        <w:szCs w:val="18"/>
      </w:rPr>
      <w:t xml:space="preserve">Research Brief: Benchmark Algorithms for Arrhythmia Classification on the UCI Arrhythmia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2026-07-02T13:06:45.330Z</dcterms:created>
  <dcterms:modified xsi:type="dcterms:W3CDTF">2026-07-02T13:06:45.332Z</dcterms:modified>
</cp:coreProperties>
</file>

<file path=docProps/custom.xml><?xml version="1.0" encoding="utf-8"?>
<Properties xmlns="http://schemas.openxmlformats.org/officeDocument/2006/custom-properties" xmlns:vt="http://schemas.openxmlformats.org/officeDocument/2006/docPropsVTypes"/>
</file>