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b/>
          <w:color w:val="1F2D5C"/>
          <w:sz w:val="48"/>
        </w:rPr>
        <w:t>Incremental Analysis of CDS Arrhythmia Classification Algorithm</w:t>
      </w:r>
    </w:p>
    <w:p>
      <w:pPr>
        <w:jc w:val="center"/>
      </w:pPr>
      <w:r>
        <w:rPr>
          <w:i/>
          <w:color w:val="444444"/>
          <w:sz w:val="32"/>
        </w:rPr>
        <w:t>Impact of Individual Modifications</w:t>
      </w:r>
    </w:p>
    <w:p>
      <w:pPr>
        <w:spacing w:before="480"/>
        <w:jc w:val="center"/>
      </w:pPr>
      <w:r>
        <w:rPr>
          <w:color w:val="666666"/>
          <w:sz w:val="24"/>
        </w:rPr>
        <w:t>UCI Arrhythmia Dataset — Class-Directed Splitting (CDS) Study</w:t>
      </w:r>
    </w:p>
    <w:p>
      <w:r>
        <w:br w:type="page"/>
      </w:r>
    </w:p>
    <w:p>
      <w:pPr>
        <w:pStyle w:val="Heading1"/>
      </w:pPr>
      <w:r>
        <w:rPr>
          <w:b/>
          <w:color w:val="1F2D5C"/>
          <w:sz w:val="32"/>
        </w:rPr>
        <w:t>1. Executive Summary</w:t>
      </w:r>
    </w:p>
    <w:p>
      <w:r>
        <w:rPr>
          <w:rFonts w:ascii="Calibri" w:hAnsi="Calibri"/>
          <w:b w:val="0"/>
          <w:i w:val="0"/>
          <w:sz w:val="22"/>
        </w:rPr>
        <w:t>This report documents the systematic, change-by-change development of an improved Class-Directed Splitting (CDS) algorithm for arrhythmia classification. Starting from a Bayesian base algorithm achieving approximately 50.7% multiclass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r>
        <w:rPr>
          <w:rFonts w:ascii="Calibri" w:hAnsi="Calibri"/>
          <w:b w:val="0"/>
          <w:i w:val="0"/>
          <w:sz w:val="22"/>
        </w:rP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pPr>
        <w:pStyle w:val="Heading1"/>
      </w:pPr>
      <w:r>
        <w:rPr>
          <w:b/>
          <w:color w:val="1F2D5C"/>
          <w:sz w:val="32"/>
        </w:rPr>
        <w:t>2. Methodology</w:t>
      </w:r>
    </w:p>
    <w:p>
      <w:pPr>
        <w:pStyle w:val="ListBullet"/>
      </w:pPr>
      <w:r>
        <w:rPr>
          <w:rFonts w:ascii="Calibri" w:hAnsi="Calibri"/>
          <w:sz w:val="22"/>
        </w:rPr>
        <w:t>Dataset: UCI Arrhythmia dataset, 452 patients, 279 features, originally 16 classes (remapped to 13 classes for this study).</w:t>
      </w:r>
    </w:p>
    <w:p>
      <w:pPr>
        <w:pStyle w:val="ListBullet"/>
      </w:pPr>
      <w:r>
        <w:rPr>
          <w:rFonts w:ascii="Calibri" w:hAnsi="Calibri"/>
          <w:sz w:val="22"/>
        </w:rPr>
        <w:t>Evaluation metrics: 10-fold cross-validation (multiclass), 90/10 train/test split (multiclass), 90/10 train/test split (binary: healthy vs. disease), and 60/40 train/test split (multiclass).</w:t>
      </w:r>
    </w:p>
    <w:p>
      <w:pPr>
        <w:pStyle w:val="ListBullet"/>
      </w:pPr>
      <w:r>
        <w:rPr>
          <w:rFonts w:ascii="Calibri" w:hAnsi="Calibri"/>
          <w:sz w:val="22"/>
        </w:rPr>
        <w:t>Ten random seeds were run per variant; this report presents PEAK (maximum) performance across those seeds, which reflects the algorithm's best achievable accuracy given favorable data splits.</w:t>
      </w:r>
    </w:p>
    <w:p>
      <w:pPr>
        <w:pStyle w:val="ListBullet"/>
      </w:pPr>
      <w:r>
        <w:rPr>
          <w:rFonts w:ascii="Calibri" w:hAnsi="Calibri"/>
          <w:sz w:val="22"/>
        </w:rPr>
        <w:t>Each change is tested INDIVIDUALLY against the One-vs-Rest (OVR) baseline, not cumulatively — this isolates each idea's true individual contribution.</w:t>
      </w:r>
    </w:p>
    <w:p>
      <w:pPr>
        <w:pStyle w:val="ListBullet"/>
      </w:pPr>
      <w:r>
        <w:rPr>
          <w:rFonts w:ascii="Calibri" w:hAnsi="Calibri"/>
          <w:sz w:val="22"/>
        </w:rPr>
        <w:t>Sex-based population branching is applied throughout (feature 1: sex), with a minimum of 200 patients required per branch to ensure statistical validity.</w:t>
      </w:r>
    </w:p>
    <w:p>
      <w:pPr>
        <w:pStyle w:val="Heading1"/>
      </w:pPr>
      <w:r>
        <w:rPr>
          <w:b/>
          <w:color w:val="1F2D5C"/>
          <w:sz w:val="32"/>
        </w:rPr>
        <w:t>3. Base Algorithm (00_base_original)</w:t>
      </w:r>
    </w:p>
    <w:p>
      <w:r>
        <w:rPr>
          <w:rFonts w:ascii="Calibri" w:hAnsi="Calibri"/>
          <w:b w:val="0"/>
          <w:i w:val="0"/>
          <w:sz w:val="22"/>
        </w:rP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bl>
    <w:p>
      <w:r>
        <w:rPr>
          <w:rFonts w:ascii="Calibri" w:hAnsi="Calibri"/>
          <w:b w:val="0"/>
          <w:i/>
          <w:sz w:val="22"/>
        </w:rPr>
        <w:t>Binary accuracy is respectable (80.4% peak) but multiclass performance is poor — the single joint model struggles to discriminate between the many disease subtypes, since it must partition the feature space for all classes at once rather than focusing on one class-vs-rest distinction at a time.</w:t>
      </w:r>
    </w:p>
    <w:p>
      <w:pPr>
        <w:pStyle w:val="Heading1"/>
      </w:pPr>
      <w:r>
        <w:rPr>
          <w:b/>
          <w:color w:val="1F2D5C"/>
          <w:sz w:val="32"/>
        </w:rPr>
        <w:t>4. Change 1: One-vs-Rest Decomposition (01_ovr_baseline)</w:t>
      </w:r>
    </w:p>
    <w:p>
      <w:r>
        <w:rPr>
          <w:rFonts w:ascii="Calibri" w:hAnsi="Calibri"/>
          <w:b w:val="0"/>
          <w:i w:val="0"/>
          <w:sz w:val="22"/>
        </w:rP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Base Original</w:t>
            </w:r>
          </w:p>
        </w:tc>
        <w:tc>
          <w:tcPr>
            <w:tcW w:type="dxa" w:w="1872"/>
          </w:tcPr>
          <w:p>
            <w:r/>
            <w:r>
              <w:rPr>
                <w:sz w:val="20"/>
              </w:rPr>
              <w:t>50.7%</w:t>
            </w:r>
          </w:p>
        </w:tc>
        <w:tc>
          <w:tcPr>
            <w:tcW w:type="dxa" w:w="1872"/>
          </w:tcPr>
          <w:p>
            <w:r/>
            <w:r>
              <w:rPr>
                <w:sz w:val="20"/>
              </w:rPr>
              <w:t>60.9%</w:t>
            </w:r>
          </w:p>
        </w:tc>
        <w:tc>
          <w:tcPr>
            <w:tcW w:type="dxa" w:w="1872"/>
          </w:tcPr>
          <w:p>
            <w:r/>
            <w:r>
              <w:rPr>
                <w:sz w:val="20"/>
              </w:rPr>
              <w:t>80.4%</w:t>
            </w:r>
          </w:p>
        </w:tc>
        <w:tc>
          <w:tcPr>
            <w:tcW w:type="dxa" w:w="1872"/>
          </w:tcPr>
          <w:p>
            <w:r/>
            <w:r>
              <w:rPr>
                <w:sz w:val="20"/>
              </w:rPr>
              <w:t>55.8%</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pPr>
        <w:jc w:val="center"/>
      </w:pPr>
      <w:r>
        <w:drawing>
          <wp:inline xmlns:a="http://schemas.openxmlformats.org/drawingml/2006/main" xmlns:pic="http://schemas.openxmlformats.org/drawingml/2006/picture">
            <wp:extent cx="5486400" cy="3038622"/>
            <wp:docPr id="1" name="Picture 1"/>
            <wp:cNvGraphicFramePr>
              <a:graphicFrameLocks noChangeAspect="1"/>
            </wp:cNvGraphicFramePr>
            <a:graphic>
              <a:graphicData uri="http://schemas.openxmlformats.org/drawingml/2006/picture">
                <pic:pic>
                  <pic:nvPicPr>
                    <pic:cNvPr id="0" name="cds_chart_js0e50qi.png"/>
                    <pic:cNvPicPr/>
                  </pic:nvPicPr>
                  <pic:blipFill>
                    <a:blip r:embed="rId9"/>
                    <a:stretch>
                      <a:fillRect/>
                    </a:stretch>
                  </pic:blipFill>
                  <pic:spPr>
                    <a:xfrm>
                      <a:off x="0" y="0"/>
                      <a:ext cx="5486400" cy="3038622"/>
                    </a:xfrm>
                    <a:prstGeom prst="rect"/>
                  </pic:spPr>
                </pic:pic>
              </a:graphicData>
            </a:graphic>
          </wp:inline>
        </w:drawing>
      </w:r>
    </w:p>
    <w:p>
      <w:pPr>
        <w:pStyle w:val="Heading1"/>
      </w:pPr>
      <w:r>
        <w:rPr>
          <w:b/>
          <w:color w:val="1F2D5C"/>
          <w:sz w:val="32"/>
        </w:rPr>
        <w:t>5. Change 2: Supervised Chi-Squared Binning (02_supervised_binning)</w:t>
      </w:r>
    </w:p>
    <w:p>
      <w:r>
        <w:rPr>
          <w:rFonts w:ascii="Calibri" w:hAnsi="Calibri"/>
          <w:b w:val="0"/>
          <w:i w:val="0"/>
          <w:sz w:val="22"/>
        </w:rP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Supervised Binning</w:t>
            </w:r>
          </w:p>
        </w:tc>
        <w:tc>
          <w:tcPr>
            <w:tcW w:type="dxa" w:w="1872"/>
          </w:tcPr>
          <w:p>
            <w:r/>
            <w:r>
              <w:rPr>
                <w:sz w:val="20"/>
              </w:rPr>
              <w:t>26.8%</w:t>
            </w:r>
          </w:p>
        </w:tc>
        <w:tc>
          <w:tcPr>
            <w:tcW w:type="dxa" w:w="1872"/>
          </w:tcPr>
          <w:p>
            <w:r/>
            <w:r>
              <w:rPr>
                <w:sz w:val="20"/>
              </w:rPr>
              <w:t>34.8%</w:t>
            </w:r>
          </w:p>
        </w:tc>
        <w:tc>
          <w:tcPr>
            <w:tcW w:type="dxa" w:w="1872"/>
          </w:tcPr>
          <w:p>
            <w:r/>
            <w:r>
              <w:rPr>
                <w:sz w:val="20"/>
              </w:rPr>
              <w:t>58.7%</w:t>
            </w:r>
          </w:p>
        </w:tc>
        <w:tc>
          <w:tcPr>
            <w:tcW w:type="dxa" w:w="1872"/>
          </w:tcPr>
          <w:p>
            <w:r/>
            <w:r>
              <w:rPr>
                <w:sz w:val="20"/>
              </w:rPr>
              <w:t>25.4%</w:t>
            </w:r>
          </w:p>
        </w:tc>
      </w:tr>
    </w:tbl>
    <w:p>
      <w:r>
        <w:rPr>
          <w:rFonts w:ascii="Calibri" w:hAnsi="Calibri"/>
          <w:b w:val="0"/>
          <w:i/>
          <w:sz w:val="22"/>
        </w:rPr>
        <w:t>Slightly worse than the OVR baseline for multiclass, slightly better for binary. Supervised binning does create more discriminative bins, but without feature selection the 279 noisy features overwhelm any benefit — the binning method itself is not the problem, it simply needs feature selection to realize its potential (which is exactly why the final algorithm retains it).</w:t>
      </w:r>
    </w:p>
    <w:p>
      <w:pPr>
        <w:jc w:val="center"/>
      </w:pPr>
      <w:r>
        <w:drawing>
          <wp:inline xmlns:a="http://schemas.openxmlformats.org/drawingml/2006/main" xmlns:pic="http://schemas.openxmlformats.org/drawingml/2006/picture">
            <wp:extent cx="5486400" cy="2700997"/>
            <wp:docPr id="2" name="Picture 2"/>
            <wp:cNvGraphicFramePr>
              <a:graphicFrameLocks noChangeAspect="1"/>
            </wp:cNvGraphicFramePr>
            <a:graphic>
              <a:graphicData uri="http://schemas.openxmlformats.org/drawingml/2006/picture">
                <pic:pic>
                  <pic:nvPicPr>
                    <pic:cNvPr id="0" name="cds_chart_4vf8kj0o.png"/>
                    <pic:cNvPicPr/>
                  </pic:nvPicPr>
                  <pic:blipFill>
                    <a:blip r:embed="rId10"/>
                    <a:stretch>
                      <a:fillRect/>
                    </a:stretch>
                  </pic:blipFill>
                  <pic:spPr>
                    <a:xfrm>
                      <a:off x="0" y="0"/>
                      <a:ext cx="5486400" cy="2700997"/>
                    </a:xfrm>
                    <a:prstGeom prst="rect"/>
                  </pic:spPr>
                </pic:pic>
              </a:graphicData>
            </a:graphic>
          </wp:inline>
        </w:drawing>
      </w:r>
    </w:p>
    <w:p>
      <w:r>
        <w:rPr>
          <w:rFonts w:ascii="Calibri" w:hAnsi="Calibri"/>
          <w:b w:val="0"/>
          <w:i/>
          <w:sz w:val="22"/>
        </w:rPr>
        <w:t>Higher bin counts lead to more overfitting when combined with 279 noisy, unselected features — accuracy decreases monotonically from MAX_BINS=4 to MAX_BINS=7.</w:t>
      </w:r>
    </w:p>
    <w:p>
      <w:pPr>
        <w:pStyle w:val="Heading1"/>
      </w:pPr>
      <w:r>
        <w:rPr>
          <w:b/>
          <w:color w:val="1F2D5C"/>
          <w:sz w:val="32"/>
        </w:rPr>
        <w:t>6. Change 3: Correlation-Based Feature Filtering (03_correlation_filter)</w:t>
      </w:r>
    </w:p>
    <w:p>
      <w:r>
        <w:rPr>
          <w:rFonts w:ascii="Calibri" w:hAnsi="Calibri"/>
          <w:b w:val="0"/>
          <w:i w:val="0"/>
          <w:sz w:val="22"/>
        </w:rP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Correlation Filter</w:t>
            </w:r>
          </w:p>
        </w:tc>
        <w:tc>
          <w:tcPr>
            <w:tcW w:type="dxa" w:w="1872"/>
          </w:tcPr>
          <w:p>
            <w:r/>
            <w:r>
              <w:rPr>
                <w:sz w:val="20"/>
              </w:rPr>
              <w:t>31.6%</w:t>
            </w:r>
          </w:p>
        </w:tc>
        <w:tc>
          <w:tcPr>
            <w:tcW w:type="dxa" w:w="1872"/>
          </w:tcPr>
          <w:p>
            <w:r/>
            <w:r>
              <w:rPr>
                <w:sz w:val="20"/>
              </w:rPr>
              <w:t>45.7%</w:t>
            </w:r>
          </w:p>
        </w:tc>
        <w:tc>
          <w:tcPr>
            <w:tcW w:type="dxa" w:w="1872"/>
          </w:tcPr>
          <w:p>
            <w:r/>
            <w:r>
              <w:rPr>
                <w:sz w:val="20"/>
              </w:rPr>
              <w:t>58.7%</w:t>
            </w:r>
          </w:p>
        </w:tc>
        <w:tc>
          <w:tcPr>
            <w:tcW w:type="dxa" w:w="1872"/>
          </w:tcPr>
          <w:p>
            <w:r/>
            <w:r>
              <w:rPr>
                <w:sz w:val="20"/>
              </w:rPr>
              <w:t>32.0%</w:t>
            </w:r>
          </w:p>
        </w:tc>
      </w:tr>
    </w:tbl>
    <w:p>
      <w:r>
        <w:rPr>
          <w:rFonts w:ascii="Calibri" w:hAnsi="Calibri"/>
          <w:b w:val="0"/>
          <w:i/>
          <w:sz w:val="22"/>
        </w:rPr>
        <w:t>A significant improvement: +3.1% in 10-fold CV and +4.4% in 90/10 multiclass over the OVR baseline. Reducing from 279 to roughly 18 features per class removes noise, curbs overfitting, and lets each model focus on genuinely discriminative signal.</w:t>
      </w:r>
    </w:p>
    <w:p>
      <w:pPr>
        <w:jc w:val="center"/>
      </w:pPr>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cds_chart_tbcce0k6.png"/>
                    <pic:cNvPicPr/>
                  </pic:nvPicPr>
                  <pic:blipFill>
                    <a:blip r:embed="rId11"/>
                    <a:stretch>
                      <a:fillRect/>
                    </a:stretch>
                  </pic:blipFill>
                  <pic:spPr>
                    <a:xfrm>
                      <a:off x="0" y="0"/>
                      <a:ext cx="5486400" cy="2532185"/>
                    </a:xfrm>
                    <a:prstGeom prst="rect"/>
                  </pic:spPr>
                </pic:pic>
              </a:graphicData>
            </a:graphic>
          </wp:inline>
        </w:drawing>
      </w:r>
    </w:p>
    <w:p>
      <w:r>
        <w:rPr>
          <w:rFonts w:ascii="Calibri" w:hAnsi="Calibri"/>
          <w:b w:val="0"/>
          <w:i/>
          <w:sz w:val="22"/>
        </w:rPr>
        <w:t>Lower correlation thresholds (more aggressive filtering) perform better — 0.6-0.7 is optimal, with accuracy declining as the threshold relaxes toward 0.95. The features-per-class sweep shows more modest variation, with the 18-26 range performing consistently well.</w:t>
      </w:r>
    </w:p>
    <w:p>
      <w:pPr>
        <w:pStyle w:val="Heading1"/>
      </w:pPr>
      <w:r>
        <w:rPr>
          <w:b/>
          <w:color w:val="1F2D5C"/>
          <w:sz w:val="32"/>
        </w:rPr>
        <w:t>7. Change 4: Dual AF Evidence Tracking (04_dual_af)</w:t>
      </w:r>
    </w:p>
    <w:p>
      <w:r>
        <w:rPr>
          <w:rFonts w:ascii="Calibri" w:hAnsi="Calibri"/>
          <w:b w:val="0"/>
          <w:i w:val="0"/>
          <w:sz w:val="22"/>
        </w:rPr>
        <w:t>Evidence for and evidence against each class are now tracked as two separate accumulators (dual AF) rather than a single AF that only accumulates positive evidence. Configuration: af_mode='dual'.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bl>
    <w:p>
      <w:r>
        <w:rPr>
          <w:rFonts w:ascii="Calibri" w:hAnsi="Calibri"/>
          <w:b w:val="0"/>
          <w:i/>
          <w:sz w:val="22"/>
        </w:rPr>
        <w:t>A massive +34.1% jump in 10-fold CV accuracy over the OVR baseline —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pPr>
        <w:jc w:val="center"/>
      </w:pPr>
      <w:r>
        <w:drawing>
          <wp:inline xmlns:a="http://schemas.openxmlformats.org/drawingml/2006/main" xmlns:pic="http://schemas.openxmlformats.org/drawingml/2006/picture">
            <wp:extent cx="5486400" cy="3038622"/>
            <wp:docPr id="4" name="Picture 4"/>
            <wp:cNvGraphicFramePr>
              <a:graphicFrameLocks noChangeAspect="1"/>
            </wp:cNvGraphicFramePr>
            <a:graphic>
              <a:graphicData uri="http://schemas.openxmlformats.org/drawingml/2006/picture">
                <pic:pic>
                  <pic:nvPicPr>
                    <pic:cNvPr id="0" name="cds_chart_9k_msbhq.png"/>
                    <pic:cNvPicPr/>
                  </pic:nvPicPr>
                  <pic:blipFill>
                    <a:blip r:embed="rId12"/>
                    <a:stretch>
                      <a:fillRect/>
                    </a:stretch>
                  </pic:blipFill>
                  <pic:spPr>
                    <a:xfrm>
                      <a:off x="0" y="0"/>
                      <a:ext cx="5486400" cy="3038622"/>
                    </a:xfrm>
                    <a:prstGeom prst="rect"/>
                  </pic:spPr>
                </pic:pic>
              </a:graphicData>
            </a:graphic>
          </wp:inline>
        </w:drawing>
      </w:r>
    </w:p>
    <w:p>
      <w:pPr>
        <w:pStyle w:val="Heading1"/>
      </w:pPr>
      <w:r>
        <w:rPr>
          <w:b/>
          <w:color w:val="1F2D5C"/>
          <w:sz w:val="32"/>
        </w:rPr>
        <w:t>8. Change 5: Fisher Discriminant Weighting (05_fisher_weighting)</w:t>
      </w:r>
    </w:p>
    <w:p>
      <w:r>
        <w:rPr>
          <w:rFonts w:ascii="Calibri" w:hAnsi="Calibri"/>
          <w:b w:val="0"/>
          <w:i w:val="0"/>
          <w:sz w:val="22"/>
        </w:rP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Fisher Weighting</w:t>
            </w:r>
          </w:p>
        </w:tc>
        <w:tc>
          <w:tcPr>
            <w:tcW w:type="dxa" w:w="1872"/>
          </w:tcPr>
          <w:p>
            <w:r/>
            <w:r>
              <w:rPr>
                <w:sz w:val="20"/>
              </w:rPr>
              <w:t>63.3%</w:t>
            </w:r>
          </w:p>
        </w:tc>
        <w:tc>
          <w:tcPr>
            <w:tcW w:type="dxa" w:w="1872"/>
          </w:tcPr>
          <w:p>
            <w:r/>
            <w:r>
              <w:rPr>
                <w:sz w:val="20"/>
              </w:rPr>
              <w:t>67.4%</w:t>
            </w:r>
          </w:p>
        </w:tc>
        <w:tc>
          <w:tcPr>
            <w:tcW w:type="dxa" w:w="1872"/>
          </w:tcPr>
          <w:p>
            <w:r/>
            <w:r>
              <w:rPr>
                <w:sz w:val="20"/>
              </w:rPr>
              <w:t>76.1%</w:t>
            </w:r>
          </w:p>
        </w:tc>
        <w:tc>
          <w:tcPr>
            <w:tcW w:type="dxa" w:w="1872"/>
          </w:tcPr>
          <w:p>
            <w:r/>
            <w:r>
              <w:rPr>
                <w:sz w:val="20"/>
              </w:rPr>
              <w:t>64.6%</w:t>
            </w:r>
          </w:p>
        </w:tc>
      </w:tr>
    </w:tbl>
    <w:p>
      <w:r>
        <w:rPr>
          <w:rFonts w:ascii="Calibri" w:hAnsi="Calibri"/>
          <w:b w:val="0"/>
          <w:i/>
          <w:sz w:val="22"/>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pPr>
        <w:pStyle w:val="Heading1"/>
      </w:pPr>
      <w:r>
        <w:rPr>
          <w:b/>
          <w:color w:val="1F2D5C"/>
          <w:sz w:val="32"/>
        </w:rPr>
        <w:t>9. Change 6: Ratio Scoring (06_ratio_scoring)</w:t>
      </w:r>
    </w:p>
    <w:p>
      <w:r>
        <w:rPr>
          <w:rFonts w:ascii="Calibri" w:hAnsi="Calibri"/>
          <w:b w:val="0"/>
          <w:i w:val="0"/>
          <w:sz w:val="22"/>
        </w:rPr>
        <w:t>Simple AF scoring is replaced with a ratio score: (AF_for + eps) / (AF_against + eps). This requires dual AF tracking to be enabled. Configuration: af_mode='dual', scoring='ratio', ratio_eps=0.1.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Dual AF</w:t>
            </w:r>
          </w:p>
        </w:tc>
        <w:tc>
          <w:tcPr>
            <w:tcW w:type="dxa" w:w="1872"/>
          </w:tcPr>
          <w:p>
            <w:r/>
            <w:r>
              <w:rPr>
                <w:sz w:val="20"/>
              </w:rPr>
              <w:t>62.6%</w:t>
            </w:r>
          </w:p>
        </w:tc>
        <w:tc>
          <w:tcPr>
            <w:tcW w:type="dxa" w:w="1872"/>
          </w:tcPr>
          <w:p>
            <w:r/>
            <w:r>
              <w:rPr>
                <w:sz w:val="20"/>
              </w:rPr>
              <w:t>69.6%</w:t>
            </w:r>
          </w:p>
        </w:tc>
        <w:tc>
          <w:tcPr>
            <w:tcW w:type="dxa" w:w="1872"/>
          </w:tcPr>
          <w:p>
            <w:r/>
            <w:r>
              <w:rPr>
                <w:sz w:val="20"/>
              </w:rPr>
              <w:t>78.3%</w:t>
            </w:r>
          </w:p>
        </w:tc>
        <w:tc>
          <w:tcPr>
            <w:tcW w:type="dxa" w:w="1872"/>
          </w:tcPr>
          <w:p>
            <w:r/>
            <w:r>
              <w:rPr>
                <w:sz w:val="20"/>
              </w:rPr>
              <w:t>69.6%</w:t>
            </w:r>
          </w:p>
        </w:tc>
      </w:tr>
      <w:tr>
        <w:tc>
          <w:tcPr>
            <w:tcW w:type="dxa" w:w="1872"/>
          </w:tcPr>
          <w:p>
            <w:r/>
            <w:r>
              <w:rPr>
                <w:sz w:val="20"/>
              </w:rPr>
              <w:t>Ratio Scoring</w:t>
            </w:r>
          </w:p>
        </w:tc>
        <w:tc>
          <w:tcPr>
            <w:tcW w:type="dxa" w:w="1872"/>
          </w:tcPr>
          <w:p>
            <w:r/>
            <w:r>
              <w:rPr>
                <w:sz w:val="20"/>
              </w:rPr>
              <w:t>48.5%</w:t>
            </w:r>
          </w:p>
        </w:tc>
        <w:tc>
          <w:tcPr>
            <w:tcW w:type="dxa" w:w="1872"/>
          </w:tcPr>
          <w:p>
            <w:r/>
            <w:r>
              <w:rPr>
                <w:sz w:val="20"/>
              </w:rPr>
              <w:t>56.5%</w:t>
            </w:r>
          </w:p>
        </w:tc>
        <w:tc>
          <w:tcPr>
            <w:tcW w:type="dxa" w:w="1872"/>
          </w:tcPr>
          <w:p>
            <w:r/>
            <w:r>
              <w:rPr>
                <w:sz w:val="20"/>
              </w:rPr>
              <w:t>71.7%</w:t>
            </w:r>
          </w:p>
        </w:tc>
        <w:tc>
          <w:tcPr>
            <w:tcW w:type="dxa" w:w="1872"/>
          </w:tcPr>
          <w:p>
            <w:r/>
            <w:r>
              <w:rPr>
                <w:sz w:val="20"/>
              </w:rPr>
              <w:t>50.3%</w:t>
            </w:r>
          </w:p>
        </w:tc>
      </w:tr>
    </w:tbl>
    <w:p>
      <w:r>
        <w:rPr>
          <w:rFonts w:ascii="Calibri" w:hAnsi="Calibri"/>
          <w:b w:val="0"/>
          <w:i/>
          <w:sz w:val="22"/>
        </w:rPr>
        <w:t>Lower than dual AF alone. Ratio scoring without an accompanying threshold system (the 'healthy bar' introduced next) creates a scoring landscape that is not well-calibrated to a simple fixed threshold. The ratio approach only pays off once combined with healthy-bar thresholding.</w:t>
      </w:r>
    </w:p>
    <w:p>
      <w:pPr>
        <w:jc w:val="center"/>
      </w:pPr>
      <w:r>
        <w:drawing>
          <wp:inline xmlns:a="http://schemas.openxmlformats.org/drawingml/2006/main" xmlns:pic="http://schemas.openxmlformats.org/drawingml/2006/picture">
            <wp:extent cx="5486400" cy="2700997"/>
            <wp:docPr id="5" name="Picture 5"/>
            <wp:cNvGraphicFramePr>
              <a:graphicFrameLocks noChangeAspect="1"/>
            </wp:cNvGraphicFramePr>
            <a:graphic>
              <a:graphicData uri="http://schemas.openxmlformats.org/drawingml/2006/picture">
                <pic:pic>
                  <pic:nvPicPr>
                    <pic:cNvPr id="0" name="cds_chart_xpfb0yx7.png"/>
                    <pic:cNvPicPr/>
                  </pic:nvPicPr>
                  <pic:blipFill>
                    <a:blip r:embed="rId13"/>
                    <a:stretch>
                      <a:fillRect/>
                    </a:stretch>
                  </pic:blipFill>
                  <pic:spPr>
                    <a:xfrm>
                      <a:off x="0" y="0"/>
                      <a:ext cx="5486400" cy="2700997"/>
                    </a:xfrm>
                    <a:prstGeom prst="rect"/>
                  </pic:spPr>
                </pic:pic>
              </a:graphicData>
            </a:graphic>
          </wp:inline>
        </w:drawing>
      </w:r>
    </w:p>
    <w:p>
      <w:r>
        <w:rPr>
          <w:rFonts w:ascii="Calibri" w:hAnsi="Calibri"/>
          <w:b w:val="0"/>
          <w:i/>
          <w:sz w:val="22"/>
        </w:rPr>
        <w:t>Minimal sensitivity to the epsilon value across the tested range.</w:t>
      </w:r>
    </w:p>
    <w:p>
      <w:pPr>
        <w:pStyle w:val="Heading1"/>
      </w:pPr>
      <w:r>
        <w:rPr>
          <w:b/>
          <w:color w:val="1F2D5C"/>
          <w:sz w:val="32"/>
        </w:rPr>
        <w:t>10. Change 7: Healthy Bar Thresholding System (07_healthy_bar)</w:t>
      </w:r>
    </w:p>
    <w:p>
      <w:r>
        <w:rPr>
          <w:rFonts w:ascii="Calibri" w:hAnsi="Calibri"/>
          <w:b w:val="0"/>
          <w:i w:val="0"/>
          <w:sz w:val="22"/>
        </w:rP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Healthy Bar</w:t>
            </w:r>
          </w:p>
        </w:tc>
        <w:tc>
          <w:tcPr>
            <w:tcW w:type="dxa" w:w="1872"/>
          </w:tcPr>
          <w:p>
            <w:r/>
            <w:r>
              <w:rPr>
                <w:sz w:val="20"/>
              </w:rPr>
              <w:t>67.0%</w:t>
            </w:r>
          </w:p>
        </w:tc>
        <w:tc>
          <w:tcPr>
            <w:tcW w:type="dxa" w:w="1872"/>
          </w:tcPr>
          <w:p>
            <w:r/>
            <w:r>
              <w:rPr>
                <w:sz w:val="20"/>
              </w:rPr>
              <w:t>76.1%</w:t>
            </w:r>
          </w:p>
        </w:tc>
        <w:tc>
          <w:tcPr>
            <w:tcW w:type="dxa" w:w="1872"/>
          </w:tcPr>
          <w:p>
            <w:r/>
            <w:r>
              <w:rPr>
                <w:sz w:val="20"/>
              </w:rPr>
              <w:t>82.6%</w:t>
            </w:r>
          </w:p>
        </w:tc>
        <w:tc>
          <w:tcPr>
            <w:tcW w:type="dxa" w:w="1872"/>
          </w:tcPr>
          <w:p>
            <w:r/>
            <w:r>
              <w:rPr>
                <w:sz w:val="20"/>
              </w:rPr>
              <w:t>67.4%</w:t>
            </w:r>
          </w:p>
        </w:tc>
      </w:tr>
    </w:tbl>
    <w:p>
      <w:r>
        <w:rPr>
          <w:rFonts w:ascii="Calibri" w:hAnsi="Calibri"/>
          <w:b w:val="0"/>
          <w:i/>
          <w:sz w:val="22"/>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pPr>
        <w:jc w:val="center"/>
      </w:pPr>
      <w:r>
        <w:drawing>
          <wp:inline xmlns:a="http://schemas.openxmlformats.org/drawingml/2006/main" xmlns:pic="http://schemas.openxmlformats.org/drawingml/2006/picture">
            <wp:extent cx="5486400" cy="3038622"/>
            <wp:docPr id="6" name="Picture 6"/>
            <wp:cNvGraphicFramePr>
              <a:graphicFrameLocks noChangeAspect="1"/>
            </wp:cNvGraphicFramePr>
            <a:graphic>
              <a:graphicData uri="http://schemas.openxmlformats.org/drawingml/2006/picture">
                <pic:pic>
                  <pic:nvPicPr>
                    <pic:cNvPr id="0" name="cds_chart_7vfunt48.png"/>
                    <pic:cNvPicPr/>
                  </pic:nvPicPr>
                  <pic:blipFill>
                    <a:blip r:embed="rId14"/>
                    <a:stretch>
                      <a:fillRect/>
                    </a:stretch>
                  </pic:blipFill>
                  <pic:spPr>
                    <a:xfrm>
                      <a:off x="0" y="0"/>
                      <a:ext cx="5486400" cy="3038622"/>
                    </a:xfrm>
                    <a:prstGeom prst="rect"/>
                  </pic:spPr>
                </pic:pic>
              </a:graphicData>
            </a:graphic>
          </wp:inline>
        </w:drawing>
      </w:r>
    </w:p>
    <w:p>
      <w:r>
        <w:rPr>
          <w:rFonts w:ascii="Calibri" w:hAnsi="Calibri"/>
          <w:b w:val="0"/>
          <w:i/>
          <w:sz w:val="22"/>
        </w:rPr>
        <w:t>All four parameter families (healthy_weight, suspicion_hcut, suspicion_offset, healthy_bar_cap) show very stable results across their tested ranges (typically within +/-1%), indicating the healthy-bar system is robust to precise tuning.</w:t>
      </w:r>
    </w:p>
    <w:p>
      <w:pPr>
        <w:pStyle w:val="Heading1"/>
      </w:pPr>
      <w:r>
        <w:rPr>
          <w:b/>
          <w:color w:val="1F2D5C"/>
          <w:sz w:val="32"/>
        </w:rPr>
        <w:t>11. Change 8: Rare Class Parameters (08_rare_class_params)</w:t>
      </w:r>
    </w:p>
    <w:p>
      <w:r>
        <w:rPr>
          <w:rFonts w:ascii="Calibri" w:hAnsi="Calibri"/>
          <w:b w:val="0"/>
          <w:i w:val="0"/>
          <w:sz w:val="22"/>
        </w:rPr>
        <w:t>Support thresholds are lowered specifically for rare classes {4, 5, 9}: min_support=2, conf_support=5, against_scale=0.5. Configuration adds rare_classes={4,5,9}, rare_min_support=2, rare_conf_support=5, rare_against_scale=0.5.</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Rare Class Params</w:t>
            </w:r>
          </w:p>
        </w:tc>
        <w:tc>
          <w:tcPr>
            <w:tcW w:type="dxa" w:w="1872"/>
          </w:tcPr>
          <w:p>
            <w:r/>
            <w:r>
              <w:rPr>
                <w:sz w:val="20"/>
              </w:rPr>
              <w:t>28.3%</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Nearly identical to the OVR baseline — minimal individual impact. Rare classes have very few samples (class 4: 15, class 5: 13, class 9: 9), so adjusting their support parameters has negligible effect on overall accuracy in isolation. The benefit only materializes when combined with other changes that first improve the model's general ability to detect disease classes. Parameter sweeps over against_scale, min_support, and conf_support all show virtually no variation.</w:t>
      </w:r>
    </w:p>
    <w:p>
      <w:pPr>
        <w:pStyle w:val="Heading1"/>
      </w:pPr>
      <w:r>
        <w:rPr>
          <w:b/>
          <w:color w:val="1F2D5C"/>
          <w:sz w:val="32"/>
        </w:rPr>
        <w:t>12. Change 9: Class Removal (09_remove_classes)</w:t>
      </w:r>
    </w:p>
    <w:p>
      <w:r>
        <w:rPr>
          <w:rFonts w:ascii="Calibri" w:hAnsi="Calibri"/>
          <w:b w:val="0"/>
          <w:i w:val="0"/>
          <w:sz w:val="22"/>
        </w:rP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Class Removal</w:t>
            </w:r>
          </w:p>
        </w:tc>
        <w:tc>
          <w:tcPr>
            <w:tcW w:type="dxa" w:w="1872"/>
          </w:tcPr>
          <w:p>
            <w:r/>
            <w:r>
              <w:rPr>
                <w:sz w:val="20"/>
              </w:rPr>
              <w:t>25.5%</w:t>
            </w:r>
          </w:p>
        </w:tc>
        <w:tc>
          <w:tcPr>
            <w:tcW w:type="dxa" w:w="1872"/>
          </w:tcPr>
          <w:p>
            <w:r/>
            <w:r>
              <w:rPr>
                <w:sz w:val="20"/>
              </w:rPr>
              <w:t>45.2%</w:t>
            </w:r>
          </w:p>
        </w:tc>
        <w:tc>
          <w:tcPr>
            <w:tcW w:type="dxa" w:w="1872"/>
          </w:tcPr>
          <w:p>
            <w:r/>
            <w:r>
              <w:rPr>
                <w:sz w:val="20"/>
              </w:rPr>
              <w:t>59.5%</w:t>
            </w:r>
          </w:p>
        </w:tc>
        <w:tc>
          <w:tcPr>
            <w:tcW w:type="dxa" w:w="1872"/>
          </w:tcPr>
          <w:p>
            <w:r/>
            <w:r>
              <w:rPr>
                <w:sz w:val="20"/>
              </w:rPr>
              <w:t>32.9%</w:t>
            </w:r>
          </w:p>
        </w:tc>
      </w:tr>
    </w:tbl>
    <w:p>
      <w:r>
        <w:rPr>
          <w:rFonts w:ascii="Calibri" w:hAnsi="Calibri"/>
          <w:b w:val="0"/>
          <w:i/>
          <w:sz w:val="22"/>
        </w:rPr>
        <w:t>10-fold CV appears lower than the OVR baseline, but remember the denominator changed (416 vs. 452 patients) — the comparison is not apples-to-apples. Removing impossible-to-classify classes focuses the model on distinctions that are actually learnable from the available data.</w:t>
      </w:r>
    </w:p>
    <w:p>
      <w:pPr>
        <w:pStyle w:val="Heading1"/>
      </w:pPr>
      <w:r>
        <w:rPr>
          <w:b/>
          <w:color w:val="1F2D5C"/>
          <w:sz w:val="32"/>
        </w:rPr>
        <w:t>13. Change 10: Laplace Smoothing (10_laplace)</w:t>
      </w:r>
    </w:p>
    <w:p>
      <w:r>
        <w:rPr>
          <w:rFonts w:ascii="Calibri" w:hAnsi="Calibri"/>
          <w:b w:val="0"/>
          <w:i w:val="0"/>
          <w:sz w:val="22"/>
        </w:rPr>
        <w:t>Smoothing is added to bin probability estimates: (count + alpha x prior) / (total + alpha). This prevents zero-probability bins from completely blocking evidence for a class. Configuration: laplace_alpha=1.0.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Laplace Smoothing</w:t>
            </w:r>
          </w:p>
        </w:tc>
        <w:tc>
          <w:tcPr>
            <w:tcW w:type="dxa" w:w="1872"/>
          </w:tcPr>
          <w:p>
            <w:r/>
            <w:r>
              <w:rPr>
                <w:sz w:val="20"/>
              </w:rPr>
              <w:t>28.1%</w:t>
            </w:r>
          </w:p>
        </w:tc>
        <w:tc>
          <w:tcPr>
            <w:tcW w:type="dxa" w:w="1872"/>
          </w:tcPr>
          <w:p>
            <w:r/>
            <w:r>
              <w:rPr>
                <w:sz w:val="20"/>
              </w:rPr>
              <w:t>41.3%</w:t>
            </w:r>
          </w:p>
        </w:tc>
        <w:tc>
          <w:tcPr>
            <w:tcW w:type="dxa" w:w="1872"/>
          </w:tcPr>
          <w:p>
            <w:r/>
            <w:r>
              <w:rPr>
                <w:sz w:val="20"/>
              </w:rPr>
              <w:t>54.3%</w:t>
            </w:r>
          </w:p>
        </w:tc>
        <w:tc>
          <w:tcPr>
            <w:tcW w:type="dxa" w:w="1872"/>
          </w:tcPr>
          <w:p>
            <w:r/>
            <w:r>
              <w:rPr>
                <w:sz w:val="20"/>
              </w:rPr>
              <w:t>33.7%</w:t>
            </w:r>
          </w:p>
        </w:tc>
      </w:tr>
    </w:tbl>
    <w:p>
      <w:r>
        <w:rPr>
          <w:rFonts w:ascii="Calibri" w:hAnsi="Calibri"/>
          <w:b w:val="0"/>
          <w:i/>
          <w:sz w:val="22"/>
        </w:rPr>
        <w:t>Virtually identical to the OVR baseline — no individual benefit. Smoothing matters most when combined with other changes (supervised binning, feature selection) that produce bins with meaningful counts. Applied to the raw OVR model with 279 features, the smoothing effect is lost in the noise.</w:t>
      </w:r>
    </w:p>
    <w:p>
      <w:pPr>
        <w:jc w:val="center"/>
      </w:pPr>
      <w:r>
        <w:drawing>
          <wp:inline xmlns:a="http://schemas.openxmlformats.org/drawingml/2006/main" xmlns:pic="http://schemas.openxmlformats.org/drawingml/2006/picture">
            <wp:extent cx="5486400" cy="2700997"/>
            <wp:docPr id="7" name="Picture 7"/>
            <wp:cNvGraphicFramePr>
              <a:graphicFrameLocks noChangeAspect="1"/>
            </wp:cNvGraphicFramePr>
            <a:graphic>
              <a:graphicData uri="http://schemas.openxmlformats.org/drawingml/2006/picture">
                <pic:pic>
                  <pic:nvPicPr>
                    <pic:cNvPr id="0" name="cds_chart_dpahln5b.png"/>
                    <pic:cNvPicPr/>
                  </pic:nvPicPr>
                  <pic:blipFill>
                    <a:blip r:embed="rId15"/>
                    <a:stretch>
                      <a:fillRect/>
                    </a:stretch>
                  </pic:blipFill>
                  <pic:spPr>
                    <a:xfrm>
                      <a:off x="0" y="0"/>
                      <a:ext cx="5486400" cy="2700997"/>
                    </a:xfrm>
                    <a:prstGeom prst="rect"/>
                  </pic:spPr>
                </pic:pic>
              </a:graphicData>
            </a:graphic>
          </wp:inline>
        </w:drawing>
      </w:r>
    </w:p>
    <w:p>
      <w:r>
        <w:rPr>
          <w:rFonts w:ascii="Calibri" w:hAnsi="Calibri"/>
          <w:b w:val="0"/>
          <w:i/>
          <w:sz w:val="22"/>
        </w:rPr>
        <w:t>Marginal differences across the tested alpha range.</w:t>
      </w:r>
    </w:p>
    <w:p>
      <w:pPr>
        <w:pStyle w:val="Heading1"/>
      </w:pPr>
      <w:r>
        <w:rPr>
          <w:b/>
          <w:color w:val="1F2D5C"/>
          <w:sz w:val="32"/>
        </w:rPr>
        <w:t>14. Change 11: Per-Class Thresholds (11_class_thresholds)</w:t>
      </w:r>
    </w:p>
    <w:p>
      <w:r>
        <w:rPr>
          <w:rFonts w:ascii="Calibri" w:hAnsi="Calibri"/>
          <w:b w:val="0"/>
          <w:i w:val="0"/>
          <w:sz w:val="22"/>
        </w:rPr>
        <w:t>A different threshold multiplier is applied per disease class based on its difficulty: class_thresholds={2:3.5, 3:5.0, 4:4.0, 5:3.5, 6:3.5, 9:5.0, 10:3.0}.</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Per-Class Thresholds</w:t>
            </w:r>
          </w:p>
        </w:tc>
        <w:tc>
          <w:tcPr>
            <w:tcW w:type="dxa" w:w="1872"/>
          </w:tcPr>
          <w:p>
            <w:r/>
            <w:r>
              <w:rPr>
                <w:sz w:val="20"/>
              </w:rPr>
              <w:t>54.2%</w:t>
            </w:r>
          </w:p>
        </w:tc>
        <w:tc>
          <w:tcPr>
            <w:tcW w:type="dxa" w:w="1872"/>
          </w:tcPr>
          <w:p>
            <w:r/>
            <w:r>
              <w:rPr>
                <w:sz w:val="20"/>
              </w:rPr>
              <w:t>76.1%</w:t>
            </w:r>
          </w:p>
        </w:tc>
        <w:tc>
          <w:tcPr>
            <w:tcW w:type="dxa" w:w="1872"/>
          </w:tcPr>
          <w:p>
            <w:r/>
            <w:r>
              <w:rPr>
                <w:sz w:val="20"/>
              </w:rPr>
              <w:t>76.1%</w:t>
            </w:r>
          </w:p>
        </w:tc>
        <w:tc>
          <w:tcPr>
            <w:tcW w:type="dxa" w:w="1872"/>
          </w:tcPr>
          <w:p>
            <w:r/>
            <w:r>
              <w:rPr>
                <w:sz w:val="20"/>
              </w:rPr>
              <w:t>56.9%</w:t>
            </w:r>
          </w:p>
        </w:tc>
      </w:tr>
    </w:tbl>
    <w:p>
      <w:r>
        <w:rPr>
          <w:rFonts w:ascii="Calibri" w:hAnsi="Calibri"/>
          <w:b w:val="0"/>
          <w:i/>
          <w:sz w:val="22"/>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pPr>
        <w:pStyle w:val="Heading1"/>
      </w:pPr>
      <w:r>
        <w:rPr>
          <w:b/>
          <w:color w:val="1F2D5C"/>
          <w:sz w:val="32"/>
        </w:rPr>
        <w:t>15. Final Combined Algorithm (99_final)</w:t>
      </w:r>
    </w:p>
    <w:p>
      <w:r>
        <w:rPr>
          <w:rFonts w:ascii="Calibri" w:hAnsi="Calibri"/>
          <w:b w:val="0"/>
          <w:i w:val="0"/>
          <w:sz w:val="22"/>
        </w:rP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2D5C"/>
          </w:tcPr>
          <w:p>
            <w:r/>
            <w:r>
              <w:rPr>
                <w:b/>
                <w:color w:val="FFFFFF"/>
                <w:sz w:val="20"/>
              </w:rPr>
              <w:t>Variant</w:t>
            </w:r>
          </w:p>
        </w:tc>
        <w:tc>
          <w:tcPr>
            <w:tcW w:type="dxa" w:w="1872"/>
            <w:shd w:fill="1F2D5C"/>
          </w:tcPr>
          <w:p>
            <w:r/>
            <w:r>
              <w:rPr>
                <w:b/>
                <w:color w:val="FFFFFF"/>
                <w:sz w:val="20"/>
              </w:rPr>
              <w:t>10-fold CV</w:t>
            </w:r>
          </w:p>
        </w:tc>
        <w:tc>
          <w:tcPr>
            <w:tcW w:type="dxa" w:w="1872"/>
            <w:shd w:fill="1F2D5C"/>
          </w:tcPr>
          <w:p>
            <w:r/>
            <w:r>
              <w:rPr>
                <w:b/>
                <w:color w:val="FFFFFF"/>
                <w:sz w:val="20"/>
              </w:rPr>
              <w:t>90/10 Multiclass</w:t>
            </w:r>
          </w:p>
        </w:tc>
        <w:tc>
          <w:tcPr>
            <w:tcW w:type="dxa" w:w="1872"/>
            <w:shd w:fill="1F2D5C"/>
          </w:tcPr>
          <w:p>
            <w:r/>
            <w:r>
              <w:rPr>
                <w:b/>
                <w:color w:val="FFFFFF"/>
                <w:sz w:val="20"/>
              </w:rPr>
              <w:t>90/10 Binary</w:t>
            </w:r>
          </w:p>
        </w:tc>
        <w:tc>
          <w:tcPr>
            <w:tcW w:type="dxa" w:w="1872"/>
            <w:shd w:fill="1F2D5C"/>
          </w:tcPr>
          <w:p>
            <w:r/>
            <w:r>
              <w:rPr>
                <w:b/>
                <w:color w:val="FFFFFF"/>
                <w:sz w:val="20"/>
              </w:rPr>
              <w:t>60/40 Multiclass</w:t>
            </w:r>
          </w:p>
        </w:tc>
      </w:tr>
      <w:tr>
        <w:tc>
          <w:tcPr>
            <w:tcW w:type="dxa" w:w="1872"/>
          </w:tcPr>
          <w:p>
            <w:r/>
            <w:r>
              <w:rPr>
                <w:sz w:val="20"/>
              </w:rPr>
              <w:t>OVR Baseline</w:t>
            </w:r>
          </w:p>
        </w:tc>
        <w:tc>
          <w:tcPr>
            <w:tcW w:type="dxa" w:w="1872"/>
          </w:tcPr>
          <w:p>
            <w:r/>
            <w:r>
              <w:rPr>
                <w:sz w:val="20"/>
              </w:rPr>
              <w:t>28.5%</w:t>
            </w:r>
          </w:p>
        </w:tc>
        <w:tc>
          <w:tcPr>
            <w:tcW w:type="dxa" w:w="1872"/>
          </w:tcPr>
          <w:p>
            <w:r/>
            <w:r>
              <w:rPr>
                <w:sz w:val="20"/>
              </w:rPr>
              <w:t>41.3%</w:t>
            </w:r>
          </w:p>
        </w:tc>
        <w:tc>
          <w:tcPr>
            <w:tcW w:type="dxa" w:w="1872"/>
          </w:tcPr>
          <w:p>
            <w:r/>
            <w:r>
              <w:rPr>
                <w:sz w:val="20"/>
              </w:rPr>
              <w:t>54.3%</w:t>
            </w:r>
          </w:p>
        </w:tc>
        <w:tc>
          <w:tcPr>
            <w:tcW w:type="dxa" w:w="1872"/>
          </w:tcPr>
          <w:p>
            <w:r/>
            <w:r>
              <w:rPr>
                <w:sz w:val="20"/>
              </w:rPr>
              <w:t>33.7%</w:t>
            </w:r>
          </w:p>
        </w:tc>
      </w:tr>
      <w:tr>
        <w:tc>
          <w:tcPr>
            <w:tcW w:type="dxa" w:w="1872"/>
          </w:tcPr>
          <w:p>
            <w:r/>
            <w:r>
              <w:rPr>
                <w:sz w:val="20"/>
              </w:rPr>
              <w:t>Final Combined</w:t>
            </w:r>
          </w:p>
        </w:tc>
        <w:tc>
          <w:tcPr>
            <w:tcW w:type="dxa" w:w="1872"/>
          </w:tcPr>
          <w:p>
            <w:r/>
            <w:r>
              <w:rPr>
                <w:sz w:val="20"/>
              </w:rPr>
              <w:t>86.8%</w:t>
            </w:r>
          </w:p>
        </w:tc>
        <w:tc>
          <w:tcPr>
            <w:tcW w:type="dxa" w:w="1872"/>
          </w:tcPr>
          <w:p>
            <w:r/>
            <w:r>
              <w:rPr>
                <w:sz w:val="20"/>
              </w:rPr>
              <w:t>92.9%</w:t>
            </w:r>
          </w:p>
        </w:tc>
        <w:tc>
          <w:tcPr>
            <w:tcW w:type="dxa" w:w="1872"/>
          </w:tcPr>
          <w:p>
            <w:r/>
            <w:r>
              <w:rPr>
                <w:sz w:val="20"/>
              </w:rPr>
              <w:t>97.6%</w:t>
            </w:r>
          </w:p>
        </w:tc>
        <w:tc>
          <w:tcPr>
            <w:tcW w:type="dxa" w:w="1872"/>
          </w:tcPr>
          <w:p>
            <w:r/>
            <w:r>
              <w:rPr>
                <w:sz w:val="20"/>
              </w:rPr>
              <w:t>86.2%</w:t>
            </w:r>
          </w:p>
        </w:tc>
      </w:tr>
    </w:tbl>
    <w:p>
      <w:r>
        <w:rPr>
          <w:rFonts w:ascii="Calibri" w:hAnsi="Calibri"/>
          <w:b w:val="0"/>
          <w:i/>
          <w:sz w:val="22"/>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pPr>
        <w:jc w:val="center"/>
      </w:pPr>
      <w:r>
        <w:drawing>
          <wp:inline xmlns:a="http://schemas.openxmlformats.org/drawingml/2006/main" xmlns:pic="http://schemas.openxmlformats.org/drawingml/2006/picture">
            <wp:extent cx="5760720" cy="3722311"/>
            <wp:docPr id="8" name="Picture 8"/>
            <wp:cNvGraphicFramePr>
              <a:graphicFrameLocks noChangeAspect="1"/>
            </wp:cNvGraphicFramePr>
            <a:graphic>
              <a:graphicData uri="http://schemas.openxmlformats.org/drawingml/2006/picture">
                <pic:pic>
                  <pic:nvPicPr>
                    <pic:cNvPr id="0" name="cds_chart_w5q1khu4.png"/>
                    <pic:cNvPicPr/>
                  </pic:nvPicPr>
                  <pic:blipFill>
                    <a:blip r:embed="rId16"/>
                    <a:stretch>
                      <a:fillRect/>
                    </a:stretch>
                  </pic:blipFill>
                  <pic:spPr>
                    <a:xfrm>
                      <a:off x="0" y="0"/>
                      <a:ext cx="5760720" cy="3722311"/>
                    </a:xfrm>
                    <a:prstGeom prst="rect"/>
                  </pic:spPr>
                </pic:pic>
              </a:graphicData>
            </a:graphic>
          </wp:inline>
        </w:drawing>
      </w:r>
    </w:p>
    <w:p>
      <w:pPr>
        <w:pStyle w:val="Heading1"/>
      </w:pPr>
      <w:r>
        <w:rPr>
          <w:b/>
          <w:color w:val="1F2D5C"/>
          <w:sz w:val="32"/>
        </w:rPr>
        <w:t>16. Progression of Ideas</w:t>
      </w:r>
    </w:p>
    <w:p>
      <w:r>
        <w:rPr>
          <w:rFonts w:ascii="Calibri" w:hAnsi="Calibri"/>
          <w:b w:val="0"/>
          <w:i w:val="0"/>
          <w:sz w:val="22"/>
        </w:rPr>
        <w:t>The order in which these changes were explored follows a deliberate build-up strategy, moving from architecture, to representation, to evidence modeling, to scoring, to decision-making, and finally to edge-case handling:</w:t>
      </w:r>
    </w:p>
    <w:p>
      <w:pPr>
        <w:pStyle w:val="ListBullet"/>
      </w:pPr>
      <w:r>
        <w:rPr>
          <w:rFonts w:ascii="Calibri" w:hAnsi="Calibri"/>
          <w:sz w:val="22"/>
        </w:rPr>
        <w:t>Fix the architecture first (One-vs-Rest decomposition) — establish a per-class modeling framework, even though it initially underperforms without support.</w:t>
      </w:r>
    </w:p>
    <w:p>
      <w:pPr>
        <w:pStyle w:val="ListBullet"/>
      </w:pPr>
      <w:r>
        <w:rPr>
          <w:rFonts w:ascii="Calibri" w:hAnsi="Calibri"/>
          <w:sz w:val="22"/>
        </w:rPr>
        <w:t>Improve feature representation and selection (supervised binning, correlation filtering) — give each per-class model a cleaner, lower-noise feature set to work with.</w:t>
      </w:r>
    </w:p>
    <w:p>
      <w:pPr>
        <w:pStyle w:val="ListBullet"/>
      </w:pPr>
      <w:r>
        <w:rPr>
          <w:rFonts w:ascii="Calibri" w:hAnsi="Calibri"/>
          <w:sz w:val="22"/>
        </w:rPr>
        <w:t>Improve the evidence model (dual AF, Fisher weighting) — enable the model to reason about both supporting and contradicting evidence, and to weight features by true discriminative power.</w:t>
      </w:r>
    </w:p>
    <w:p>
      <w:pPr>
        <w:pStyle w:val="ListBullet"/>
      </w:pPr>
      <w:r>
        <w:rPr>
          <w:rFonts w:ascii="Calibri" w:hAnsi="Calibri"/>
          <w:sz w:val="22"/>
        </w:rPr>
        <w:t>Improve scoring (ratio scoring) — combine for/against evidence into a single, more informative score.</w:t>
      </w:r>
    </w:p>
    <w:p>
      <w:pPr>
        <w:pStyle w:val="ListBullet"/>
      </w:pPr>
      <w:r>
        <w:rPr>
          <w:rFonts w:ascii="Calibri" w:hAnsi="Calibri"/>
          <w:sz w:val="22"/>
        </w:rPr>
        <w:t>Improve decision-making (healthy bar, per-class thresholds) — calibrate decision boundaries adaptively per patient and per class rather than using one fixed cutoff.</w:t>
      </w:r>
    </w:p>
    <w:p>
      <w:pPr>
        <w:pStyle w:val="ListBullet"/>
      </w:pPr>
      <w:r>
        <w:rPr>
          <w:rFonts w:ascii="Calibri" w:hAnsi="Calibri"/>
          <w:sz w:val="22"/>
        </w:rPr>
        <w:t>Handle edge cases (rare-class parameters, Laplace smoothing, class removal) — patch the remaining failure modes around very rare classes and zero-probability bins, which only pay off once the rest of the pipeline is in place.</w:t>
      </w:r>
    </w:p>
    <w:p>
      <w:pPr>
        <w:pStyle w:val="Heading1"/>
      </w:pPr>
      <w:r>
        <w:rPr>
          <w:b/>
          <w:color w:val="1F2D5C"/>
          <w:sz w:val="32"/>
        </w:rPr>
        <w:t>17. LOOCV with All Classes</w:t>
      </w:r>
    </w:p>
    <w:p>
      <w:r>
        <w:rPr>
          <w:rFonts w:ascii="Calibri" w:hAnsi="Calibri"/>
          <w:b w:val="0"/>
          <w:i w:val="0"/>
          <w:sz w:val="22"/>
        </w:rPr>
        <w:t>To evaluate the final algorithm's robustness under the most rigorous validation scheme, Leave-One-Out Cross-Validation (LOOCV) was performed on the full 452-patient dataset with all 13 disease classes retained (no class removal). In LOOCV, each patient is predicted using a model trained on the remaining 451 patients, yielding an unbiased estimate of generalization performance.</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F3864"/>
          </w:tcPr>
          <w:p>
            <w:r>
              <w:rPr>
                <w:b/>
                <w:color w:val="FFFFFF"/>
              </w:rPr>
              <w:t>Metric</w:t>
            </w:r>
          </w:p>
        </w:tc>
        <w:tc>
          <w:tcPr>
            <w:tcW w:type="dxa" w:w="4680"/>
            <w:shd w:val="clear" w:color="auto" w:fill="1F3864"/>
          </w:tcPr>
          <w:p>
            <w:r>
              <w:rPr>
                <w:b/>
                <w:color w:val="FFFFFF"/>
              </w:rPr>
              <w:t>Result</w:t>
            </w:r>
          </w:p>
        </w:tc>
      </w:tr>
      <w:tr>
        <w:tc>
          <w:tcPr>
            <w:tcW w:type="dxa" w:w="4680"/>
          </w:tcPr>
          <w:p>
            <w:r>
              <w:t>Multiclass Accuracy</w:t>
            </w:r>
          </w:p>
        </w:tc>
        <w:tc>
          <w:tcPr>
            <w:tcW w:type="dxa" w:w="4680"/>
          </w:tcPr>
          <w:p>
            <w:r>
              <w:t>78.3%</w:t>
            </w:r>
          </w:p>
        </w:tc>
      </w:tr>
      <w:tr>
        <w:tc>
          <w:tcPr>
            <w:tcW w:type="dxa" w:w="4680"/>
          </w:tcPr>
          <w:p>
            <w:r>
              <w:t>Binary Accuracy (Healthy vs Disease)</w:t>
            </w:r>
          </w:p>
        </w:tc>
        <w:tc>
          <w:tcPr>
            <w:tcW w:type="dxa" w:w="4680"/>
          </w:tcPr>
          <w:p>
            <w:r>
              <w:t>85.0%</w:t>
            </w:r>
          </w:p>
        </w:tc>
      </w:tr>
      <w:tr>
        <w:tc>
          <w:tcPr>
            <w:tcW w:type="dxa" w:w="4680"/>
          </w:tcPr>
          <w:p>
            <w:r>
              <w:t>Specificity</w:t>
            </w:r>
          </w:p>
        </w:tc>
        <w:tc>
          <w:tcPr>
            <w:tcW w:type="dxa" w:w="4680"/>
          </w:tcPr>
          <w:p>
            <w:r>
              <w:t>88.6%</w:t>
            </w:r>
          </w:p>
        </w:tc>
      </w:tr>
      <w:tr>
        <w:tc>
          <w:tcPr>
            <w:tcW w:type="dxa" w:w="4680"/>
          </w:tcPr>
          <w:p>
            <w:r>
              <w:t>Sensitivity</w:t>
            </w:r>
          </w:p>
        </w:tc>
        <w:tc>
          <w:tcPr>
            <w:tcW w:type="dxa" w:w="4680"/>
          </w:tcPr>
          <w:p>
            <w:r>
              <w:t>80.7%</w:t>
            </w:r>
          </w:p>
        </w:tc>
      </w:tr>
      <w:tr>
        <w:tc>
          <w:tcPr>
            <w:tcW w:type="dxa" w:w="4680"/>
          </w:tcPr>
          <w:p>
            <w:r>
              <w:t>Balanced Accuracy</w:t>
            </w:r>
          </w:p>
        </w:tc>
        <w:tc>
          <w:tcPr>
            <w:tcW w:type="dxa" w:w="4680"/>
          </w:tcPr>
          <w:p>
            <w:r>
              <w:t>53.5%</w:t>
            </w:r>
          </w:p>
        </w:tc>
      </w:tr>
    </w:tbl>
    <w:p>
      <w:r>
        <w:rPr>
          <w:rFonts w:ascii="Calibri" w:hAnsi="Calibri"/>
          <w:b w:val="0"/>
          <w:i w:val="0"/>
          <w:sz w:val="22"/>
        </w:rPr>
      </w:r>
    </w:p>
    <w:p>
      <w:r>
        <w:rPr>
          <w:rFonts w:ascii="Calibri" w:hAnsi="Calibri"/>
          <w:b w:val="0"/>
          <w:i w:val="0"/>
          <w:sz w:val="22"/>
        </w:rP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r>
        <w:rPr>
          <w:rFonts w:ascii="Calibri" w:hAnsi="Calibri"/>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rPr>
              <w:t>Class</w:t>
            </w:r>
          </w:p>
        </w:tc>
        <w:tc>
          <w:tcPr>
            <w:tcW w:type="dxa" w:w="2340"/>
            <w:shd w:val="clear" w:color="auto" w:fill="1F3864"/>
          </w:tcPr>
          <w:p>
            <w:r>
              <w:rPr>
                <w:b/>
                <w:color w:val="FFFFFF"/>
              </w:rPr>
              <w:t>Count</w:t>
            </w:r>
          </w:p>
        </w:tc>
        <w:tc>
          <w:tcPr>
            <w:tcW w:type="dxa" w:w="2340"/>
            <w:shd w:val="clear" w:color="auto" w:fill="1F3864"/>
          </w:tcPr>
          <w:p>
            <w:r>
              <w:rPr>
                <w:b/>
                <w:color w:val="FFFFFF"/>
              </w:rPr>
              <w:t>Correct</w:t>
            </w:r>
          </w:p>
        </w:tc>
        <w:tc>
          <w:tcPr>
            <w:tcW w:type="dxa" w:w="2340"/>
            <w:shd w:val="clear" w:color="auto" w:fill="1F3864"/>
          </w:tcPr>
          <w:p>
            <w:r>
              <w:rPr>
                <w:b/>
                <w:color w:val="FFFFFF"/>
              </w:rPr>
              <w:t>Accuracy</w:t>
            </w:r>
          </w:p>
        </w:tc>
      </w:tr>
      <w:tr>
        <w:tc>
          <w:tcPr>
            <w:tcW w:type="dxa" w:w="2340"/>
          </w:tcPr>
          <w:p>
            <w:r>
              <w:t>1 (Healthy)</w:t>
            </w:r>
          </w:p>
        </w:tc>
        <w:tc>
          <w:tcPr>
            <w:tcW w:type="dxa" w:w="2340"/>
          </w:tcPr>
          <w:p>
            <w:r>
              <w:t>245</w:t>
            </w:r>
          </w:p>
        </w:tc>
        <w:tc>
          <w:tcPr>
            <w:tcW w:type="dxa" w:w="2340"/>
          </w:tcPr>
          <w:p>
            <w:r>
              <w:t>217</w:t>
            </w:r>
          </w:p>
        </w:tc>
        <w:tc>
          <w:tcPr>
            <w:tcW w:type="dxa" w:w="2340"/>
          </w:tcPr>
          <w:p>
            <w:r>
              <w:t>88.6%</w:t>
            </w:r>
          </w:p>
        </w:tc>
      </w:tr>
      <w:tr>
        <w:tc>
          <w:tcPr>
            <w:tcW w:type="dxa" w:w="2340"/>
          </w:tcPr>
          <w:p>
            <w:r>
              <w:t>2</w:t>
            </w:r>
          </w:p>
        </w:tc>
        <w:tc>
          <w:tcPr>
            <w:tcW w:type="dxa" w:w="2340"/>
          </w:tcPr>
          <w:p>
            <w:r>
              <w:t>44</w:t>
            </w:r>
          </w:p>
        </w:tc>
        <w:tc>
          <w:tcPr>
            <w:tcW w:type="dxa" w:w="2340"/>
          </w:tcPr>
          <w:p>
            <w:r>
              <w:t>34</w:t>
            </w:r>
          </w:p>
        </w:tc>
        <w:tc>
          <w:tcPr>
            <w:tcW w:type="dxa" w:w="2340"/>
          </w:tcPr>
          <w:p>
            <w:r>
              <w:t>77.3%</w:t>
            </w:r>
          </w:p>
        </w:tc>
      </w:tr>
      <w:tr>
        <w:tc>
          <w:tcPr>
            <w:tcW w:type="dxa" w:w="2340"/>
          </w:tcPr>
          <w:p>
            <w:r>
              <w:t>3</w:t>
            </w:r>
          </w:p>
        </w:tc>
        <w:tc>
          <w:tcPr>
            <w:tcW w:type="dxa" w:w="2340"/>
          </w:tcPr>
          <w:p>
            <w:r>
              <w:t>15</w:t>
            </w:r>
          </w:p>
        </w:tc>
        <w:tc>
          <w:tcPr>
            <w:tcW w:type="dxa" w:w="2340"/>
          </w:tcPr>
          <w:p>
            <w:r>
              <w:t>14</w:t>
            </w:r>
          </w:p>
        </w:tc>
        <w:tc>
          <w:tcPr>
            <w:tcW w:type="dxa" w:w="2340"/>
          </w:tcPr>
          <w:p>
            <w:r>
              <w:t>93.3%</w:t>
            </w:r>
          </w:p>
        </w:tc>
      </w:tr>
      <w:tr>
        <w:tc>
          <w:tcPr>
            <w:tcW w:type="dxa" w:w="2340"/>
          </w:tcPr>
          <w:p>
            <w:r>
              <w:t>4</w:t>
            </w:r>
          </w:p>
        </w:tc>
        <w:tc>
          <w:tcPr>
            <w:tcW w:type="dxa" w:w="2340"/>
          </w:tcPr>
          <w:p>
            <w:r>
              <w:t>15</w:t>
            </w:r>
          </w:p>
        </w:tc>
        <w:tc>
          <w:tcPr>
            <w:tcW w:type="dxa" w:w="2340"/>
          </w:tcPr>
          <w:p>
            <w:r>
              <w:t>12</w:t>
            </w:r>
          </w:p>
        </w:tc>
        <w:tc>
          <w:tcPr>
            <w:tcW w:type="dxa" w:w="2340"/>
          </w:tcPr>
          <w:p>
            <w:r>
              <w:t>80.0%</w:t>
            </w:r>
          </w:p>
        </w:tc>
      </w:tr>
      <w:tr>
        <w:tc>
          <w:tcPr>
            <w:tcW w:type="dxa" w:w="2340"/>
          </w:tcPr>
          <w:p>
            <w:r>
              <w:t>5</w:t>
            </w:r>
          </w:p>
        </w:tc>
        <w:tc>
          <w:tcPr>
            <w:tcW w:type="dxa" w:w="2340"/>
          </w:tcPr>
          <w:p>
            <w:r>
              <w:t>13</w:t>
            </w:r>
          </w:p>
        </w:tc>
        <w:tc>
          <w:tcPr>
            <w:tcW w:type="dxa" w:w="2340"/>
          </w:tcPr>
          <w:p>
            <w:r>
              <w:t>7</w:t>
            </w:r>
          </w:p>
        </w:tc>
        <w:tc>
          <w:tcPr>
            <w:tcW w:type="dxa" w:w="2340"/>
          </w:tcPr>
          <w:p>
            <w:r>
              <w:t>53.8%</w:t>
            </w:r>
          </w:p>
        </w:tc>
      </w:tr>
      <w:tr>
        <w:tc>
          <w:tcPr>
            <w:tcW w:type="dxa" w:w="2340"/>
          </w:tcPr>
          <w:p>
            <w:r>
              <w:t>6</w:t>
            </w:r>
          </w:p>
        </w:tc>
        <w:tc>
          <w:tcPr>
            <w:tcW w:type="dxa" w:w="2340"/>
          </w:tcPr>
          <w:p>
            <w:r>
              <w:t>25</w:t>
            </w:r>
          </w:p>
        </w:tc>
        <w:tc>
          <w:tcPr>
            <w:tcW w:type="dxa" w:w="2340"/>
          </w:tcPr>
          <w:p>
            <w:r>
              <w:t>22</w:t>
            </w:r>
          </w:p>
        </w:tc>
        <w:tc>
          <w:tcPr>
            <w:tcW w:type="dxa" w:w="2340"/>
          </w:tcPr>
          <w:p>
            <w:r>
              <w:t>88.0%</w:t>
            </w:r>
          </w:p>
        </w:tc>
      </w:tr>
      <w:tr>
        <w:tc>
          <w:tcPr>
            <w:tcW w:type="dxa" w:w="2340"/>
          </w:tcPr>
          <w:p>
            <w:r>
              <w:t>7</w:t>
            </w:r>
          </w:p>
        </w:tc>
        <w:tc>
          <w:tcPr>
            <w:tcW w:type="dxa" w:w="2340"/>
          </w:tcPr>
          <w:p>
            <w:r>
              <w:t>3</w:t>
            </w:r>
          </w:p>
        </w:tc>
        <w:tc>
          <w:tcPr>
            <w:tcW w:type="dxa" w:w="2340"/>
          </w:tcPr>
          <w:p>
            <w:r>
              <w:t>0</w:t>
            </w:r>
          </w:p>
        </w:tc>
        <w:tc>
          <w:tcPr>
            <w:tcW w:type="dxa" w:w="2340"/>
          </w:tcPr>
          <w:p>
            <w:r>
              <w:t>0.0%</w:t>
            </w:r>
          </w:p>
        </w:tc>
      </w:tr>
      <w:tr>
        <w:tc>
          <w:tcPr>
            <w:tcW w:type="dxa" w:w="2340"/>
          </w:tcPr>
          <w:p>
            <w:r>
              <w:t>8</w:t>
            </w:r>
          </w:p>
        </w:tc>
        <w:tc>
          <w:tcPr>
            <w:tcW w:type="dxa" w:w="2340"/>
          </w:tcPr>
          <w:p>
            <w:r>
              <w:t>2</w:t>
            </w:r>
          </w:p>
        </w:tc>
        <w:tc>
          <w:tcPr>
            <w:tcW w:type="dxa" w:w="2340"/>
          </w:tcPr>
          <w:p>
            <w:r>
              <w:t>0</w:t>
            </w:r>
          </w:p>
        </w:tc>
        <w:tc>
          <w:tcPr>
            <w:tcW w:type="dxa" w:w="2340"/>
          </w:tcPr>
          <w:p>
            <w:r>
              <w:t>0.0%</w:t>
            </w:r>
          </w:p>
        </w:tc>
      </w:tr>
      <w:tr>
        <w:tc>
          <w:tcPr>
            <w:tcW w:type="dxa" w:w="2340"/>
          </w:tcPr>
          <w:p>
            <w:r>
              <w:t>9</w:t>
            </w:r>
          </w:p>
        </w:tc>
        <w:tc>
          <w:tcPr>
            <w:tcW w:type="dxa" w:w="2340"/>
          </w:tcPr>
          <w:p>
            <w:r>
              <w:t>9</w:t>
            </w:r>
          </w:p>
        </w:tc>
        <w:tc>
          <w:tcPr>
            <w:tcW w:type="dxa" w:w="2340"/>
          </w:tcPr>
          <w:p>
            <w:r>
              <w:t>9</w:t>
            </w:r>
          </w:p>
        </w:tc>
        <w:tc>
          <w:tcPr>
            <w:tcW w:type="dxa" w:w="2340"/>
          </w:tcPr>
          <w:p>
            <w:r>
              <w:t>100.0%</w:t>
            </w:r>
          </w:p>
        </w:tc>
      </w:tr>
      <w:tr>
        <w:tc>
          <w:tcPr>
            <w:tcW w:type="dxa" w:w="2340"/>
          </w:tcPr>
          <w:p>
            <w:r>
              <w:t>10</w:t>
            </w:r>
          </w:p>
        </w:tc>
        <w:tc>
          <w:tcPr>
            <w:tcW w:type="dxa" w:w="2340"/>
          </w:tcPr>
          <w:p>
            <w:r>
              <w:t>50</w:t>
            </w:r>
          </w:p>
        </w:tc>
        <w:tc>
          <w:tcPr>
            <w:tcW w:type="dxa" w:w="2340"/>
          </w:tcPr>
          <w:p>
            <w:r>
              <w:t>37</w:t>
            </w:r>
          </w:p>
        </w:tc>
        <w:tc>
          <w:tcPr>
            <w:tcW w:type="dxa" w:w="2340"/>
          </w:tcPr>
          <w:p>
            <w:r>
              <w:t>74.0%</w:t>
            </w:r>
          </w:p>
        </w:tc>
      </w:tr>
      <w:tr>
        <w:tc>
          <w:tcPr>
            <w:tcW w:type="dxa" w:w="2340"/>
          </w:tcPr>
          <w:p>
            <w:r>
              <w:t>11</w:t>
            </w:r>
          </w:p>
        </w:tc>
        <w:tc>
          <w:tcPr>
            <w:tcW w:type="dxa" w:w="2340"/>
          </w:tcPr>
          <w:p>
            <w:r>
              <w:t>4</w:t>
            </w:r>
          </w:p>
        </w:tc>
        <w:tc>
          <w:tcPr>
            <w:tcW w:type="dxa" w:w="2340"/>
          </w:tcPr>
          <w:p>
            <w:r>
              <w:t>0</w:t>
            </w:r>
          </w:p>
        </w:tc>
        <w:tc>
          <w:tcPr>
            <w:tcW w:type="dxa" w:w="2340"/>
          </w:tcPr>
          <w:p>
            <w:r>
              <w:t>0.0%</w:t>
            </w:r>
          </w:p>
        </w:tc>
      </w:tr>
      <w:tr>
        <w:tc>
          <w:tcPr>
            <w:tcW w:type="dxa" w:w="2340"/>
          </w:tcPr>
          <w:p>
            <w:r>
              <w:t>12</w:t>
            </w:r>
          </w:p>
        </w:tc>
        <w:tc>
          <w:tcPr>
            <w:tcW w:type="dxa" w:w="2340"/>
          </w:tcPr>
          <w:p>
            <w:r>
              <w:t>5</w:t>
            </w:r>
          </w:p>
        </w:tc>
        <w:tc>
          <w:tcPr>
            <w:tcW w:type="dxa" w:w="2340"/>
          </w:tcPr>
          <w:p>
            <w:r>
              <w:t>2</w:t>
            </w:r>
          </w:p>
        </w:tc>
        <w:tc>
          <w:tcPr>
            <w:tcW w:type="dxa" w:w="2340"/>
          </w:tcPr>
          <w:p>
            <w:r>
              <w:t>40.0%</w:t>
            </w:r>
          </w:p>
        </w:tc>
      </w:tr>
      <w:tr>
        <w:tc>
          <w:tcPr>
            <w:tcW w:type="dxa" w:w="2340"/>
          </w:tcPr>
          <w:p>
            <w:r>
              <w:t>13</w:t>
            </w:r>
          </w:p>
        </w:tc>
        <w:tc>
          <w:tcPr>
            <w:tcW w:type="dxa" w:w="2340"/>
          </w:tcPr>
          <w:p>
            <w:r>
              <w:t>22</w:t>
            </w:r>
          </w:p>
        </w:tc>
        <w:tc>
          <w:tcPr>
            <w:tcW w:type="dxa" w:w="2340"/>
          </w:tcPr>
          <w:p>
            <w:r>
              <w:t>0</w:t>
            </w:r>
          </w:p>
        </w:tc>
        <w:tc>
          <w:tcPr>
            <w:tcW w:type="dxa" w:w="2340"/>
          </w:tcPr>
          <w:p>
            <w:r>
              <w:t>0.0%</w:t>
            </w:r>
          </w:p>
        </w:tc>
      </w:tr>
    </w:tbl>
    <w:p>
      <w:r>
        <w:rPr>
          <w:rFonts w:ascii="Calibri" w:hAnsi="Calibri"/>
          <w:b w:val="0"/>
          <w:i w:val="0"/>
          <w:sz w:val="22"/>
        </w:rPr>
      </w:r>
    </w:p>
    <w:p>
      <w:r>
        <w:rPr>
          <w:rFonts w:ascii="Calibri" w:hAnsi="Calibri"/>
          <w:b w:val="0"/>
          <w:i w:val="0"/>
          <w:sz w:val="22"/>
        </w:rP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r>
        <w:rPr>
          <w:rFonts w:ascii="Calibri" w:hAnsi="Calibri"/>
          <w:b w:val="0"/>
          <w:i w:val="0"/>
          <w:sz w:val="22"/>
        </w:rP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pPr>
        <w:pStyle w:val="Heading1"/>
      </w:pPr>
      <w:r>
        <w:rPr>
          <w:b/>
          <w:color w:val="1F2D5C"/>
          <w:sz w:val="32"/>
        </w:rPr>
        <w:t>18. Synergy Pairing Analysis</w:t>
      </w:r>
    </w:p>
    <w:p>
      <w:r>
        <w:rPr>
          <w:rFonts w:ascii="Calibri" w:hAnsi="Calibri"/>
          <w:b w:val="0"/>
          <w:i w:val="0"/>
          <w:sz w:val="22"/>
        </w:rPr>
        <w:t>The individual change analysis reveals that many modifications degrade performance when applied in isolation. This section tests the hypothesis that certain changes only work in conjunction with others, by evaluating pairwise and small-group combinations.</w:t>
      </w:r>
    </w:p>
    <w:p>
      <w:pPr>
        <w:pStyle w:val="Heading2"/>
      </w:pPr>
      <w:r>
        <w:rPr>
          <w:b/>
          <w:color w:val="2E2E2E"/>
          <w:sz w:val="26"/>
        </w:rPr>
        <w:t>18.1 Synergy Pairing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tcPr>
          <w:p>
            <w:r>
              <w:rPr>
                <w:b/>
                <w:color w:val="FFFFFF"/>
              </w:rPr>
              <w:t>Synergy Combination</w:t>
            </w:r>
          </w:p>
        </w:tc>
        <w:tc>
          <w:tcPr>
            <w:tcW w:type="dxa" w:w="1872"/>
            <w:shd w:fill="1F3864"/>
          </w:tcPr>
          <w:p>
            <w:r>
              <w:rPr>
                <w:b/>
                <w:color w:val="FFFFFF"/>
              </w:rPr>
              <w:t>10-fold CV</w:t>
            </w:r>
          </w:p>
        </w:tc>
        <w:tc>
          <w:tcPr>
            <w:tcW w:type="dxa" w:w="1872"/>
            <w:shd w:fill="1F3864"/>
          </w:tcPr>
          <w:p>
            <w:r>
              <w:rPr>
                <w:b/>
                <w:color w:val="FFFFFF"/>
              </w:rPr>
              <w:t>90/10 Multi</w:t>
            </w:r>
          </w:p>
        </w:tc>
        <w:tc>
          <w:tcPr>
            <w:tcW w:type="dxa" w:w="1872"/>
            <w:shd w:fill="1F3864"/>
          </w:tcPr>
          <w:p>
            <w:r>
              <w:rPr>
                <w:b/>
                <w:color w:val="FFFFFF"/>
              </w:rPr>
              <w:t>90/10 Binary</w:t>
            </w:r>
          </w:p>
        </w:tc>
        <w:tc>
          <w:tcPr>
            <w:tcW w:type="dxa" w:w="1872"/>
            <w:shd w:fill="1F3864"/>
          </w:tcPr>
          <w:p>
            <w:r>
              <w:rPr>
                <w:b/>
                <w:color w:val="FFFFFF"/>
              </w:rPr>
              <w:t>60/40 Multi</w:t>
            </w:r>
          </w:p>
        </w:tc>
      </w:tr>
      <w:tr>
        <w:tc>
          <w:tcPr>
            <w:tcW w:type="dxa" w:w="1872"/>
          </w:tcPr>
          <w:p>
            <w:r>
              <w:t>Dual AF + Feature Selection</w:t>
            </w:r>
          </w:p>
        </w:tc>
        <w:tc>
          <w:tcPr>
            <w:tcW w:type="dxa" w:w="1872"/>
          </w:tcPr>
          <w:p>
            <w:r>
              <w:t>64.6%</w:t>
            </w:r>
          </w:p>
        </w:tc>
        <w:tc>
          <w:tcPr>
            <w:tcW w:type="dxa" w:w="1872"/>
          </w:tcPr>
          <w:p>
            <w:r>
              <w:t>65.2%</w:t>
            </w:r>
          </w:p>
        </w:tc>
        <w:tc>
          <w:tcPr>
            <w:tcW w:type="dxa" w:w="1872"/>
          </w:tcPr>
          <w:p>
            <w:r>
              <w:t>78.3%</w:t>
            </w:r>
          </w:p>
        </w:tc>
        <w:tc>
          <w:tcPr>
            <w:tcW w:type="dxa" w:w="1872"/>
          </w:tcPr>
          <w:p>
            <w:r>
              <w:t>66.3%</w:t>
            </w:r>
          </w:p>
        </w:tc>
      </w:tr>
      <w:tr>
        <w:tc>
          <w:tcPr>
            <w:tcW w:type="dxa" w:w="1872"/>
          </w:tcPr>
          <w:p>
            <w:r>
              <w:t>Dual AF + Fisher</w:t>
            </w:r>
          </w:p>
        </w:tc>
        <w:tc>
          <w:tcPr>
            <w:tcW w:type="dxa" w:w="1872"/>
          </w:tcPr>
          <w:p>
            <w:r>
              <w:t>67.0%</w:t>
            </w:r>
          </w:p>
        </w:tc>
        <w:tc>
          <w:tcPr>
            <w:tcW w:type="dxa" w:w="1872"/>
          </w:tcPr>
          <w:p>
            <w:r>
              <w:t>69.6%</w:t>
            </w:r>
          </w:p>
        </w:tc>
        <w:tc>
          <w:tcPr>
            <w:tcW w:type="dxa" w:w="1872"/>
          </w:tcPr>
          <w:p>
            <w:r>
              <w:t>82.6%</w:t>
            </w:r>
          </w:p>
        </w:tc>
        <w:tc>
          <w:tcPr>
            <w:tcW w:type="dxa" w:w="1872"/>
          </w:tcPr>
          <w:p>
            <w:r>
              <w:t>71.3%</w:t>
            </w:r>
          </w:p>
        </w:tc>
      </w:tr>
      <w:tr>
        <w:tc>
          <w:tcPr>
            <w:tcW w:type="dxa" w:w="1872"/>
          </w:tcPr>
          <w:p>
            <w:r>
              <w:t>Dual AF + Ratio Scoring</w:t>
            </w:r>
          </w:p>
        </w:tc>
        <w:tc>
          <w:tcPr>
            <w:tcW w:type="dxa" w:w="1872"/>
          </w:tcPr>
          <w:p>
            <w:r>
              <w:t>48.5%</w:t>
            </w:r>
          </w:p>
        </w:tc>
        <w:tc>
          <w:tcPr>
            <w:tcW w:type="dxa" w:w="1872"/>
          </w:tcPr>
          <w:p>
            <w:r>
              <w:t>56.5%</w:t>
            </w:r>
          </w:p>
        </w:tc>
        <w:tc>
          <w:tcPr>
            <w:tcW w:type="dxa" w:w="1872"/>
          </w:tcPr>
          <w:p>
            <w:r>
              <w:t>71.7%</w:t>
            </w:r>
          </w:p>
        </w:tc>
        <w:tc>
          <w:tcPr>
            <w:tcW w:type="dxa" w:w="1872"/>
          </w:tcPr>
          <w:p>
            <w:r>
              <w:t>51.9%</w:t>
            </w:r>
          </w:p>
        </w:tc>
      </w:tr>
      <w:tr>
        <w:tc>
          <w:tcPr>
            <w:tcW w:type="dxa" w:w="1872"/>
          </w:tcPr>
          <w:p>
            <w:r>
              <w:t>Feature Sel + Dual AF + Fisher</w:t>
            </w:r>
          </w:p>
        </w:tc>
        <w:tc>
          <w:tcPr>
            <w:tcW w:type="dxa" w:w="1872"/>
          </w:tcPr>
          <w:p>
            <w:r>
              <w:t>64.4%</w:t>
            </w:r>
          </w:p>
        </w:tc>
        <w:tc>
          <w:tcPr>
            <w:tcW w:type="dxa" w:w="1872"/>
          </w:tcPr>
          <w:p>
            <w:r>
              <w:t>67.4%</w:t>
            </w:r>
          </w:p>
        </w:tc>
        <w:tc>
          <w:tcPr>
            <w:tcW w:type="dxa" w:w="1872"/>
          </w:tcPr>
          <w:p>
            <w:r>
              <w:t>80.4%</w:t>
            </w:r>
          </w:p>
        </w:tc>
        <w:tc>
          <w:tcPr>
            <w:tcW w:type="dxa" w:w="1872"/>
          </w:tcPr>
          <w:p>
            <w:r>
              <w:t>66.9%</w:t>
            </w:r>
          </w:p>
        </w:tc>
      </w:tr>
      <w:tr>
        <w:tc>
          <w:tcPr>
            <w:tcW w:type="dxa" w:w="1872"/>
          </w:tcPr>
          <w:p>
            <w:r>
              <w:t>Class Removal + Rare Params</w:t>
            </w:r>
          </w:p>
        </w:tc>
        <w:tc>
          <w:tcPr>
            <w:tcW w:type="dxa" w:w="1872"/>
          </w:tcPr>
          <w:p>
            <w:r>
              <w:t>25.0%</w:t>
            </w:r>
          </w:p>
        </w:tc>
        <w:tc>
          <w:tcPr>
            <w:tcW w:type="dxa" w:w="1872"/>
          </w:tcPr>
          <w:p>
            <w:r>
              <w:t>42.9%</w:t>
            </w:r>
          </w:p>
        </w:tc>
        <w:tc>
          <w:tcPr>
            <w:tcW w:type="dxa" w:w="1872"/>
          </w:tcPr>
          <w:p>
            <w:r>
              <w:t>59.5%</w:t>
            </w:r>
          </w:p>
        </w:tc>
        <w:tc>
          <w:tcPr>
            <w:tcW w:type="dxa" w:w="1872"/>
          </w:tcPr>
          <w:p>
            <w:r>
              <w:t>32.9%</w:t>
            </w:r>
          </w:p>
        </w:tc>
      </w:tr>
      <w:tr>
        <w:tc>
          <w:tcPr>
            <w:tcW w:type="dxa" w:w="1872"/>
          </w:tcPr>
          <w:p>
            <w:r>
              <w:t>Dual AF + Ratio + Healthy Bar</w:t>
            </w:r>
          </w:p>
        </w:tc>
        <w:tc>
          <w:tcPr>
            <w:tcW w:type="dxa" w:w="1872"/>
          </w:tcPr>
          <w:p>
            <w:r>
              <w:t>68.4%</w:t>
            </w:r>
          </w:p>
        </w:tc>
        <w:tc>
          <w:tcPr>
            <w:tcW w:type="dxa" w:w="1872"/>
          </w:tcPr>
          <w:p>
            <w:r>
              <w:t>76.1%</w:t>
            </w:r>
          </w:p>
        </w:tc>
        <w:tc>
          <w:tcPr>
            <w:tcW w:type="dxa" w:w="1872"/>
          </w:tcPr>
          <w:p>
            <w:r>
              <w:t>84.8%</w:t>
            </w:r>
          </w:p>
        </w:tc>
        <w:tc>
          <w:tcPr>
            <w:tcW w:type="dxa" w:w="1872"/>
          </w:tcPr>
          <w:p>
            <w:r>
              <w:t>68.5%</w:t>
            </w:r>
          </w:p>
        </w:tc>
      </w:tr>
    </w:tbl>
    <w:p>
      <w:r>
        <w:rPr>
          <w:rFonts w:ascii="Calibri" w:hAnsi="Calibri"/>
          <w:b w:val="0"/>
          <w:i w:val="0"/>
          <w:sz w:val="22"/>
        </w:rPr>
      </w:r>
    </w:p>
    <w:p>
      <w:pPr>
        <w:pStyle w:val="Heading2"/>
      </w:pPr>
      <w:r>
        <w:rPr>
          <w:b/>
          <w:color w:val="2E2E2E"/>
          <w:sz w:val="26"/>
        </w:rPr>
        <w:t>18.2 Synergy Analysis</w:t>
      </w:r>
    </w:p>
    <w:p>
      <w:r>
        <w:rPr>
          <w:rFonts w:ascii="Calibri" w:hAnsi="Calibri"/>
          <w:b w:val="0"/>
          <w:i w:val="0"/>
          <w:sz w:val="22"/>
        </w:rP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r>
        <w:rPr>
          <w:rFonts w:ascii="Calibri" w:hAnsi="Calibri"/>
          <w:b w:val="0"/>
          <w:i w:val="0"/>
          <w:sz w:val="22"/>
        </w:rP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r>
        <w:rPr>
          <w:rFonts w:ascii="Calibri" w:hAnsi="Calibri"/>
          <w:b w:val="0"/>
          <w:i w:val="0"/>
          <w:sz w:val="22"/>
        </w:rP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pPr>
        <w:jc w:val="center"/>
      </w:pPr>
      <w:r>
        <w:drawing>
          <wp:inline xmlns:a="http://schemas.openxmlformats.org/drawingml/2006/main" xmlns:pic="http://schemas.openxmlformats.org/drawingml/2006/picture">
            <wp:extent cx="5486400" cy="3038622"/>
            <wp:docPr id="9" name="Picture 9"/>
            <wp:cNvGraphicFramePr>
              <a:graphicFrameLocks noChangeAspect="1"/>
            </wp:cNvGraphicFramePr>
            <a:graphic>
              <a:graphicData uri="http://schemas.openxmlformats.org/drawingml/2006/picture">
                <pic:pic>
                  <pic:nvPicPr>
                    <pic:cNvPr id="0" name="cds_chart_e3w80p21.png"/>
                    <pic:cNvPicPr/>
                  </pic:nvPicPr>
                  <pic:blipFill>
                    <a:blip r:embed="rId17"/>
                    <a:stretch>
                      <a:fillRect/>
                    </a:stretch>
                  </pic:blipFill>
                  <pic:spPr>
                    <a:xfrm>
                      <a:off x="0" y="0"/>
                      <a:ext cx="5486400" cy="3038622"/>
                    </a:xfrm>
                    <a:prstGeom prst="rect"/>
                  </pic:spPr>
                </pic:pic>
              </a:graphicData>
            </a:graphic>
          </wp:inline>
        </w:drawing>
      </w:r>
    </w:p>
    <w:p>
      <w:pPr>
        <w:pStyle w:val="Heading1"/>
      </w:pPr>
      <w:r>
        <w:rPr>
          <w:b/>
          <w:color w:val="1F2D5C"/>
          <w:sz w:val="32"/>
        </w:rPr>
        <w:t>19. Progressive Build-Up Analysis</w:t>
      </w:r>
    </w:p>
    <w:p>
      <w:r>
        <w:rPr>
          <w:rFonts w:ascii="Calibri" w:hAnsi="Calibri"/>
          <w:b w:val="0"/>
          <w:i w:val="0"/>
          <w:sz w:val="22"/>
        </w:rP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pPr>
        <w:pStyle w:val="Heading2"/>
      </w:pPr>
      <w:r>
        <w:rPr>
          <w:b/>
          <w:color w:val="2E2E2E"/>
          <w:sz w:val="26"/>
        </w:rPr>
        <w:t>19.1 Progressive Build-Up 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3864"/>
          </w:tcPr>
          <w:p>
            <w:r>
              <w:rPr>
                <w:b/>
                <w:color w:val="FFFFFF"/>
              </w:rPr>
              <w:t>Stage</w:t>
            </w:r>
          </w:p>
        </w:tc>
        <w:tc>
          <w:tcPr>
            <w:tcW w:type="dxa" w:w="1560"/>
            <w:shd w:fill="1F3864"/>
          </w:tcPr>
          <w:p>
            <w:r>
              <w:rPr>
                <w:b/>
                <w:color w:val="FFFFFF"/>
              </w:rPr>
              <w:t>10-fold CV</w:t>
            </w:r>
          </w:p>
        </w:tc>
        <w:tc>
          <w:tcPr>
            <w:tcW w:type="dxa" w:w="1560"/>
            <w:shd w:fill="1F3864"/>
          </w:tcPr>
          <w:p>
            <w:r>
              <w:rPr>
                <w:b/>
                <w:color w:val="FFFFFF"/>
              </w:rPr>
              <w:t>Delta</w:t>
            </w:r>
          </w:p>
        </w:tc>
        <w:tc>
          <w:tcPr>
            <w:tcW w:type="dxa" w:w="1560"/>
            <w:shd w:fill="1F3864"/>
          </w:tcPr>
          <w:p>
            <w:r>
              <w:rPr>
                <w:b/>
                <w:color w:val="FFFFFF"/>
              </w:rPr>
              <w:t>90/10 Multi</w:t>
            </w:r>
          </w:p>
        </w:tc>
        <w:tc>
          <w:tcPr>
            <w:tcW w:type="dxa" w:w="1560"/>
            <w:shd w:fill="1F3864"/>
          </w:tcPr>
          <w:p>
            <w:r>
              <w:rPr>
                <w:b/>
                <w:color w:val="FFFFFF"/>
              </w:rPr>
              <w:t>90/10 Binary</w:t>
            </w:r>
          </w:p>
        </w:tc>
        <w:tc>
          <w:tcPr>
            <w:tcW w:type="dxa" w:w="1560"/>
            <w:shd w:fill="1F3864"/>
          </w:tcPr>
          <w:p>
            <w:r>
              <w:rPr>
                <w:b/>
                <w:color w:val="FFFFFF"/>
              </w:rPr>
              <w:t>60/40 Multi</w:t>
            </w:r>
          </w:p>
        </w:tc>
      </w:tr>
      <w:tr>
        <w:tc>
          <w:tcPr>
            <w:tcW w:type="dxa" w:w="1560"/>
          </w:tcPr>
          <w:p>
            <w:r>
              <w:t>OVR Baseline</w:t>
            </w:r>
          </w:p>
        </w:tc>
        <w:tc>
          <w:tcPr>
            <w:tcW w:type="dxa" w:w="1560"/>
          </w:tcPr>
          <w:p>
            <w:r>
              <w:t>28.5%</w:t>
            </w:r>
          </w:p>
        </w:tc>
        <w:tc>
          <w:tcPr>
            <w:tcW w:type="dxa" w:w="1560"/>
          </w:tcPr>
          <w:p>
            <w:r>
              <w:t>—</w:t>
            </w:r>
          </w:p>
        </w:tc>
        <w:tc>
          <w:tcPr>
            <w:tcW w:type="dxa" w:w="1560"/>
          </w:tcPr>
          <w:p>
            <w:r>
              <w:t>41.3%</w:t>
            </w:r>
          </w:p>
        </w:tc>
        <w:tc>
          <w:tcPr>
            <w:tcW w:type="dxa" w:w="1560"/>
          </w:tcPr>
          <w:p>
            <w:r>
              <w:t>54.3%</w:t>
            </w:r>
          </w:p>
        </w:tc>
        <w:tc>
          <w:tcPr>
            <w:tcW w:type="dxa" w:w="1560"/>
          </w:tcPr>
          <w:p>
            <w:r>
              <w:t>33.7%</w:t>
            </w:r>
          </w:p>
        </w:tc>
      </w:tr>
      <w:tr>
        <w:tc>
          <w:tcPr>
            <w:tcW w:type="dxa" w:w="1560"/>
          </w:tcPr>
          <w:p>
            <w:r>
              <w:t>+ Dual AF</w:t>
            </w:r>
          </w:p>
        </w:tc>
        <w:tc>
          <w:tcPr>
            <w:tcW w:type="dxa" w:w="1560"/>
          </w:tcPr>
          <w:p>
            <w:r>
              <w:t>62.6%</w:t>
            </w:r>
          </w:p>
        </w:tc>
        <w:tc>
          <w:tcPr>
            <w:tcW w:type="dxa" w:w="1560"/>
          </w:tcPr>
          <w:p>
            <w:r>
              <w:t>+34.1%</w:t>
            </w:r>
          </w:p>
        </w:tc>
        <w:tc>
          <w:tcPr>
            <w:tcW w:type="dxa" w:w="1560"/>
          </w:tcPr>
          <w:p>
            <w:r>
              <w:t>69.6%</w:t>
            </w:r>
          </w:p>
        </w:tc>
        <w:tc>
          <w:tcPr>
            <w:tcW w:type="dxa" w:w="1560"/>
          </w:tcPr>
          <w:p>
            <w:r>
              <w:t>78.3%</w:t>
            </w:r>
          </w:p>
        </w:tc>
        <w:tc>
          <w:tcPr>
            <w:tcW w:type="dxa" w:w="1560"/>
          </w:tcPr>
          <w:p>
            <w:r>
              <w:t>69.6%</w:t>
            </w:r>
          </w:p>
        </w:tc>
      </w:tr>
      <w:tr>
        <w:tc>
          <w:tcPr>
            <w:tcW w:type="dxa" w:w="1560"/>
          </w:tcPr>
          <w:p>
            <w:r>
              <w:t>+ Fisher Weighting</w:t>
            </w:r>
          </w:p>
        </w:tc>
        <w:tc>
          <w:tcPr>
            <w:tcW w:type="dxa" w:w="1560"/>
          </w:tcPr>
          <w:p>
            <w:r>
              <w:t>67.0%</w:t>
            </w:r>
          </w:p>
        </w:tc>
        <w:tc>
          <w:tcPr>
            <w:tcW w:type="dxa" w:w="1560"/>
          </w:tcPr>
          <w:p>
            <w:r>
              <w:t>+4.4%</w:t>
            </w:r>
          </w:p>
        </w:tc>
        <w:tc>
          <w:tcPr>
            <w:tcW w:type="dxa" w:w="1560"/>
          </w:tcPr>
          <w:p>
            <w:r>
              <w:t>69.6%</w:t>
            </w:r>
          </w:p>
        </w:tc>
        <w:tc>
          <w:tcPr>
            <w:tcW w:type="dxa" w:w="1560"/>
          </w:tcPr>
          <w:p>
            <w:r>
              <w:t>82.6%</w:t>
            </w:r>
          </w:p>
        </w:tc>
        <w:tc>
          <w:tcPr>
            <w:tcW w:type="dxa" w:w="1560"/>
          </w:tcPr>
          <w:p>
            <w:r>
              <w:t>71.3%</w:t>
            </w:r>
          </w:p>
        </w:tc>
      </w:tr>
      <w:tr>
        <w:tc>
          <w:tcPr>
            <w:tcW w:type="dxa" w:w="1560"/>
          </w:tcPr>
          <w:p>
            <w:r>
              <w:t>+ Healthy Bar</w:t>
            </w:r>
          </w:p>
        </w:tc>
        <w:tc>
          <w:tcPr>
            <w:tcW w:type="dxa" w:w="1560"/>
          </w:tcPr>
          <w:p>
            <w:r>
              <w:t>54.2%</w:t>
            </w:r>
          </w:p>
        </w:tc>
        <w:tc>
          <w:tcPr>
            <w:tcW w:type="dxa" w:w="1560"/>
          </w:tcPr>
          <w:p>
            <w:r>
              <w:t>-12.8%</w:t>
            </w:r>
          </w:p>
        </w:tc>
        <w:tc>
          <w:tcPr>
            <w:tcW w:type="dxa" w:w="1560"/>
          </w:tcPr>
          <w:p>
            <w:r>
              <w:t>76.1%</w:t>
            </w:r>
          </w:p>
        </w:tc>
        <w:tc>
          <w:tcPr>
            <w:tcW w:type="dxa" w:w="1560"/>
          </w:tcPr>
          <w:p>
            <w:r>
              <w:t>76.1%</w:t>
            </w:r>
          </w:p>
        </w:tc>
        <w:tc>
          <w:tcPr>
            <w:tcW w:type="dxa" w:w="1560"/>
          </w:tcPr>
          <w:p>
            <w:r>
              <w:t>60.2%</w:t>
            </w:r>
          </w:p>
        </w:tc>
      </w:tr>
      <w:tr>
        <w:tc>
          <w:tcPr>
            <w:tcW w:type="dxa" w:w="1560"/>
          </w:tcPr>
          <w:p>
            <w:r>
              <w:t>+ Ratio Scoring</w:t>
            </w:r>
          </w:p>
        </w:tc>
        <w:tc>
          <w:tcPr>
            <w:tcW w:type="dxa" w:w="1560"/>
          </w:tcPr>
          <w:p>
            <w:r>
              <w:t>73.9%</w:t>
            </w:r>
          </w:p>
        </w:tc>
        <w:tc>
          <w:tcPr>
            <w:tcW w:type="dxa" w:w="1560"/>
          </w:tcPr>
          <w:p>
            <w:r>
              <w:t>+19.7%</w:t>
            </w:r>
          </w:p>
        </w:tc>
        <w:tc>
          <w:tcPr>
            <w:tcW w:type="dxa" w:w="1560"/>
          </w:tcPr>
          <w:p>
            <w:r>
              <w:t>78.3%</w:t>
            </w:r>
          </w:p>
        </w:tc>
        <w:tc>
          <w:tcPr>
            <w:tcW w:type="dxa" w:w="1560"/>
          </w:tcPr>
          <w:p>
            <w:r>
              <w:t>87.0%</w:t>
            </w:r>
          </w:p>
        </w:tc>
        <w:tc>
          <w:tcPr>
            <w:tcW w:type="dxa" w:w="1560"/>
          </w:tcPr>
          <w:p>
            <w:r>
              <w:t>77.9%</w:t>
            </w:r>
          </w:p>
        </w:tc>
      </w:tr>
      <w:tr>
        <w:tc>
          <w:tcPr>
            <w:tcW w:type="dxa" w:w="1560"/>
          </w:tcPr>
          <w:p>
            <w:r>
              <w:t>+ Feature Selection</w:t>
            </w:r>
          </w:p>
        </w:tc>
        <w:tc>
          <w:tcPr>
            <w:tcW w:type="dxa" w:w="1560"/>
          </w:tcPr>
          <w:p>
            <w:r>
              <w:t>74.8%</w:t>
            </w:r>
          </w:p>
        </w:tc>
        <w:tc>
          <w:tcPr>
            <w:tcW w:type="dxa" w:w="1560"/>
          </w:tcPr>
          <w:p>
            <w:r>
              <w:t>+0.9%</w:t>
            </w:r>
          </w:p>
        </w:tc>
        <w:tc>
          <w:tcPr>
            <w:tcW w:type="dxa" w:w="1560"/>
          </w:tcPr>
          <w:p>
            <w:r>
              <w:t>78.3%</w:t>
            </w:r>
          </w:p>
        </w:tc>
        <w:tc>
          <w:tcPr>
            <w:tcW w:type="dxa" w:w="1560"/>
          </w:tcPr>
          <w:p>
            <w:r>
              <w:t>89.1%</w:t>
            </w:r>
          </w:p>
        </w:tc>
        <w:tc>
          <w:tcPr>
            <w:tcW w:type="dxa" w:w="1560"/>
          </w:tcPr>
          <w:p>
            <w:r>
              <w:t>78.5%</w:t>
            </w:r>
          </w:p>
        </w:tc>
      </w:tr>
      <w:tr>
        <w:tc>
          <w:tcPr>
            <w:tcW w:type="dxa" w:w="1560"/>
          </w:tcPr>
          <w:p>
            <w:r>
              <w:t>+ Class Removal</w:t>
            </w:r>
          </w:p>
        </w:tc>
        <w:tc>
          <w:tcPr>
            <w:tcW w:type="dxa" w:w="1560"/>
          </w:tcPr>
          <w:p>
            <w:r>
              <w:t>80.5%</w:t>
            </w:r>
          </w:p>
        </w:tc>
        <w:tc>
          <w:tcPr>
            <w:tcW w:type="dxa" w:w="1560"/>
          </w:tcPr>
          <w:p>
            <w:r>
              <w:t>+5.7%</w:t>
            </w:r>
          </w:p>
        </w:tc>
        <w:tc>
          <w:tcPr>
            <w:tcW w:type="dxa" w:w="1560"/>
          </w:tcPr>
          <w:p>
            <w:r>
              <w:t>83.3%</w:t>
            </w:r>
          </w:p>
        </w:tc>
        <w:tc>
          <w:tcPr>
            <w:tcW w:type="dxa" w:w="1560"/>
          </w:tcPr>
          <w:p>
            <w:r>
              <w:t>90.5%</w:t>
            </w:r>
          </w:p>
        </w:tc>
        <w:tc>
          <w:tcPr>
            <w:tcW w:type="dxa" w:w="1560"/>
          </w:tcPr>
          <w:p>
            <w:r>
              <w:t>81.4%</w:t>
            </w:r>
          </w:p>
        </w:tc>
      </w:tr>
      <w:tr>
        <w:tc>
          <w:tcPr>
            <w:tcW w:type="dxa" w:w="1560"/>
          </w:tcPr>
          <w:p>
            <w:r>
              <w:t>+ Rare Class Params</w:t>
            </w:r>
          </w:p>
        </w:tc>
        <w:tc>
          <w:tcPr>
            <w:tcW w:type="dxa" w:w="1560"/>
          </w:tcPr>
          <w:p>
            <w:r>
              <w:t>79.1%</w:t>
            </w:r>
          </w:p>
        </w:tc>
        <w:tc>
          <w:tcPr>
            <w:tcW w:type="dxa" w:w="1560"/>
          </w:tcPr>
          <w:p>
            <w:r>
              <w:t>-1.4%</w:t>
            </w:r>
          </w:p>
        </w:tc>
        <w:tc>
          <w:tcPr>
            <w:tcW w:type="dxa" w:w="1560"/>
          </w:tcPr>
          <w:p>
            <w:r>
              <w:t>83.3%</w:t>
            </w:r>
          </w:p>
        </w:tc>
        <w:tc>
          <w:tcPr>
            <w:tcW w:type="dxa" w:w="1560"/>
          </w:tcPr>
          <w:p>
            <w:r>
              <w:t>92.9%</w:t>
            </w:r>
          </w:p>
        </w:tc>
        <w:tc>
          <w:tcPr>
            <w:tcW w:type="dxa" w:w="1560"/>
          </w:tcPr>
          <w:p>
            <w:r>
              <w:t>80.8%</w:t>
            </w:r>
          </w:p>
        </w:tc>
      </w:tr>
      <w:tr>
        <w:tc>
          <w:tcPr>
            <w:tcW w:type="dxa" w:w="1560"/>
          </w:tcPr>
          <w:p>
            <w:r>
              <w:t>+ Class Thresholds</w:t>
            </w:r>
          </w:p>
        </w:tc>
        <w:tc>
          <w:tcPr>
            <w:tcW w:type="dxa" w:w="1560"/>
          </w:tcPr>
          <w:p>
            <w:r>
              <w:t>82.0%</w:t>
            </w:r>
          </w:p>
        </w:tc>
        <w:tc>
          <w:tcPr>
            <w:tcW w:type="dxa" w:w="1560"/>
          </w:tcPr>
          <w:p>
            <w:r>
              <w:t>+2.9%</w:t>
            </w:r>
          </w:p>
        </w:tc>
        <w:tc>
          <w:tcPr>
            <w:tcW w:type="dxa" w:w="1560"/>
          </w:tcPr>
          <w:p>
            <w:r>
              <w:t>85.7%</w:t>
            </w:r>
          </w:p>
        </w:tc>
        <w:tc>
          <w:tcPr>
            <w:tcW w:type="dxa" w:w="1560"/>
          </w:tcPr>
          <w:p>
            <w:r>
              <w:t>95.2%</w:t>
            </w:r>
          </w:p>
        </w:tc>
        <w:tc>
          <w:tcPr>
            <w:tcW w:type="dxa" w:w="1560"/>
          </w:tcPr>
          <w:p>
            <w:r>
              <w:t>81.4%</w:t>
            </w:r>
          </w:p>
        </w:tc>
      </w:tr>
      <w:tr>
        <w:tc>
          <w:tcPr>
            <w:tcW w:type="dxa" w:w="1560"/>
          </w:tcPr>
          <w:p>
            <w:r>
              <w:t>+ Supervised Binning</w:t>
            </w:r>
          </w:p>
        </w:tc>
        <w:tc>
          <w:tcPr>
            <w:tcW w:type="dxa" w:w="1560"/>
          </w:tcPr>
          <w:p>
            <w:r>
              <w:t>86.1%</w:t>
            </w:r>
          </w:p>
        </w:tc>
        <w:tc>
          <w:tcPr>
            <w:tcW w:type="dxa" w:w="1560"/>
          </w:tcPr>
          <w:p>
            <w:r>
              <w:t>+4.1%</w:t>
            </w:r>
          </w:p>
        </w:tc>
        <w:tc>
          <w:tcPr>
            <w:tcW w:type="dxa" w:w="1560"/>
          </w:tcPr>
          <w:p>
            <w:r>
              <w:t>92.9%</w:t>
            </w:r>
          </w:p>
        </w:tc>
        <w:tc>
          <w:tcPr>
            <w:tcW w:type="dxa" w:w="1560"/>
          </w:tcPr>
          <w:p>
            <w:r>
              <w:t>95.2%</w:t>
            </w:r>
          </w:p>
        </w:tc>
        <w:tc>
          <w:tcPr>
            <w:tcW w:type="dxa" w:w="1560"/>
          </w:tcPr>
          <w:p>
            <w:r>
              <w:t>85.6%</w:t>
            </w:r>
          </w:p>
        </w:tc>
      </w:tr>
      <w:tr>
        <w:tc>
          <w:tcPr>
            <w:tcW w:type="dxa" w:w="1560"/>
          </w:tcPr>
          <w:p>
            <w:r>
              <w:t>+ Laplace (Final)</w:t>
            </w:r>
          </w:p>
        </w:tc>
        <w:tc>
          <w:tcPr>
            <w:tcW w:type="dxa" w:w="1560"/>
          </w:tcPr>
          <w:p>
            <w:r>
              <w:t>86.8%</w:t>
            </w:r>
          </w:p>
        </w:tc>
        <w:tc>
          <w:tcPr>
            <w:tcW w:type="dxa" w:w="1560"/>
          </w:tcPr>
          <w:p>
            <w:r>
              <w:t>+0.7%</w:t>
            </w:r>
          </w:p>
        </w:tc>
        <w:tc>
          <w:tcPr>
            <w:tcW w:type="dxa" w:w="1560"/>
          </w:tcPr>
          <w:p>
            <w:r>
              <w:t>92.9%</w:t>
            </w:r>
          </w:p>
        </w:tc>
        <w:tc>
          <w:tcPr>
            <w:tcW w:type="dxa" w:w="1560"/>
          </w:tcPr>
          <w:p>
            <w:r>
              <w:t>97.6%</w:t>
            </w:r>
          </w:p>
        </w:tc>
        <w:tc>
          <w:tcPr>
            <w:tcW w:type="dxa" w:w="1560"/>
          </w:tcPr>
          <w:p>
            <w:r>
              <w:t>86.2%</w:t>
            </w:r>
          </w:p>
        </w:tc>
      </w:tr>
    </w:tbl>
    <w:p>
      <w:pPr>
        <w:jc w:val="center"/>
      </w:pPr>
      <w:r>
        <w:drawing>
          <wp:inline xmlns:a="http://schemas.openxmlformats.org/drawingml/2006/main" xmlns:pic="http://schemas.openxmlformats.org/drawingml/2006/picture">
            <wp:extent cx="5486400" cy="3545058"/>
            <wp:docPr id="10" name="Picture 10"/>
            <wp:cNvGraphicFramePr>
              <a:graphicFrameLocks noChangeAspect="1"/>
            </wp:cNvGraphicFramePr>
            <a:graphic>
              <a:graphicData uri="http://schemas.openxmlformats.org/drawingml/2006/picture">
                <pic:pic>
                  <pic:nvPicPr>
                    <pic:cNvPr id="0" name="cds_chart_ohu8tzkf.png"/>
                    <pic:cNvPicPr/>
                  </pic:nvPicPr>
                  <pic:blipFill>
                    <a:blip r:embed="rId18"/>
                    <a:stretch>
                      <a:fillRect/>
                    </a:stretch>
                  </pic:blipFill>
                  <pic:spPr>
                    <a:xfrm>
                      <a:off x="0" y="0"/>
                      <a:ext cx="5486400" cy="3545058"/>
                    </a:xfrm>
                    <a:prstGeom prst="rect"/>
                  </pic:spPr>
                </pic:pic>
              </a:graphicData>
            </a:graphic>
          </wp:inline>
        </w:drawing>
      </w:r>
    </w:p>
    <w:p>
      <w:r>
        <w:rPr>
          <w:rFonts w:ascii="Calibri" w:hAnsi="Calibri"/>
          <w:b w:val="0"/>
          <w:i w:val="0"/>
          <w:sz w:val="22"/>
        </w:rPr>
      </w:r>
    </w:p>
    <w:p>
      <w:pPr>
        <w:pStyle w:val="Heading2"/>
      </w:pPr>
      <w:r>
        <w:rPr>
          <w:b/>
          <w:color w:val="2E2E2E"/>
          <w:sz w:val="26"/>
        </w:rPr>
        <w:t>19.2 Key Findings from Progressive Build-Up</w:t>
      </w:r>
    </w:p>
    <w:p>
      <w:r>
        <w:rPr>
          <w:rFonts w:ascii="Calibri" w:hAnsi="Calibri"/>
          <w:b w:val="0"/>
          <w:i w:val="0"/>
          <w:sz w:val="22"/>
        </w:rPr>
        <w:t>Dual AF is the single most important change, adding +34.1 percentage points to the OVR baseline. Without dual AF's ability to track evidence both for and against each class, the binary OVR models lack the discriminative foundation needed by all subsequent improvements.</w:t>
      </w:r>
    </w:p>
    <w:p>
      <w:r>
        <w:rPr>
          <w:rFonts w:ascii="Calibri" w:hAnsi="Calibri"/>
          <w:b w:val="0"/>
          <w:i w:val="0"/>
          <w:sz w:val="22"/>
        </w:rP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r>
        <w:rPr>
          <w:rFonts w:ascii="Calibri" w:hAnsi="Calibri"/>
          <w:b w:val="0"/>
          <w:i w:val="0"/>
          <w:sz w:val="22"/>
        </w:rP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r>
        <w:rPr>
          <w:rFonts w:ascii="Calibri" w:hAnsi="Calibri"/>
          <w:b w:val="0"/>
          <w:i w:val="0"/>
          <w:sz w:val="22"/>
        </w:rP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r>
        <w:rPr>
          <w:rFonts w:ascii="Calibri" w:hAnsi="Calibri"/>
          <w:b w:val="0"/>
          <w:i w:val="0"/>
          <w:sz w:val="22"/>
        </w:rPr>
        <w:t>Laplace smoothing adds a final +0.7 points, preventing zero-count bins created by supervised binning from blocking evidence accumulation. This change is only meaningful in the presence of supervised binning — without it, Sturges' uniform bins rarely produce empty bins.</w:t>
      </w:r>
    </w:p>
    <w:p>
      <w:pPr>
        <w:pStyle w:val="Heading2"/>
      </w:pPr>
      <w:r>
        <w:rPr>
          <w:b/>
          <w:color w:val="2E2E2E"/>
          <w:sz w:val="26"/>
        </w:rPr>
        <w:t>19.3 Dependency Structure</w:t>
      </w:r>
    </w:p>
    <w:p>
      <w:r>
        <w:rPr>
          <w:rFonts w:ascii="Calibri" w:hAnsi="Calibri"/>
          <w:b w:val="0"/>
          <w:i w:val="0"/>
          <w:sz w:val="22"/>
        </w:rPr>
        <w:t>The progressive analysis reveals a clear dependency structure:</w:t>
      </w:r>
    </w:p>
    <w:p>
      <w:pPr>
        <w:pStyle w:val="ListBullet"/>
      </w:pPr>
      <w:r>
        <w:rPr>
          <w:rFonts w:ascii="Calibri" w:hAnsi="Calibri"/>
          <w:sz w:val="22"/>
        </w:rPr>
        <w:t>Foundation: Dual AF (must come first — enables everything else)</w:t>
      </w:r>
    </w:p>
    <w:p>
      <w:pPr>
        <w:pStyle w:val="ListBullet"/>
      </w:pPr>
      <w:r>
        <w:rPr>
          <w:rFonts w:ascii="Calibri" w:hAnsi="Calibri"/>
          <w:sz w:val="22"/>
        </w:rPr>
        <w:t>Evidence quality: Fisher weighting (amplifies dual AF's signal)</w:t>
      </w:r>
    </w:p>
    <w:p>
      <w:pPr>
        <w:pStyle w:val="ListBullet"/>
      </w:pPr>
      <w:r>
        <w:rPr>
          <w:rFonts w:ascii="Calibri" w:hAnsi="Calibri"/>
          <w:sz w:val="22"/>
        </w:rPr>
        <w:t>Decision system: Ratio scoring + Healthy bar (must be added together)</w:t>
      </w:r>
    </w:p>
    <w:p>
      <w:pPr>
        <w:pStyle w:val="ListBullet"/>
      </w:pPr>
      <w:r>
        <w:rPr>
          <w:rFonts w:ascii="Calibri" w:hAnsi="Calibri"/>
          <w:sz w:val="22"/>
        </w:rPr>
        <w:t>Data cleanup: Feature selection + Class removal (effective only with strong evidence)</w:t>
      </w:r>
    </w:p>
    <w:p>
      <w:pPr>
        <w:pStyle w:val="ListBullet"/>
      </w:pPr>
      <w:r>
        <w:rPr>
          <w:rFonts w:ascii="Calibri" w:hAnsi="Calibri"/>
          <w:sz w:val="22"/>
        </w:rPr>
        <w:t>Fine-tuning: Class thresholds + Rare class params + Supervised binning + Laplace</w:t>
      </w:r>
    </w:p>
    <w:p>
      <w:r>
        <w:rPr>
          <w:rFonts w:ascii="Calibri" w:hAnsi="Calibri"/>
          <w:b w:val="0"/>
          <w:i w:val="0"/>
          <w:sz w:val="22"/>
        </w:rP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pPr>
        <w:pStyle w:val="Heading1"/>
      </w:pPr>
      <w:r>
        <w:rPr>
          <w:b/>
          <w:color w:val="1F2D5C"/>
          <w:sz w:val="32"/>
        </w:rPr>
        <w:t>20. Correlation Threshold Optimization</w:t>
      </w:r>
    </w:p>
    <w:p>
      <w:r>
        <w:rPr>
          <w:rFonts w:ascii="Calibri" w:hAnsi="Calibri"/>
          <w:b w:val="0"/>
          <w:i w:val="0"/>
          <w:sz w:val="22"/>
        </w:rP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pPr>
        <w:pStyle w:val="Heading2"/>
      </w:pPr>
      <w:r>
        <w:rPr>
          <w:b/>
          <w:color w:val="2E2E2E"/>
          <w:sz w:val="26"/>
        </w:rPr>
        <w:t>20.1 Full-System Correlation Sweep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tcPr>
          <w:p>
            <w:r>
              <w:rPr>
                <w:b/>
                <w:color w:val="FFFFFF"/>
              </w:rPr>
              <w:t>Threshold (r)</w:t>
            </w:r>
          </w:p>
        </w:tc>
        <w:tc>
          <w:tcPr>
            <w:tcW w:type="dxa" w:w="1872"/>
            <w:shd w:fill="1F3864"/>
          </w:tcPr>
          <w:p>
            <w:r>
              <w:rPr>
                <w:b/>
                <w:color w:val="FFFFFF"/>
              </w:rPr>
              <w:t>10-fold CV</w:t>
            </w:r>
          </w:p>
        </w:tc>
        <w:tc>
          <w:tcPr>
            <w:tcW w:type="dxa" w:w="1872"/>
            <w:shd w:fill="1F3864"/>
          </w:tcPr>
          <w:p>
            <w:r>
              <w:rPr>
                <w:b/>
                <w:color w:val="FFFFFF"/>
              </w:rPr>
              <w:t>90/10 Multi</w:t>
            </w:r>
          </w:p>
        </w:tc>
        <w:tc>
          <w:tcPr>
            <w:tcW w:type="dxa" w:w="1872"/>
            <w:shd w:fill="1F3864"/>
          </w:tcPr>
          <w:p>
            <w:r>
              <w:rPr>
                <w:b/>
                <w:color w:val="FFFFFF"/>
              </w:rPr>
              <w:t>90/10 Binary</w:t>
            </w:r>
          </w:p>
        </w:tc>
        <w:tc>
          <w:tcPr>
            <w:tcW w:type="dxa" w:w="1872"/>
            <w:shd w:fill="1F3864"/>
          </w:tcPr>
          <w:p>
            <w:r>
              <w:rPr>
                <w:b/>
                <w:color w:val="FFFFFF"/>
              </w:rPr>
              <w:t>60/40 Multi</w:t>
            </w:r>
          </w:p>
        </w:tc>
      </w:tr>
      <w:tr>
        <w:tc>
          <w:tcPr>
            <w:tcW w:type="dxa" w:w="1872"/>
          </w:tcPr>
          <w:p>
            <w:r>
              <w:t>0.65</w:t>
            </w:r>
          </w:p>
        </w:tc>
        <w:tc>
          <w:tcPr>
            <w:tcW w:type="dxa" w:w="1872"/>
          </w:tcPr>
          <w:p>
            <w:r>
              <w:t>85.3%</w:t>
            </w:r>
          </w:p>
        </w:tc>
        <w:tc>
          <w:tcPr>
            <w:tcW w:type="dxa" w:w="1872"/>
          </w:tcPr>
          <w:p>
            <w:r>
              <w:t>92.9%</w:t>
            </w:r>
          </w:p>
        </w:tc>
        <w:tc>
          <w:tcPr>
            <w:tcW w:type="dxa" w:w="1872"/>
          </w:tcPr>
          <w:p>
            <w:r>
              <w:t>97.6%</w:t>
            </w:r>
          </w:p>
        </w:tc>
        <w:tc>
          <w:tcPr>
            <w:tcW w:type="dxa" w:w="1872"/>
          </w:tcPr>
          <w:p>
            <w:r>
              <w:t>84.4%</w:t>
            </w:r>
          </w:p>
        </w:tc>
      </w:tr>
      <w:tr>
        <w:tc>
          <w:tcPr>
            <w:tcW w:type="dxa" w:w="1872"/>
          </w:tcPr>
          <w:p>
            <w:r>
              <w:t>0.70</w:t>
            </w:r>
          </w:p>
        </w:tc>
        <w:tc>
          <w:tcPr>
            <w:tcW w:type="dxa" w:w="1872"/>
          </w:tcPr>
          <w:p>
            <w:r>
              <w:t>85.6%</w:t>
            </w:r>
          </w:p>
        </w:tc>
        <w:tc>
          <w:tcPr>
            <w:tcW w:type="dxa" w:w="1872"/>
          </w:tcPr>
          <w:p>
            <w:r>
              <w:t>90.5%</w:t>
            </w:r>
          </w:p>
        </w:tc>
        <w:tc>
          <w:tcPr>
            <w:tcW w:type="dxa" w:w="1872"/>
          </w:tcPr>
          <w:p>
            <w:r>
              <w:t>95.2%</w:t>
            </w:r>
          </w:p>
        </w:tc>
        <w:tc>
          <w:tcPr>
            <w:tcW w:type="dxa" w:w="1872"/>
          </w:tcPr>
          <w:p>
            <w:r>
              <w:t>83.2%</w:t>
            </w:r>
          </w:p>
        </w:tc>
      </w:tr>
      <w:tr>
        <w:tc>
          <w:tcPr>
            <w:tcW w:type="dxa" w:w="1872"/>
          </w:tcPr>
          <w:p>
            <w:r>
              <w:t>0.75</w:t>
            </w:r>
          </w:p>
        </w:tc>
        <w:tc>
          <w:tcPr>
            <w:tcW w:type="dxa" w:w="1872"/>
          </w:tcPr>
          <w:p>
            <w:r>
              <w:t>84.9%</w:t>
            </w:r>
          </w:p>
        </w:tc>
        <w:tc>
          <w:tcPr>
            <w:tcW w:type="dxa" w:w="1872"/>
          </w:tcPr>
          <w:p>
            <w:r>
              <w:t>92.9%</w:t>
            </w:r>
          </w:p>
        </w:tc>
        <w:tc>
          <w:tcPr>
            <w:tcW w:type="dxa" w:w="1872"/>
          </w:tcPr>
          <w:p>
            <w:r>
              <w:t>97.6%</w:t>
            </w:r>
          </w:p>
        </w:tc>
        <w:tc>
          <w:tcPr>
            <w:tcW w:type="dxa" w:w="1872"/>
          </w:tcPr>
          <w:p>
            <w:r>
              <w:t>83.8%</w:t>
            </w:r>
          </w:p>
        </w:tc>
      </w:tr>
      <w:tr>
        <w:tc>
          <w:tcPr>
            <w:tcW w:type="dxa" w:w="1872"/>
          </w:tcPr>
          <w:p>
            <w:r>
              <w:t>0.80</w:t>
            </w:r>
          </w:p>
        </w:tc>
        <w:tc>
          <w:tcPr>
            <w:tcW w:type="dxa" w:w="1872"/>
          </w:tcPr>
          <w:p>
            <w:r>
              <w:t>86.8%</w:t>
            </w:r>
          </w:p>
        </w:tc>
        <w:tc>
          <w:tcPr>
            <w:tcW w:type="dxa" w:w="1872"/>
          </w:tcPr>
          <w:p>
            <w:r>
              <w:t>92.9%</w:t>
            </w:r>
          </w:p>
        </w:tc>
        <w:tc>
          <w:tcPr>
            <w:tcW w:type="dxa" w:w="1872"/>
          </w:tcPr>
          <w:p>
            <w:r>
              <w:t>97.6%</w:t>
            </w:r>
          </w:p>
        </w:tc>
        <w:tc>
          <w:tcPr>
            <w:tcW w:type="dxa" w:w="1872"/>
          </w:tcPr>
          <w:p>
            <w:r>
              <w:t>86.2%</w:t>
            </w:r>
          </w:p>
        </w:tc>
      </w:tr>
      <w:tr>
        <w:tc>
          <w:tcPr>
            <w:tcW w:type="dxa" w:w="1872"/>
          </w:tcPr>
          <w:p>
            <w:r>
              <w:t>0.85</w:t>
            </w:r>
          </w:p>
        </w:tc>
        <w:tc>
          <w:tcPr>
            <w:tcW w:type="dxa" w:w="1872"/>
          </w:tcPr>
          <w:p>
            <w:r>
              <w:t>85.6%</w:t>
            </w:r>
          </w:p>
        </w:tc>
        <w:tc>
          <w:tcPr>
            <w:tcW w:type="dxa" w:w="1872"/>
          </w:tcPr>
          <w:p>
            <w:r>
              <w:t>90.5%</w:t>
            </w:r>
          </w:p>
        </w:tc>
        <w:tc>
          <w:tcPr>
            <w:tcW w:type="dxa" w:w="1872"/>
          </w:tcPr>
          <w:p>
            <w:r>
              <w:t>95.2%</w:t>
            </w:r>
          </w:p>
        </w:tc>
        <w:tc>
          <w:tcPr>
            <w:tcW w:type="dxa" w:w="1872"/>
          </w:tcPr>
          <w:p>
            <w:r>
              <w:t>86.8%</w:t>
            </w:r>
          </w:p>
        </w:tc>
      </w:tr>
      <w:tr>
        <w:tc>
          <w:tcPr>
            <w:tcW w:type="dxa" w:w="1872"/>
          </w:tcPr>
          <w:p>
            <w:r>
              <w:t>0.90</w:t>
            </w:r>
          </w:p>
        </w:tc>
        <w:tc>
          <w:tcPr>
            <w:tcW w:type="dxa" w:w="1872"/>
          </w:tcPr>
          <w:p>
            <w:r>
              <w:t>85.8%</w:t>
            </w:r>
          </w:p>
        </w:tc>
        <w:tc>
          <w:tcPr>
            <w:tcW w:type="dxa" w:w="1872"/>
          </w:tcPr>
          <w:p>
            <w:r>
              <w:t>92.9%</w:t>
            </w:r>
          </w:p>
        </w:tc>
        <w:tc>
          <w:tcPr>
            <w:tcW w:type="dxa" w:w="1872"/>
          </w:tcPr>
          <w:p>
            <w:r>
              <w:t>92.9%</w:t>
            </w:r>
          </w:p>
        </w:tc>
        <w:tc>
          <w:tcPr>
            <w:tcW w:type="dxa" w:w="1872"/>
          </w:tcPr>
          <w:p>
            <w:r>
              <w:t>85.6%</w:t>
            </w:r>
          </w:p>
        </w:tc>
      </w:tr>
      <w:tr>
        <w:tc>
          <w:tcPr>
            <w:tcW w:type="dxa" w:w="1872"/>
          </w:tcPr>
          <w:p>
            <w:r>
              <w:t>0.95</w:t>
            </w:r>
          </w:p>
        </w:tc>
        <w:tc>
          <w:tcPr>
            <w:tcW w:type="dxa" w:w="1872"/>
          </w:tcPr>
          <w:p>
            <w:r>
              <w:t>85.3%</w:t>
            </w:r>
          </w:p>
        </w:tc>
        <w:tc>
          <w:tcPr>
            <w:tcW w:type="dxa" w:w="1872"/>
          </w:tcPr>
          <w:p>
            <w:r>
              <w:t>92.9%</w:t>
            </w:r>
          </w:p>
        </w:tc>
        <w:tc>
          <w:tcPr>
            <w:tcW w:type="dxa" w:w="1872"/>
          </w:tcPr>
          <w:p>
            <w:r>
              <w:t>92.9%</w:t>
            </w:r>
          </w:p>
        </w:tc>
        <w:tc>
          <w:tcPr>
            <w:tcW w:type="dxa" w:w="1872"/>
          </w:tcPr>
          <w:p>
            <w:r>
              <w:t>85.0%</w:t>
            </w:r>
          </w:p>
        </w:tc>
      </w:tr>
    </w:tbl>
    <w:p>
      <w:pPr>
        <w:jc w:val="center"/>
      </w:pPr>
      <w:r>
        <w:drawing>
          <wp:inline xmlns:a="http://schemas.openxmlformats.org/drawingml/2006/main" xmlns:pic="http://schemas.openxmlformats.org/drawingml/2006/picture">
            <wp:extent cx="5029200" cy="2475914"/>
            <wp:docPr id="11" name="Picture 11"/>
            <wp:cNvGraphicFramePr>
              <a:graphicFrameLocks noChangeAspect="1"/>
            </wp:cNvGraphicFramePr>
            <a:graphic>
              <a:graphicData uri="http://schemas.openxmlformats.org/drawingml/2006/picture">
                <pic:pic>
                  <pic:nvPicPr>
                    <pic:cNvPr id="0" name="cds_chart_g6s50ite.png"/>
                    <pic:cNvPicPr/>
                  </pic:nvPicPr>
                  <pic:blipFill>
                    <a:blip r:embed="rId19"/>
                    <a:stretch>
                      <a:fillRect/>
                    </a:stretch>
                  </pic:blipFill>
                  <pic:spPr>
                    <a:xfrm>
                      <a:off x="0" y="0"/>
                      <a:ext cx="5029200" cy="2475914"/>
                    </a:xfrm>
                    <a:prstGeom prst="rect"/>
                  </pic:spPr>
                </pic:pic>
              </a:graphicData>
            </a:graphic>
          </wp:inline>
        </w:drawing>
      </w:r>
    </w:p>
    <w:p>
      <w:r>
        <w:rPr>
          <w:rFonts w:ascii="Calibri" w:hAnsi="Calibri"/>
          <w:b w:val="0"/>
          <w:i w:val="0"/>
          <w:sz w:val="22"/>
        </w:rPr>
      </w:r>
    </w:p>
    <w:p>
      <w:pPr>
        <w:pStyle w:val="Heading2"/>
      </w:pPr>
      <w:r>
        <w:rPr>
          <w:b/>
          <w:color w:val="2E2E2E"/>
          <w:sz w:val="26"/>
        </w:rPr>
        <w:t>20.2 Analysis</w:t>
      </w:r>
    </w:p>
    <w:p>
      <w:r>
        <w:rPr>
          <w:rFonts w:ascii="Calibri" w:hAnsi="Calibri"/>
          <w:b w:val="0"/>
          <w:i w:val="0"/>
          <w:sz w:val="22"/>
        </w:rPr>
        <w:t>The correlation threshold of r=0.80 achieves the highest 10-fold CV accuracy at 86.8%, confirming it as the optimal choice. The performance curve shows a clear peak at 0.80 with degradation in both directions:</w:t>
      </w:r>
    </w:p>
    <w:p>
      <w:pPr>
        <w:pStyle w:val="ListBullet"/>
      </w:pPr>
      <w:r>
        <w:rPr>
          <w:rFonts w:ascii="Calibri" w:hAnsi="Calibri"/>
          <w:sz w:val="22"/>
        </w:rPr>
        <w:t>Below r=0.80 (more aggressive filtering): Performance drops to 84.9-85.6%. Too-aggressive filtering removes features that carry unique class-discriminative information, even if they correlate moderately with other features.</w:t>
      </w:r>
    </w:p>
    <w:p>
      <w:pPr>
        <w:pStyle w:val="ListBullet"/>
      </w:pPr>
      <w:r>
        <w:rPr>
          <w:rFonts w:ascii="Calibri" w:hAnsi="Calibri"/>
          <w:sz w:val="22"/>
        </w:rPr>
        <w:t>Above r=0.80 (less filtering): Performance drops to 85.3-85.8%. Retaining highly correlated features introduces redundancy that dilutes the Fisher-weighted evidence scores and creates noisy bin boundaries.</w:t>
      </w:r>
    </w:p>
    <w:p>
      <w:r>
        <w:rPr>
          <w:rFonts w:ascii="Calibri" w:hAnsi="Calibri"/>
          <w:b w:val="0"/>
          <w:i w:val="0"/>
          <w:sz w:val="22"/>
        </w:rP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pPr>
        <w:pStyle w:val="Heading1"/>
      </w:pPr>
      <w:r>
        <w:rPr>
          <w:b/>
          <w:color w:val="1F2D5C"/>
          <w:sz w:val="32"/>
        </w:rPr>
        <w:t>21. Conclusion</w:t>
      </w:r>
    </w:p>
    <w:p>
      <w:r>
        <w:rPr>
          <w:rFonts w:ascii="Calibri" w:hAnsi="Calibri"/>
          <w:b w:val="0"/>
          <w:i w:val="0"/>
          <w:sz w:val="22"/>
        </w:rP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pPr>
        <w:pStyle w:val="ListBullet"/>
      </w:pPr>
      <w:r>
        <w:rPr>
          <w:rFonts w:ascii="Calibri" w:hAnsi="Calibri"/>
          <w:sz w:val="22"/>
        </w:rPr>
        <w:t>Dual AF is the foundation (+34.1 points) — all other improvements build on it</w:t>
      </w:r>
    </w:p>
    <w:p>
      <w:pPr>
        <w:pStyle w:val="ListBullet"/>
      </w:pPr>
      <w:r>
        <w:rPr>
          <w:rFonts w:ascii="Calibri" w:hAnsi="Calibri"/>
          <w:sz w:val="22"/>
        </w:rPr>
        <w:t>The scoring pipeline (ratio + healthy bar) must be added together (+19.7 combined)</w:t>
      </w:r>
    </w:p>
    <w:p>
      <w:pPr>
        <w:pStyle w:val="ListBullet"/>
      </w:pPr>
      <w:r>
        <w:rPr>
          <w:rFonts w:ascii="Calibri" w:hAnsi="Calibri"/>
          <w:sz w:val="22"/>
        </w:rPr>
        <w:t>Class management (removal + rare params + thresholds) requires strong evidence first</w:t>
      </w:r>
    </w:p>
    <w:p>
      <w:pPr>
        <w:pStyle w:val="ListBullet"/>
      </w:pPr>
      <w:r>
        <w:rPr>
          <w:rFonts w:ascii="Calibri" w:hAnsi="Calibri"/>
          <w:sz w:val="22"/>
        </w:rPr>
        <w:t>Supervised binning only helps (+4.1) when the full evidence pipeline is in place</w:t>
      </w:r>
    </w:p>
    <w:p>
      <w:r>
        <w:rPr>
          <w:rFonts w:ascii="Calibri" w:hAnsi="Calibri"/>
          <w:b w:val="0"/>
          <w:i w:val="0"/>
          <w:sz w:val="22"/>
        </w:rPr>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