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B2E0B9" w14:textId="77777777" w:rsidR="00AF798B" w:rsidRDefault="00000000">
      <w:pPr>
        <w:spacing w:after="60"/>
        <w:jc w:val="center"/>
      </w:pPr>
      <w:r>
        <w:rPr>
          <w:b/>
          <w:bCs/>
          <w:sz w:val="26"/>
          <w:szCs w:val="26"/>
        </w:rPr>
        <w:t>EDINBURGH TRAM NETWORK</w:t>
      </w:r>
    </w:p>
    <w:p w14:paraId="766402C7" w14:textId="77777777" w:rsidR="00AF798B" w:rsidRDefault="00000000">
      <w:pPr>
        <w:spacing w:after="240"/>
        <w:jc w:val="center"/>
      </w:pPr>
      <w:r>
        <w:rPr>
          <w:i/>
          <w:iCs/>
        </w:rPr>
        <w:t>Delay and Prolongation – Chronology of Events</w:t>
      </w:r>
    </w:p>
    <w:p w14:paraId="75CB89F2" w14:textId="77777777" w:rsidR="00AF798B" w:rsidRDefault="00000000">
      <w:pPr>
        <w:spacing w:before="120" w:after="200"/>
      </w:pPr>
      <w:r>
        <w:rPr>
          <w:b/>
          <w:bCs/>
          <w:i/>
          <w:iCs/>
          <w:u w:val="single"/>
        </w:rPr>
        <w:t>01.  Incomplete and Misaligned Design (The SDS Contract)</w:t>
      </w:r>
    </w:p>
    <w:p w14:paraId="1C77FA48" w14:textId="77777777" w:rsidR="00AF798B" w:rsidRDefault="00000000">
      <w:pPr>
        <w:tabs>
          <w:tab w:val="left" w:pos="1080"/>
        </w:tabs>
        <w:spacing w:after="200" w:line="276" w:lineRule="auto"/>
        <w:ind w:left="1080" w:hanging="1080"/>
        <w:jc w:val="both"/>
      </w:pPr>
      <w:r>
        <w:t>6.1.1</w:t>
      </w:r>
      <w:r>
        <w:tab/>
        <w:t>Under the procurement of the Edinburgh Tram Network, tie Limited engaged Parsons Brinckerhoff to provide the System Design Services (</w:t>
      </w:r>
      <w:r>
        <w:rPr>
          <w:b/>
          <w:bCs/>
        </w:rPr>
        <w:t>SDS</w:t>
      </w:r>
      <w:r>
        <w:t>). The SDS Provider was obliged to undertake all design and produce the deliverables necessary to enable the network to be procured, constructed, tested and commissioned, fully co-ordinated across disciplines</w:t>
      </w:r>
      <w:r>
        <w:rPr>
          <w:rStyle w:val="FootnoteReference"/>
        </w:rPr>
        <w:footnoteReference w:id="1"/>
      </w:r>
      <w:r>
        <w:t>. The design was to be progressed in two stages – preliminary design followed by detailed design – and then novated to the Infraco contractor (the Bilfinger Berger / Siemens consortium, “BSC”), which would take it over and complete limited elements (principally track design, tramstop detailing and electrical systems)</w:t>
      </w:r>
      <w:r>
        <w:rPr>
          <w:rStyle w:val="FootnoteReference"/>
        </w:rPr>
        <w:footnoteReference w:id="2"/>
      </w:r>
      <w:r>
        <w:t>. The commercial intention was that a substantially complete and integrated design would be available so that Infraco could construct without material change</w:t>
      </w:r>
      <w:r>
        <w:rPr>
          <w:rStyle w:val="FootnoteReference"/>
        </w:rPr>
        <w:footnoteReference w:id="3"/>
      </w:r>
      <w:r>
        <w:t>. In the event, the SDS design was delivered late, remained incomplete at novation, and diverged from the Base Date Design Information on which the Infraco works were priced, giving rise to extensive change, delay and prolongation. The principal events are set out below.</w:t>
      </w:r>
    </w:p>
    <w:p w14:paraId="41C96F40" w14:textId="77777777" w:rsidR="00AF798B" w:rsidRDefault="00000000">
      <w:pPr>
        <w:tabs>
          <w:tab w:val="left" w:pos="1080"/>
        </w:tabs>
        <w:spacing w:after="200" w:line="276" w:lineRule="auto"/>
        <w:ind w:left="1080" w:hanging="1080"/>
        <w:jc w:val="both"/>
      </w:pPr>
      <w:r>
        <w:t>6.1.2</w:t>
      </w:r>
      <w:r>
        <w:tab/>
      </w:r>
      <w:r>
        <w:rPr>
          <w:b/>
          <w:bCs/>
        </w:rPr>
        <w:t xml:space="preserve">On 29 March 2005, </w:t>
      </w:r>
      <w:r>
        <w:t>tie issued the final SDS Scope of Services, defining the SDS Provider’s obligation to produce a fully co-ordinated design across all disciplines for the whole tram network</w:t>
      </w:r>
      <w:r>
        <w:rPr>
          <w:rStyle w:val="FootnoteReference"/>
        </w:rPr>
        <w:footnoteReference w:id="4"/>
      </w:r>
      <w:r>
        <w:t>.</w:t>
      </w:r>
    </w:p>
    <w:p w14:paraId="67BDD4F2" w14:textId="77777777" w:rsidR="00AF798B" w:rsidRDefault="00000000">
      <w:pPr>
        <w:tabs>
          <w:tab w:val="left" w:pos="1080"/>
        </w:tabs>
        <w:spacing w:after="200" w:line="276" w:lineRule="auto"/>
        <w:ind w:left="1080" w:hanging="1080"/>
        <w:jc w:val="both"/>
      </w:pPr>
      <w:r>
        <w:t>6.1.3</w:t>
      </w:r>
      <w:r>
        <w:tab/>
      </w:r>
      <w:r>
        <w:rPr>
          <w:b/>
          <w:bCs/>
        </w:rPr>
        <w:t xml:space="preserve">On 29 April 2005, </w:t>
      </w:r>
      <w:r>
        <w:t>tie issued its Clarification Note to Tenderers, confirming that the obligation on the SDS Provider to be responsible for obtaining the Consents was “a fundamental requirement of the SDS Agreement”</w:t>
      </w:r>
      <w:r>
        <w:rPr>
          <w:rStyle w:val="FootnoteReference"/>
        </w:rPr>
        <w:footnoteReference w:id="5"/>
      </w:r>
      <w:r>
        <w:t>. This obligation later proved central to the delay, SDS being unable to secure consented design to programme.</w:t>
      </w:r>
    </w:p>
    <w:p w14:paraId="789F3AED" w14:textId="77777777" w:rsidR="00AF798B" w:rsidRDefault="00000000">
      <w:pPr>
        <w:tabs>
          <w:tab w:val="left" w:pos="1080"/>
        </w:tabs>
        <w:spacing w:after="200" w:line="276" w:lineRule="auto"/>
        <w:ind w:left="1080" w:hanging="1080"/>
        <w:jc w:val="both"/>
      </w:pPr>
      <w:r>
        <w:t>6.1.4</w:t>
      </w:r>
      <w:r>
        <w:tab/>
      </w:r>
      <w:r>
        <w:rPr>
          <w:b/>
          <w:bCs/>
        </w:rPr>
        <w:t xml:space="preserve">On 19 May 2005, </w:t>
      </w:r>
      <w:r>
        <w:t>on reviewing the SDS bids (Parsons Brinckerhoff, Scott Wilson, Mott MacDonald and Atkins), tie’s advisers recorded the explicit reservations and caveats contained within the tendered submissions, noting that bidders had sought to reserve their position on the legal, financial and technical terms</w:t>
      </w:r>
      <w:r>
        <w:rPr>
          <w:rStyle w:val="FootnoteReference"/>
        </w:rPr>
        <w:footnoteReference w:id="6"/>
      </w:r>
      <w:r>
        <w:t>. This foreshadowed the later contractual disputes over the scope and completeness of the design.</w:t>
      </w:r>
    </w:p>
    <w:p w14:paraId="0FA48F56" w14:textId="77777777" w:rsidR="00AF798B" w:rsidRDefault="00000000">
      <w:pPr>
        <w:tabs>
          <w:tab w:val="left" w:pos="1080"/>
        </w:tabs>
        <w:spacing w:after="200" w:line="276" w:lineRule="auto"/>
        <w:ind w:left="1080" w:hanging="1080"/>
        <w:jc w:val="both"/>
      </w:pPr>
      <w:r>
        <w:t>6.1.5</w:t>
      </w:r>
      <w:r>
        <w:tab/>
      </w:r>
      <w:r>
        <w:rPr>
          <w:b/>
          <w:bCs/>
        </w:rPr>
        <w:t xml:space="preserve">In September 2005, </w:t>
      </w:r>
      <w:r>
        <w:t>tie awarded the SDS contract to Parsons Brinckerhoff</w:t>
      </w:r>
      <w:r>
        <w:rPr>
          <w:rStyle w:val="FootnoteReference"/>
        </w:rPr>
        <w:footnoteReference w:id="7"/>
      </w:r>
      <w:r>
        <w:t xml:space="preserve">. tie’s own later historical overview records that the delivery of the design “has been problematic since the award of the contract in September 2005”, and that SDS “consistently… failed to </w:t>
      </w:r>
      <w:r>
        <w:lastRenderedPageBreak/>
        <w:t>produce evidence of effective Design Assurance and design integration across all disciplines”</w:t>
      </w:r>
      <w:r>
        <w:rPr>
          <w:rStyle w:val="FootnoteReference"/>
        </w:rPr>
        <w:footnoteReference w:id="8"/>
      </w:r>
      <w:r>
        <w:t>.</w:t>
      </w:r>
    </w:p>
    <w:p w14:paraId="371B85AC" w14:textId="77777777" w:rsidR="00AF798B" w:rsidRDefault="00000000">
      <w:pPr>
        <w:tabs>
          <w:tab w:val="left" w:pos="1080"/>
        </w:tabs>
        <w:spacing w:after="200" w:line="276" w:lineRule="auto"/>
        <w:ind w:left="1080" w:hanging="1080"/>
        <w:jc w:val="both"/>
      </w:pPr>
      <w:r>
        <w:t>6.1.6</w:t>
      </w:r>
      <w:r>
        <w:tab/>
      </w:r>
      <w:r>
        <w:rPr>
          <w:b/>
          <w:bCs/>
        </w:rPr>
        <w:t xml:space="preserve">On 7 November 2006, </w:t>
      </w:r>
      <w:r>
        <w:t>following quality concerns, SDS made a presentation to tie on its Quality Management System, Design Assurance and design production processes</w:t>
      </w:r>
      <w:r>
        <w:rPr>
          <w:rStyle w:val="FootnoteReference"/>
        </w:rPr>
        <w:footnoteReference w:id="9"/>
      </w:r>
      <w:r>
        <w:t>. A V9 design programme baseline was subsequently agreed in mid-December 2006, which became the reference point against which later slippage was measured</w:t>
      </w:r>
      <w:r>
        <w:rPr>
          <w:rStyle w:val="FootnoteReference"/>
        </w:rPr>
        <w:footnoteReference w:id="10"/>
      </w:r>
      <w:r>
        <w:t>.</w:t>
      </w:r>
    </w:p>
    <w:p w14:paraId="35E3F080" w14:textId="77777777" w:rsidR="00AF798B" w:rsidRDefault="00000000">
      <w:pPr>
        <w:tabs>
          <w:tab w:val="left" w:pos="1080"/>
        </w:tabs>
        <w:spacing w:after="200" w:line="276" w:lineRule="auto"/>
        <w:ind w:left="1080" w:hanging="1080"/>
        <w:jc w:val="both"/>
      </w:pPr>
      <w:r>
        <w:t>6.1.7</w:t>
      </w:r>
      <w:r>
        <w:tab/>
      </w:r>
      <w:r>
        <w:rPr>
          <w:b/>
          <w:bCs/>
        </w:rPr>
        <w:t xml:space="preserve">From February 2007, </w:t>
      </w:r>
      <w:r>
        <w:t>design reviews were conducted on the basis that SDS had to justify its design against the requirements later enshrined in Schedule 14 of the Infraco Contract, with tie reviewing “Design Assurance Statement” (DAS) packs intended to be complete before construction commenced</w:t>
      </w:r>
      <w:r>
        <w:rPr>
          <w:rStyle w:val="FootnoteReference"/>
        </w:rPr>
        <w:footnoteReference w:id="11"/>
      </w:r>
      <w:r>
        <w:t>. tie had summarised the key requirements within Parsons Brinckerhoff’s own Quality Management System on 23 February 2007</w:t>
      </w:r>
      <w:r>
        <w:rPr>
          <w:rStyle w:val="FootnoteReference"/>
        </w:rPr>
        <w:footnoteReference w:id="12"/>
      </w:r>
      <w:r>
        <w:t>.</w:t>
      </w:r>
    </w:p>
    <w:p w14:paraId="048E3040" w14:textId="77777777" w:rsidR="00AF798B" w:rsidRDefault="00000000">
      <w:pPr>
        <w:tabs>
          <w:tab w:val="left" w:pos="1080"/>
        </w:tabs>
        <w:spacing w:after="200" w:line="276" w:lineRule="auto"/>
        <w:ind w:left="1080" w:hanging="1080"/>
        <w:jc w:val="both"/>
      </w:pPr>
      <w:r>
        <w:t>6.1.8</w:t>
      </w:r>
      <w:r>
        <w:tab/>
      </w:r>
      <w:r>
        <w:rPr>
          <w:b/>
          <w:bCs/>
        </w:rPr>
        <w:t xml:space="preserve">On 26 April 2007, </w:t>
      </w:r>
      <w:r>
        <w:t>the SDS Design Programme V14 was received (data date 9 April 2007). TSS’s overview of 27 April 2007 recorded slippage against the agreed V9 baseline, including areas where preliminary design remained incomplete and had slipped, and numerous areas of detailed-design slippage</w:t>
      </w:r>
      <w:r>
        <w:rPr>
          <w:rStyle w:val="FootnoteReference"/>
        </w:rPr>
        <w:footnoteReference w:id="13"/>
      </w:r>
      <w:r>
        <w:t>.</w:t>
      </w:r>
    </w:p>
    <w:p w14:paraId="5DDDC13E" w14:textId="77777777" w:rsidR="00AF798B" w:rsidRDefault="00000000">
      <w:pPr>
        <w:tabs>
          <w:tab w:val="left" w:pos="1080"/>
        </w:tabs>
        <w:spacing w:after="200" w:line="276" w:lineRule="auto"/>
        <w:ind w:left="1080" w:hanging="1080"/>
        <w:jc w:val="both"/>
      </w:pPr>
      <w:r>
        <w:t>6.1.9</w:t>
      </w:r>
      <w:r>
        <w:tab/>
      </w:r>
      <w:r>
        <w:rPr>
          <w:b/>
          <w:bCs/>
        </w:rPr>
        <w:t xml:space="preserve">By May 2007, </w:t>
      </w:r>
      <w:r>
        <w:t>the incompleteness and misalignment of the design was becoming acute:</w:t>
      </w:r>
    </w:p>
    <w:p w14:paraId="1F4B57FE" w14:textId="77777777" w:rsidR="00AF798B" w:rsidRDefault="00000000">
      <w:pPr>
        <w:tabs>
          <w:tab w:val="left" w:pos="1800"/>
        </w:tabs>
        <w:spacing w:after="160" w:line="276" w:lineRule="auto"/>
        <w:ind w:left="1800" w:hanging="540"/>
        <w:jc w:val="both"/>
      </w:pPr>
      <w:r>
        <w:t>i)</w:t>
      </w:r>
      <w:r>
        <w:tab/>
      </w:r>
      <w:r>
        <w:rPr>
          <w:b/>
          <w:bCs/>
        </w:rPr>
        <w:t xml:space="preserve">Programme slippage: </w:t>
      </w:r>
      <w:r>
        <w:t>the SDS Design Programme V15 (received 23 May 2007) was analysed by TSS as showing ten preliminary-design areas and fifty-four detailed-design areas where completion had slipped from the V9 baseline</w:t>
      </w:r>
      <w:r>
        <w:rPr>
          <w:rStyle w:val="FootnoteReference"/>
        </w:rPr>
        <w:footnoteReference w:id="14"/>
      </w:r>
      <w:r>
        <w:t>.</w:t>
      </w:r>
    </w:p>
    <w:p w14:paraId="287B7767" w14:textId="77777777" w:rsidR="00AF798B" w:rsidRDefault="00000000">
      <w:pPr>
        <w:tabs>
          <w:tab w:val="left" w:pos="1800"/>
        </w:tabs>
        <w:spacing w:after="160" w:line="276" w:lineRule="auto"/>
        <w:ind w:left="1800" w:hanging="540"/>
        <w:jc w:val="both"/>
      </w:pPr>
      <w:r>
        <w:t>ii)</w:t>
      </w:r>
      <w:r>
        <w:tab/>
      </w:r>
      <w:r>
        <w:rPr>
          <w:b/>
          <w:bCs/>
        </w:rPr>
        <w:t xml:space="preserve">Inadequate DAS content: </w:t>
      </w:r>
      <w:r>
        <w:t>the draft DAS produced for route section SC, although appearing comprehensive, was “really only a list of documents”; it did not demonstrate how the design met its requirements or how safety hazards had been mitigated – both being critical to acceptance of the design as fit for purpose</w:t>
      </w:r>
      <w:r>
        <w:rPr>
          <w:rStyle w:val="FootnoteReference"/>
        </w:rPr>
        <w:footnoteReference w:id="15"/>
      </w:r>
      <w:r>
        <w:t>.</w:t>
      </w:r>
    </w:p>
    <w:p w14:paraId="23A072E0" w14:textId="77777777" w:rsidR="00AF798B" w:rsidRDefault="00000000">
      <w:pPr>
        <w:tabs>
          <w:tab w:val="left" w:pos="1800"/>
        </w:tabs>
        <w:spacing w:after="160" w:line="276" w:lineRule="auto"/>
        <w:ind w:left="1800" w:hanging="540"/>
        <w:jc w:val="both"/>
      </w:pPr>
      <w:r>
        <w:t>iii)</w:t>
      </w:r>
      <w:r>
        <w:tab/>
      </w:r>
      <w:r>
        <w:rPr>
          <w:b/>
          <w:bCs/>
        </w:rPr>
        <w:t xml:space="preserve">Governance concerns: </w:t>
      </w:r>
      <w:r>
        <w:t>contemporaneous SDS weekly reporting recorded growing misgivings on both sides as to project management and the clarity of tie’s role, against a backdrop of funding uncertainty</w:t>
      </w:r>
      <w:r>
        <w:rPr>
          <w:rStyle w:val="FootnoteReference"/>
        </w:rPr>
        <w:footnoteReference w:id="16"/>
      </w:r>
      <w:r>
        <w:t>.</w:t>
      </w:r>
    </w:p>
    <w:p w14:paraId="5D63C7A7" w14:textId="77777777" w:rsidR="00AF798B" w:rsidRDefault="00000000">
      <w:pPr>
        <w:tabs>
          <w:tab w:val="left" w:pos="1080"/>
        </w:tabs>
        <w:spacing w:after="200" w:line="276" w:lineRule="auto"/>
        <w:ind w:left="1080" w:hanging="1080"/>
        <w:jc w:val="both"/>
      </w:pPr>
      <w:r>
        <w:lastRenderedPageBreak/>
        <w:t>6.1.10</w:t>
      </w:r>
      <w:r>
        <w:tab/>
      </w:r>
      <w:r>
        <w:rPr>
          <w:b/>
          <w:bCs/>
        </w:rPr>
        <w:t xml:space="preserve">On 15 June 2007, </w:t>
      </w:r>
      <w:r>
        <w:t>the SDS Design Programme V16 was received (data date 4 June 2007), continuing to identify slippage against baseline</w:t>
      </w:r>
      <w:r>
        <w:rPr>
          <w:rStyle w:val="FootnoteReference"/>
        </w:rPr>
        <w:footnoteReference w:id="17"/>
      </w:r>
      <w:r>
        <w:t>. In the same period the ROGS-required Independent Competent Person (John Dolan) was appointed to scrutinise SDS design, thereafter attending most design review sessions</w:t>
      </w:r>
      <w:r>
        <w:rPr>
          <w:rStyle w:val="FootnoteReference"/>
        </w:rPr>
        <w:footnoteReference w:id="18"/>
      </w:r>
      <w:r>
        <w:t>.</w:t>
      </w:r>
    </w:p>
    <w:p w14:paraId="57EF280F" w14:textId="77777777" w:rsidR="00AF798B" w:rsidRDefault="00000000">
      <w:pPr>
        <w:tabs>
          <w:tab w:val="left" w:pos="1080"/>
        </w:tabs>
        <w:spacing w:after="200" w:line="276" w:lineRule="auto"/>
        <w:ind w:left="1080" w:hanging="1080"/>
        <w:jc w:val="both"/>
      </w:pPr>
      <w:r>
        <w:t>6.1.11</w:t>
      </w:r>
      <w:r>
        <w:tab/>
      </w:r>
      <w:r>
        <w:rPr>
          <w:b/>
          <w:bCs/>
        </w:rPr>
        <w:t xml:space="preserve">On 6 September 2007, </w:t>
      </w:r>
      <w:r>
        <w:t>tie and Parsons Brinckerhoff exchanged a without-prejudice “SDS Prolongation and Disruption Claim”, reflecting SDS’s position that delay and change fell outside its original scope</w:t>
      </w:r>
      <w:r>
        <w:rPr>
          <w:rStyle w:val="FootnoteReference"/>
        </w:rPr>
        <w:footnoteReference w:id="19"/>
      </w:r>
      <w:r>
        <w:t>.</w:t>
      </w:r>
    </w:p>
    <w:p w14:paraId="0CE0B1DA" w14:textId="77777777" w:rsidR="00AF798B" w:rsidRDefault="00000000">
      <w:pPr>
        <w:tabs>
          <w:tab w:val="left" w:pos="1080"/>
        </w:tabs>
        <w:spacing w:after="200" w:line="276" w:lineRule="auto"/>
        <w:ind w:left="1080" w:hanging="1080"/>
        <w:jc w:val="both"/>
      </w:pPr>
      <w:r>
        <w:t>6.1.12</w:t>
      </w:r>
      <w:r>
        <w:tab/>
      </w:r>
      <w:r>
        <w:rPr>
          <w:b/>
          <w:bCs/>
        </w:rPr>
        <w:t xml:space="preserve">On 19 September 2007, </w:t>
      </w:r>
      <w:r>
        <w:t>SDS reported that, of the 200 design deliverables planned to date, 22 had been delayed for external reasons (including Forth Ports, Network Rail approvals and substation issues), 8 related to the reprogrammed MUDFA utilities works, and 11 were late for reasons wholly within SDS’s control</w:t>
      </w:r>
      <w:r>
        <w:rPr>
          <w:rStyle w:val="FootnoteReference"/>
        </w:rPr>
        <w:footnoteReference w:id="20"/>
      </w:r>
      <w:r>
        <w:t xml:space="preserve"> – evidencing both the incompleteness of the design and the range of causes contributing to it.</w:t>
      </w:r>
    </w:p>
    <w:p w14:paraId="2313A8FA" w14:textId="77777777" w:rsidR="00AF798B" w:rsidRDefault="00000000">
      <w:pPr>
        <w:tabs>
          <w:tab w:val="left" w:pos="1080"/>
        </w:tabs>
        <w:spacing w:after="200" w:line="276" w:lineRule="auto"/>
        <w:ind w:left="1080" w:hanging="1080"/>
        <w:jc w:val="both"/>
      </w:pPr>
      <w:r>
        <w:t>6.1.13</w:t>
      </w:r>
      <w:r>
        <w:tab/>
      </w:r>
      <w:r>
        <w:rPr>
          <w:b/>
          <w:bCs/>
        </w:rPr>
        <w:t xml:space="preserve">On 12 March 2008, </w:t>
      </w:r>
      <w:r>
        <w:t>the SDS novation arrangements were progressed by correspondence</w:t>
      </w:r>
      <w:r>
        <w:rPr>
          <w:rStyle w:val="FootnoteReference"/>
        </w:rPr>
        <w:footnoteReference w:id="21"/>
      </w:r>
      <w:r>
        <w:t>, a draft SDS Novation Agreement being prepared on 23 April 2008 to transfer the SDS Provider’s obligations to the Infraco contractor</w:t>
      </w:r>
      <w:r>
        <w:rPr>
          <w:rStyle w:val="FootnoteReference"/>
        </w:rPr>
        <w:footnoteReference w:id="22"/>
      </w:r>
      <w:r>
        <w:t>.</w:t>
      </w:r>
    </w:p>
    <w:p w14:paraId="44463BD0" w14:textId="77777777" w:rsidR="00AF798B" w:rsidRDefault="00000000">
      <w:pPr>
        <w:tabs>
          <w:tab w:val="left" w:pos="1080"/>
        </w:tabs>
        <w:spacing w:after="200" w:line="276" w:lineRule="auto"/>
        <w:ind w:left="1080" w:hanging="1080"/>
        <w:jc w:val="both"/>
      </w:pPr>
      <w:r>
        <w:t>6.1.14</w:t>
      </w:r>
      <w:r>
        <w:tab/>
      </w:r>
      <w:r>
        <w:rPr>
          <w:b/>
          <w:bCs/>
        </w:rPr>
        <w:t xml:space="preserve">On 14 May 2008, </w:t>
      </w:r>
      <w:r>
        <w:t>the SDS Contract was novated to Infraco, contemporaneously with the Infraco Contract, the SDS financial status having been recorded at novation on 13 May 2008</w:t>
      </w:r>
      <w:r>
        <w:rPr>
          <w:rStyle w:val="FootnoteReference"/>
        </w:rPr>
        <w:footnoteReference w:id="23"/>
      </w:r>
      <w:r>
        <w:rPr>
          <w:rStyle w:val="FootnoteReference"/>
        </w:rPr>
        <w:footnoteReference w:id="24"/>
      </w:r>
      <w:r>
        <w:t>. Critically, the design was novated while still incomplete, so that the “Base Date Design Information” (BDDI) priced by Infraco differed materially from the design subsequently “Issued for Construction” (IFC) by SDS</w:t>
      </w:r>
      <w:r>
        <w:rPr>
          <w:rStyle w:val="FootnoteReference"/>
        </w:rPr>
        <w:footnoteReference w:id="25"/>
      </w:r>
      <w:r>
        <w:t>.</w:t>
      </w:r>
    </w:p>
    <w:p w14:paraId="55716EDB" w14:textId="77777777" w:rsidR="00AF798B" w:rsidRDefault="00000000">
      <w:pPr>
        <w:tabs>
          <w:tab w:val="left" w:pos="1080"/>
        </w:tabs>
        <w:spacing w:after="200" w:line="276" w:lineRule="auto"/>
        <w:ind w:left="1080" w:hanging="1080"/>
        <w:jc w:val="both"/>
      </w:pPr>
      <w:r>
        <w:t>6.1.15</w:t>
      </w:r>
      <w:r>
        <w:tab/>
      </w:r>
      <w:r>
        <w:rPr>
          <w:b/>
          <w:bCs/>
        </w:rPr>
        <w:t xml:space="preserve">By late 2008, </w:t>
      </w:r>
      <w:r>
        <w:t>after the Infraco Contract was let, BSC established its System Assurance team and found that substantial work was required on the SDS Hazard Log before safety hazards could be proposed to tie’s Programme Safety Certification Committee for closure, the underpinning SDS documents not being evident</w:t>
      </w:r>
      <w:r>
        <w:rPr>
          <w:rStyle w:val="FootnoteReference"/>
        </w:rPr>
        <w:footnoteReference w:id="26"/>
      </w:r>
      <w:r>
        <w:t>.</w:t>
      </w:r>
    </w:p>
    <w:p w14:paraId="7BB6AEA8" w14:textId="77777777" w:rsidR="00AF798B" w:rsidRDefault="00000000">
      <w:pPr>
        <w:tabs>
          <w:tab w:val="left" w:pos="1080"/>
        </w:tabs>
        <w:spacing w:after="200" w:line="276" w:lineRule="auto"/>
        <w:ind w:left="1080" w:hanging="1080"/>
        <w:jc w:val="both"/>
      </w:pPr>
      <w:r>
        <w:t>6.1.16</w:t>
      </w:r>
      <w:r>
        <w:tab/>
      </w:r>
      <w:r>
        <w:rPr>
          <w:b/>
          <w:bCs/>
        </w:rPr>
        <w:t xml:space="preserve">On 1 May 2010, </w:t>
      </w:r>
      <w:r>
        <w:t xml:space="preserve">tie’s “SDS Design Assurance – An Historical Overview” identified the two key design concerns with BSC as (i) the difference between the Base Date Design Information and what was finally issued for construction by SDS, and (ii) the slippage in </w:t>
      </w:r>
      <w:r>
        <w:lastRenderedPageBreak/>
        <w:t>the design programme; it recorded that construction was by then proceeding to IFC packs which were self-assured by SDS but unreviewed by tie</w:t>
      </w:r>
      <w:r>
        <w:rPr>
          <w:rStyle w:val="FootnoteReference"/>
        </w:rPr>
        <w:footnoteReference w:id="27"/>
      </w:r>
      <w:r>
        <w:t>.</w:t>
      </w:r>
    </w:p>
    <w:p w14:paraId="2A5760D6" w14:textId="77777777" w:rsidR="00AF798B" w:rsidRDefault="00000000">
      <w:pPr>
        <w:tabs>
          <w:tab w:val="left" w:pos="1080"/>
        </w:tabs>
        <w:spacing w:after="200" w:line="276" w:lineRule="auto"/>
        <w:ind w:left="1080" w:hanging="1080"/>
        <w:jc w:val="both"/>
      </w:pPr>
      <w:r>
        <w:t>6.1.17</w:t>
      </w:r>
      <w:r>
        <w:tab/>
      </w:r>
      <w:r>
        <w:rPr>
          <w:b/>
          <w:bCs/>
        </w:rPr>
        <w:t xml:space="preserve">On 2 August 2010, </w:t>
      </w:r>
      <w:r>
        <w:t>the last IFC deliverable within SDS’s power to deliver (W18 Murrayfield Tram Stop retaining walls) was issued to BSC; Parsons Brinckerhoff applied for payment under the post-novation incentivisation arrangement by letter of 20 October 2010 (referring to tie’s INF CORR 5500/SC dated 7 July 2010)</w:t>
      </w:r>
      <w:r>
        <w:rPr>
          <w:rStyle w:val="FootnoteReference"/>
        </w:rPr>
        <w:footnoteReference w:id="28"/>
      </w:r>
      <w:r>
        <w:t>. Related correspondence continued in the same period</w:t>
      </w:r>
      <w:r>
        <w:rPr>
          <w:rStyle w:val="FootnoteReference"/>
        </w:rPr>
        <w:footnoteReference w:id="29"/>
      </w:r>
      <w:r>
        <w:t>.</w:t>
      </w:r>
    </w:p>
    <w:p w14:paraId="752ACAAE" w14:textId="77777777" w:rsidR="00AF798B" w:rsidRDefault="00000000">
      <w:pPr>
        <w:tabs>
          <w:tab w:val="left" w:pos="1080"/>
        </w:tabs>
        <w:spacing w:after="200" w:line="276" w:lineRule="auto"/>
        <w:ind w:left="1080" w:hanging="1080"/>
        <w:jc w:val="both"/>
      </w:pPr>
      <w:r>
        <w:t>6.1.18</w:t>
      </w:r>
      <w:r>
        <w:tab/>
      </w:r>
      <w:r>
        <w:rPr>
          <w:b/>
          <w:bCs/>
        </w:rPr>
        <w:t xml:space="preserve">In 2010–2011, </w:t>
      </w:r>
      <w:r>
        <w:t>tie issued a Remediable Termination Notice in respect of the BB/SDS Agreement, with responses thereto, marking the breakdown of the SDS design relationship and confirming that the incomplete and misaligned design was never fully resolved through the SDS route</w:t>
      </w:r>
      <w:r>
        <w:rPr>
          <w:rStyle w:val="FootnoteReference"/>
        </w:rPr>
        <w:footnoteReference w:id="30"/>
      </w:r>
      <w:r>
        <w:t>.</w:t>
      </w:r>
    </w:p>
    <w:sectPr w:rsidR="00AF798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96336A" w14:textId="77777777" w:rsidR="00300A1E" w:rsidRDefault="00300A1E">
      <w:r>
        <w:separator/>
      </w:r>
    </w:p>
  </w:endnote>
  <w:endnote w:type="continuationSeparator" w:id="0">
    <w:p w14:paraId="3A33A220" w14:textId="77777777" w:rsidR="00300A1E" w:rsidRDefault="00300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76840F" w14:textId="77777777" w:rsidR="00300A1E" w:rsidRDefault="00300A1E">
      <w:r>
        <w:separator/>
      </w:r>
    </w:p>
  </w:footnote>
  <w:footnote w:type="continuationSeparator" w:id="0">
    <w:p w14:paraId="0E85CB1D" w14:textId="77777777" w:rsidR="00300A1E" w:rsidRDefault="00300A1E">
      <w:r>
        <w:continuationSeparator/>
      </w:r>
    </w:p>
  </w:footnote>
  <w:footnote w:id="1">
    <w:p w14:paraId="00442F15" w14:textId="77777777" w:rsidR="00AF798B" w:rsidRDefault="00000000">
      <w:r>
        <w:rPr>
          <w:rStyle w:val="FootnoteReference"/>
        </w:rPr>
        <w:footnoteRef/>
      </w:r>
      <w:r>
        <w:rPr>
          <w:sz w:val="18"/>
          <w:szCs w:val="18"/>
        </w:rPr>
        <w:t>Exhibit 1 – CEC01866259, Final Version SDS Scope of Work, 29 March 2005.</w:t>
      </w:r>
    </w:p>
  </w:footnote>
  <w:footnote w:id="2">
    <w:p w14:paraId="52CEF0E6" w14:textId="77777777" w:rsidR="00AF798B" w:rsidRDefault="00000000">
      <w:r>
        <w:rPr>
          <w:rStyle w:val="FootnoteReference"/>
        </w:rPr>
        <w:footnoteRef/>
      </w:r>
      <w:r>
        <w:rPr>
          <w:sz w:val="18"/>
          <w:szCs w:val="18"/>
        </w:rPr>
        <w:t>Exhibit 4 – CEC00307573, tie, "SDS Design Assurance – An Historical Overview".</w:t>
      </w:r>
    </w:p>
  </w:footnote>
  <w:footnote w:id="3">
    <w:p w14:paraId="67FC9134" w14:textId="77777777" w:rsidR="00AF798B" w:rsidRDefault="00000000">
      <w:r>
        <w:rPr>
          <w:rStyle w:val="FootnoteReference"/>
        </w:rPr>
        <w:footnoteRef/>
      </w:r>
      <w:r>
        <w:rPr>
          <w:sz w:val="18"/>
          <w:szCs w:val="18"/>
        </w:rPr>
        <w:t>Exhibit 18 – CEC01393756, "SDS Contract – tie Position (Explanatory Note)", pre / post novation recourse.</w:t>
      </w:r>
    </w:p>
  </w:footnote>
  <w:footnote w:id="4">
    <w:p w14:paraId="5F5B6476" w14:textId="77777777" w:rsidR="00AF798B" w:rsidRDefault="00000000">
      <w:r>
        <w:rPr>
          <w:rStyle w:val="FootnoteReference"/>
        </w:rPr>
        <w:footnoteRef/>
      </w:r>
      <w:r>
        <w:rPr>
          <w:sz w:val="18"/>
          <w:szCs w:val="18"/>
        </w:rPr>
        <w:t>Exhibit 1 – CEC01866259, Final Version SDS Scope of Work, 29 March 2005.</w:t>
      </w:r>
    </w:p>
  </w:footnote>
  <w:footnote w:id="5">
    <w:p w14:paraId="5029E446" w14:textId="77777777" w:rsidR="00AF798B" w:rsidRDefault="00000000">
      <w:r>
        <w:rPr>
          <w:rStyle w:val="FootnoteReference"/>
        </w:rPr>
        <w:footnoteRef/>
      </w:r>
      <w:r>
        <w:rPr>
          <w:sz w:val="18"/>
          <w:szCs w:val="18"/>
        </w:rPr>
        <w:t>Exhibit 2 – CEC01872939, Clarification Note to Tenderers (System Design Services), 29 April 2005.</w:t>
      </w:r>
    </w:p>
  </w:footnote>
  <w:footnote w:id="6">
    <w:p w14:paraId="7227305C" w14:textId="77777777" w:rsidR="00AF798B" w:rsidRDefault="00000000">
      <w:r>
        <w:rPr>
          <w:rStyle w:val="FootnoteReference"/>
        </w:rPr>
        <w:footnoteRef/>
      </w:r>
      <w:r>
        <w:rPr>
          <w:sz w:val="18"/>
          <w:szCs w:val="18"/>
        </w:rPr>
        <w:t>Exhibit 3 – CEC01876036, A. Cassels, "SDS Bids: Reservations Regarding Legal, Financial and Technical Submissions", 19 May 2005.</w:t>
      </w:r>
    </w:p>
  </w:footnote>
  <w:footnote w:id="7">
    <w:p w14:paraId="64773EF1" w14:textId="77777777" w:rsidR="00AF798B" w:rsidRDefault="00000000">
      <w:r>
        <w:rPr>
          <w:rStyle w:val="FootnoteReference"/>
        </w:rPr>
        <w:footnoteRef/>
      </w:r>
      <w:r>
        <w:rPr>
          <w:sz w:val="18"/>
          <w:szCs w:val="18"/>
        </w:rPr>
        <w:t>Exhibit 5 – CEC01866258, Provision of System Design Services Agreement (SDS Agreement), 2005.</w:t>
      </w:r>
    </w:p>
  </w:footnote>
  <w:footnote w:id="8">
    <w:p w14:paraId="4DB6979D" w14:textId="77777777" w:rsidR="00AF798B" w:rsidRDefault="00000000">
      <w:r>
        <w:rPr>
          <w:rStyle w:val="FootnoteReference"/>
        </w:rPr>
        <w:footnoteRef/>
      </w:r>
      <w:r>
        <w:rPr>
          <w:sz w:val="18"/>
          <w:szCs w:val="18"/>
        </w:rPr>
        <w:t>Exhibit 4 – CEC00307573, tie, "SDS Design Assurance – An Historical Overview".</w:t>
      </w:r>
    </w:p>
  </w:footnote>
  <w:footnote w:id="9">
    <w:p w14:paraId="70E349BC" w14:textId="77777777" w:rsidR="00AF798B" w:rsidRDefault="00000000">
      <w:r>
        <w:rPr>
          <w:rStyle w:val="FootnoteReference"/>
        </w:rPr>
        <w:footnoteRef/>
      </w:r>
      <w:r>
        <w:rPr>
          <w:sz w:val="18"/>
          <w:szCs w:val="18"/>
        </w:rPr>
        <w:t>Exhibit 4 – CEC00307573, tie, "SDS Design Assurance – An Historical Overview".</w:t>
      </w:r>
    </w:p>
  </w:footnote>
  <w:footnote w:id="10">
    <w:p w14:paraId="5A909A1F" w14:textId="77777777" w:rsidR="00AF798B" w:rsidRDefault="00000000">
      <w:r>
        <w:rPr>
          <w:rStyle w:val="FootnoteReference"/>
        </w:rPr>
        <w:footnoteRef/>
      </w:r>
      <w:r>
        <w:rPr>
          <w:sz w:val="18"/>
          <w:szCs w:val="18"/>
        </w:rPr>
        <w:t>Exhibit 6 – CEC01625056, T. Hickman (TSS), "Overview of SDS Design Programme V14 Received 26 April 2007 (Data Date 09 Apr 07)", 27 April 2007.</w:t>
      </w:r>
    </w:p>
  </w:footnote>
  <w:footnote w:id="11">
    <w:p w14:paraId="78757598" w14:textId="77777777" w:rsidR="00AF798B" w:rsidRDefault="00000000">
      <w:r>
        <w:rPr>
          <w:rStyle w:val="FootnoteReference"/>
        </w:rPr>
        <w:footnoteRef/>
      </w:r>
      <w:r>
        <w:rPr>
          <w:sz w:val="18"/>
          <w:szCs w:val="18"/>
        </w:rPr>
        <w:t>Exhibit 4 – CEC00307573, tie, "SDS Design Assurance – An Historical Overview".</w:t>
      </w:r>
    </w:p>
  </w:footnote>
  <w:footnote w:id="12">
    <w:p w14:paraId="4D2D3C5B" w14:textId="77777777" w:rsidR="00AF798B" w:rsidRDefault="00000000">
      <w:r>
        <w:rPr>
          <w:rStyle w:val="FootnoteReference"/>
        </w:rPr>
        <w:footnoteRef/>
      </w:r>
      <w:r>
        <w:rPr>
          <w:sz w:val="18"/>
          <w:szCs w:val="18"/>
        </w:rPr>
        <w:t>Exhibit 4 – CEC00307573, tie, "SDS Design Assurance – An Historical Overview".</w:t>
      </w:r>
    </w:p>
  </w:footnote>
  <w:footnote w:id="13">
    <w:p w14:paraId="5B715DBA" w14:textId="77777777" w:rsidR="00AF798B" w:rsidRDefault="00000000">
      <w:r>
        <w:rPr>
          <w:rStyle w:val="FootnoteReference"/>
        </w:rPr>
        <w:footnoteRef/>
      </w:r>
      <w:r>
        <w:rPr>
          <w:sz w:val="18"/>
          <w:szCs w:val="18"/>
        </w:rPr>
        <w:t>Exhibit 6 – CEC01625056, T. Hickman (TSS), "Overview of SDS Design Programme V14 Received 26 April 2007 (Data Date 09 Apr 07)", 27 April 2007.</w:t>
      </w:r>
    </w:p>
  </w:footnote>
  <w:footnote w:id="14">
    <w:p w14:paraId="27258D47" w14:textId="77777777" w:rsidR="00AF798B" w:rsidRDefault="00000000">
      <w:r>
        <w:rPr>
          <w:rStyle w:val="FootnoteReference"/>
        </w:rPr>
        <w:footnoteRef/>
      </w:r>
      <w:r>
        <w:rPr>
          <w:sz w:val="18"/>
          <w:szCs w:val="18"/>
        </w:rPr>
        <w:t>Exhibit 7 – TIE00068340, T. Hickman (TSS), "Overview of SDS Design Programme V15 Received 23 May 2007 (Data Date 07 May 07)", 30 May 2007.</w:t>
      </w:r>
    </w:p>
  </w:footnote>
  <w:footnote w:id="15">
    <w:p w14:paraId="66A99510" w14:textId="77777777" w:rsidR="00AF798B" w:rsidRDefault="00000000">
      <w:r>
        <w:rPr>
          <w:rStyle w:val="FootnoteReference"/>
        </w:rPr>
        <w:footnoteRef/>
      </w:r>
      <w:r>
        <w:rPr>
          <w:sz w:val="18"/>
          <w:szCs w:val="18"/>
        </w:rPr>
        <w:t>Exhibit 4 – CEC00307573, tie, "SDS Design Assurance – An Historical Overview".</w:t>
      </w:r>
    </w:p>
  </w:footnote>
  <w:footnote w:id="16">
    <w:p w14:paraId="12C87077" w14:textId="77777777" w:rsidR="00AF798B" w:rsidRDefault="00000000">
      <w:r>
        <w:rPr>
          <w:rStyle w:val="FootnoteReference"/>
        </w:rPr>
        <w:footnoteRef/>
      </w:r>
      <w:r>
        <w:rPr>
          <w:sz w:val="18"/>
          <w:szCs w:val="18"/>
        </w:rPr>
        <w:t>Exhibit 19 – PBH00025126, Edinburgh Tram SDS Contract Weekly Report, week ending 1 June 2007.</w:t>
      </w:r>
    </w:p>
  </w:footnote>
  <w:footnote w:id="17">
    <w:p w14:paraId="2E8F3D0E" w14:textId="77777777" w:rsidR="00AF798B" w:rsidRDefault="00000000">
      <w:r>
        <w:rPr>
          <w:rStyle w:val="FootnoteReference"/>
        </w:rPr>
        <w:footnoteRef/>
      </w:r>
      <w:r>
        <w:rPr>
          <w:sz w:val="18"/>
          <w:szCs w:val="18"/>
        </w:rPr>
        <w:t>Exhibit 8 – CEC01659222, e-mail T. Craggs / S. Clark, "Overview of SDS Design Programme V16 Received 15 June 2007 (Data Date 04 Jun 07)", 21 June 2007.</w:t>
      </w:r>
    </w:p>
  </w:footnote>
  <w:footnote w:id="18">
    <w:p w14:paraId="482601ED" w14:textId="77777777" w:rsidR="00AF798B" w:rsidRDefault="00000000">
      <w:r>
        <w:rPr>
          <w:rStyle w:val="FootnoteReference"/>
        </w:rPr>
        <w:footnoteRef/>
      </w:r>
      <w:r>
        <w:rPr>
          <w:sz w:val="18"/>
          <w:szCs w:val="18"/>
        </w:rPr>
        <w:t>Exhibit 4 – CEC00307573, tie, "SDS Design Assurance – An Historical Overview".</w:t>
      </w:r>
    </w:p>
  </w:footnote>
  <w:footnote w:id="19">
    <w:p w14:paraId="7524B1A5" w14:textId="77777777" w:rsidR="00AF798B" w:rsidRDefault="00000000">
      <w:r>
        <w:rPr>
          <w:rStyle w:val="FootnoteReference"/>
        </w:rPr>
        <w:footnoteRef/>
      </w:r>
      <w:r>
        <w:rPr>
          <w:sz w:val="18"/>
          <w:szCs w:val="18"/>
        </w:rPr>
        <w:t>Exhibit 9 – PBH00036744, e-mail S. Reynolds, "SDS Prolongation and Disruption Claim", 6 September 2007 (forwarded 25 March 2008).</w:t>
      </w:r>
    </w:p>
  </w:footnote>
  <w:footnote w:id="20">
    <w:p w14:paraId="1BBFEAE6" w14:textId="77777777" w:rsidR="00AF798B" w:rsidRDefault="00000000">
      <w:r>
        <w:rPr>
          <w:rStyle w:val="FootnoteReference"/>
        </w:rPr>
        <w:footnoteRef/>
      </w:r>
      <w:r>
        <w:rPr>
          <w:sz w:val="18"/>
          <w:szCs w:val="18"/>
        </w:rPr>
        <w:t>Exhibit 10 – CEC01643087, e-mail J. Chandler, "RE: SDS Design Deliverables", 19 September 2007.</w:t>
      </w:r>
    </w:p>
  </w:footnote>
  <w:footnote w:id="21">
    <w:p w14:paraId="2CA338DF" w14:textId="77777777" w:rsidR="00AF798B" w:rsidRDefault="00000000">
      <w:r>
        <w:rPr>
          <w:rStyle w:val="FootnoteReference"/>
        </w:rPr>
        <w:footnoteRef/>
      </w:r>
      <w:r>
        <w:rPr>
          <w:sz w:val="18"/>
          <w:szCs w:val="18"/>
        </w:rPr>
        <w:t>Exhibit 11 – DLA00006391, Brodies letter enclosure 094 – e-mail of 12 March 2008 re SDS Novation.</w:t>
      </w:r>
    </w:p>
  </w:footnote>
  <w:footnote w:id="22">
    <w:p w14:paraId="0CC98926" w14:textId="77777777" w:rsidR="00AF798B" w:rsidRDefault="00000000">
      <w:r>
        <w:rPr>
          <w:rStyle w:val="FootnoteReference"/>
        </w:rPr>
        <w:footnoteRef/>
      </w:r>
      <w:r>
        <w:rPr>
          <w:sz w:val="18"/>
          <w:szCs w:val="18"/>
        </w:rPr>
        <w:t>Exhibit 12 – CEC01331671, SDS Novation Agreement (draft GG 23 April 2008).</w:t>
      </w:r>
    </w:p>
  </w:footnote>
  <w:footnote w:id="23">
    <w:p w14:paraId="2A9F2AE2" w14:textId="77777777" w:rsidR="00AF798B" w:rsidRDefault="00000000">
      <w:r>
        <w:rPr>
          <w:rStyle w:val="FootnoteReference"/>
        </w:rPr>
        <w:footnoteRef/>
      </w:r>
      <w:r>
        <w:rPr>
          <w:sz w:val="18"/>
          <w:szCs w:val="18"/>
        </w:rPr>
        <w:t>Exhibit 13 – CEC01295126, "SDS Financial Status at Novation", 13 May 2008.</w:t>
      </w:r>
    </w:p>
  </w:footnote>
  <w:footnote w:id="24">
    <w:p w14:paraId="373CDCCB" w14:textId="77777777" w:rsidR="00AF798B" w:rsidRDefault="00000000">
      <w:r>
        <w:rPr>
          <w:rStyle w:val="FootnoteReference"/>
        </w:rPr>
        <w:footnoteRef/>
      </w:r>
      <w:r>
        <w:rPr>
          <w:sz w:val="18"/>
          <w:szCs w:val="18"/>
        </w:rPr>
        <w:t>Exhibit 14 – WED00000163, SDS Contract Novation Agreement (Appendix Part 4), 14 May 2008.</w:t>
      </w:r>
    </w:p>
  </w:footnote>
  <w:footnote w:id="25">
    <w:p w14:paraId="34EF3688" w14:textId="77777777" w:rsidR="00AF798B" w:rsidRDefault="00000000">
      <w:r>
        <w:rPr>
          <w:rStyle w:val="FootnoteReference"/>
        </w:rPr>
        <w:footnoteRef/>
      </w:r>
      <w:r>
        <w:rPr>
          <w:sz w:val="18"/>
          <w:szCs w:val="18"/>
        </w:rPr>
        <w:t>Exhibit 4 – CEC00307573, tie, "SDS Design Assurance – An Historical Overview".</w:t>
      </w:r>
    </w:p>
  </w:footnote>
  <w:footnote w:id="26">
    <w:p w14:paraId="580BD0A1" w14:textId="77777777" w:rsidR="00AF798B" w:rsidRDefault="00000000">
      <w:r>
        <w:rPr>
          <w:rStyle w:val="FootnoteReference"/>
        </w:rPr>
        <w:footnoteRef/>
      </w:r>
      <w:r>
        <w:rPr>
          <w:sz w:val="18"/>
          <w:szCs w:val="18"/>
        </w:rPr>
        <w:t>Exhibit 4 – CEC00307573, tie, "SDS Design Assurance – An Historical Overview".</w:t>
      </w:r>
    </w:p>
  </w:footnote>
  <w:footnote w:id="27">
    <w:p w14:paraId="584F866E" w14:textId="77777777" w:rsidR="00AF798B" w:rsidRDefault="00000000">
      <w:r>
        <w:rPr>
          <w:rStyle w:val="FootnoteReference"/>
        </w:rPr>
        <w:footnoteRef/>
      </w:r>
      <w:r>
        <w:rPr>
          <w:sz w:val="18"/>
          <w:szCs w:val="18"/>
        </w:rPr>
        <w:t>Exhibit 4 – CEC00307573, tie, "SDS Design Assurance – An Historical Overview".</w:t>
      </w:r>
    </w:p>
  </w:footnote>
  <w:footnote w:id="28">
    <w:p w14:paraId="7DE510E9" w14:textId="77777777" w:rsidR="00AF798B" w:rsidRDefault="00000000">
      <w:r>
        <w:rPr>
          <w:rStyle w:val="FootnoteReference"/>
        </w:rPr>
        <w:footnoteRef/>
      </w:r>
      <w:r>
        <w:rPr>
          <w:sz w:val="18"/>
          <w:szCs w:val="18"/>
        </w:rPr>
        <w:t>Exhibit 15 – BFB00095830, Parsons Brinckerhoff letter ULE90130-SW-LET-02239, "Post Novation Incentivisation – Application for Payment", 20 October 2010 (ref. INF CORR 5500/SC dated 7 July 2010).</w:t>
      </w:r>
    </w:p>
  </w:footnote>
  <w:footnote w:id="29">
    <w:p w14:paraId="57C6AA83" w14:textId="77777777" w:rsidR="00AF798B" w:rsidRDefault="00000000">
      <w:r>
        <w:rPr>
          <w:rStyle w:val="FootnoteReference"/>
        </w:rPr>
        <w:footnoteRef/>
      </w:r>
      <w:r>
        <w:rPr>
          <w:sz w:val="18"/>
          <w:szCs w:val="18"/>
        </w:rPr>
        <w:t>Exhibit 16 – CEC00203046, INF CORR 6073 SDS, 15 September 2010.</w:t>
      </w:r>
    </w:p>
  </w:footnote>
  <w:footnote w:id="30">
    <w:p w14:paraId="7B8844C5" w14:textId="77777777" w:rsidR="00AF798B" w:rsidRDefault="00000000">
      <w:r>
        <w:rPr>
          <w:rStyle w:val="FootnoteReference"/>
        </w:rPr>
        <w:footnoteRef/>
      </w:r>
      <w:r>
        <w:rPr>
          <w:sz w:val="18"/>
          <w:szCs w:val="18"/>
        </w:rPr>
        <w:t>Exhibit 17 – CEC02084521, tie Remediable Termination Notice in respect of BB/SDS Agreement and Responses thereto.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39307B"/>
    <w:multiLevelType w:val="hybridMultilevel"/>
    <w:tmpl w:val="2788D79C"/>
    <w:lvl w:ilvl="0" w:tplc="F362A754">
      <w:start w:val="1"/>
      <w:numFmt w:val="bullet"/>
      <w:lvlText w:val="●"/>
      <w:lvlJc w:val="left"/>
      <w:pPr>
        <w:ind w:left="720" w:hanging="360"/>
      </w:pPr>
    </w:lvl>
    <w:lvl w:ilvl="1" w:tplc="E688B6EC">
      <w:start w:val="1"/>
      <w:numFmt w:val="bullet"/>
      <w:lvlText w:val="○"/>
      <w:lvlJc w:val="left"/>
      <w:pPr>
        <w:ind w:left="1440" w:hanging="360"/>
      </w:pPr>
    </w:lvl>
    <w:lvl w:ilvl="2" w:tplc="F5D0C328">
      <w:start w:val="1"/>
      <w:numFmt w:val="bullet"/>
      <w:lvlText w:val="■"/>
      <w:lvlJc w:val="left"/>
      <w:pPr>
        <w:ind w:left="2160" w:hanging="360"/>
      </w:pPr>
    </w:lvl>
    <w:lvl w:ilvl="3" w:tplc="498A8252">
      <w:start w:val="1"/>
      <w:numFmt w:val="bullet"/>
      <w:lvlText w:val="●"/>
      <w:lvlJc w:val="left"/>
      <w:pPr>
        <w:ind w:left="2880" w:hanging="360"/>
      </w:pPr>
    </w:lvl>
    <w:lvl w:ilvl="4" w:tplc="1AACB2D6">
      <w:start w:val="1"/>
      <w:numFmt w:val="bullet"/>
      <w:lvlText w:val="○"/>
      <w:lvlJc w:val="left"/>
      <w:pPr>
        <w:ind w:left="3600" w:hanging="360"/>
      </w:pPr>
    </w:lvl>
    <w:lvl w:ilvl="5" w:tplc="4DB6A540">
      <w:start w:val="1"/>
      <w:numFmt w:val="bullet"/>
      <w:lvlText w:val="■"/>
      <w:lvlJc w:val="left"/>
      <w:pPr>
        <w:ind w:left="4320" w:hanging="360"/>
      </w:pPr>
    </w:lvl>
    <w:lvl w:ilvl="6" w:tplc="0F2A1AC6">
      <w:start w:val="1"/>
      <w:numFmt w:val="bullet"/>
      <w:lvlText w:val="●"/>
      <w:lvlJc w:val="left"/>
      <w:pPr>
        <w:ind w:left="5040" w:hanging="360"/>
      </w:pPr>
    </w:lvl>
    <w:lvl w:ilvl="7" w:tplc="6B483ED4">
      <w:start w:val="1"/>
      <w:numFmt w:val="bullet"/>
      <w:lvlText w:val="●"/>
      <w:lvlJc w:val="left"/>
      <w:pPr>
        <w:ind w:left="5760" w:hanging="360"/>
      </w:pPr>
    </w:lvl>
    <w:lvl w:ilvl="8" w:tplc="C63801DC">
      <w:start w:val="1"/>
      <w:numFmt w:val="bullet"/>
      <w:lvlText w:val="●"/>
      <w:lvlJc w:val="left"/>
      <w:pPr>
        <w:ind w:left="6480" w:hanging="360"/>
      </w:pPr>
    </w:lvl>
  </w:abstractNum>
  <w:num w:numId="1" w16cid:durableId="15801412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798B"/>
    <w:rsid w:val="001178EF"/>
    <w:rsid w:val="00300A1E"/>
    <w:rsid w:val="00867442"/>
    <w:rsid w:val="00AF798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3CB5129F"/>
  <w15:docId w15:val="{C0CA3751-89CF-4546-A0F5-4A2AD670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1100</Words>
  <Characters>6271</Characters>
  <Application>Microsoft Office Word</Application>
  <DocSecurity>0</DocSecurity>
  <Lines>52</Lines>
  <Paragraphs>14</Paragraphs>
  <ScaleCrop>false</ScaleCrop>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SDS Contract – Chronology of Events</dc:title>
  <dc:creator>Edinburgh Tram Network</dc:creator>
  <cp:lastModifiedBy>Ozan Altun</cp:lastModifiedBy>
  <cp:revision>2</cp:revision>
  <dcterms:created xsi:type="dcterms:W3CDTF">2026-07-26T15:08:00Z</dcterms:created>
  <dcterms:modified xsi:type="dcterms:W3CDTF">2026-07-26T15:08:00Z</dcterms:modified>
</cp:coreProperties>
</file>