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5951D4" w14:textId="77777777" w:rsidR="009459F2" w:rsidRDefault="00000000">
      <w:pPr>
        <w:spacing w:after="60"/>
        <w:jc w:val="center"/>
      </w:pPr>
      <w:r>
        <w:rPr>
          <w:b/>
          <w:bCs/>
          <w:sz w:val="26"/>
          <w:szCs w:val="26"/>
        </w:rPr>
        <w:t>EDINBURGH TRAM NETWORK</w:t>
      </w:r>
    </w:p>
    <w:p w14:paraId="28A4EC63" w14:textId="77777777" w:rsidR="009459F2" w:rsidRDefault="00000000">
      <w:pPr>
        <w:spacing w:after="240"/>
        <w:jc w:val="center"/>
      </w:pPr>
      <w:r>
        <w:rPr>
          <w:i/>
          <w:iCs/>
        </w:rPr>
        <w:t>Delay and Prolongation – Chronology of Events</w:t>
      </w:r>
    </w:p>
    <w:p w14:paraId="5A0D588C" w14:textId="77777777" w:rsidR="009459F2" w:rsidRDefault="00000000">
      <w:pPr>
        <w:spacing w:before="120" w:after="200"/>
      </w:pPr>
      <w:r>
        <w:rPr>
          <w:b/>
          <w:bCs/>
          <w:i/>
          <w:iCs/>
          <w:u w:val="single"/>
        </w:rPr>
        <w:t>02.  Mismanagement by Transport Initiatives Edinburgh (tie)</w:t>
      </w:r>
    </w:p>
    <w:p w14:paraId="4D0AD0BE" w14:textId="77777777" w:rsidR="009459F2" w:rsidRDefault="00000000">
      <w:pPr>
        <w:tabs>
          <w:tab w:val="left" w:pos="1080"/>
        </w:tabs>
        <w:spacing w:after="200" w:line="276" w:lineRule="auto"/>
        <w:ind w:left="1080" w:hanging="1080"/>
        <w:jc w:val="both"/>
      </w:pPr>
      <w:r>
        <w:t>6.2.1</w:t>
      </w:r>
      <w:r>
        <w:tab/>
        <w:t>Transport Initiatives Edinburgh Limited (</w:t>
      </w:r>
      <w:r>
        <w:rPr>
          <w:b/>
          <w:bCs/>
        </w:rPr>
        <w:t>tie</w:t>
      </w:r>
      <w:r>
        <w:t>) was the arm’s-length company established by the City of Edinburgh Council (</w:t>
      </w:r>
      <w:r>
        <w:rPr>
          <w:b/>
          <w:bCs/>
        </w:rPr>
        <w:t>CEC</w:t>
      </w:r>
      <w:r>
        <w:t>) to procure and deliver the Edinburgh Tram Network on the Council’s behalf. Delivery sat within a multi-layered governance structure comprising CEC as client, Transport Edinburgh Limited (TEL), the Tram Project Board (TPB) and the tie Board</w:t>
      </w:r>
      <w:r>
        <w:rPr>
          <w:rStyle w:val="FootnoteReference"/>
        </w:rPr>
        <w:footnoteReference w:id="1"/>
      </w:r>
      <w:r>
        <w:t>. The events set out below record the manner in which tie managed the project – in particular its governance and decision-making, its commercial and contract management, and its handling of the disputes with the Infraco contractor (BSC) – and the criticisms made of that management in successive external and internal reviews.</w:t>
      </w:r>
    </w:p>
    <w:p w14:paraId="32F6F9B7" w14:textId="77777777" w:rsidR="009459F2" w:rsidRDefault="00000000">
      <w:pPr>
        <w:tabs>
          <w:tab w:val="left" w:pos="1080"/>
        </w:tabs>
        <w:spacing w:after="200" w:line="276" w:lineRule="auto"/>
        <w:ind w:left="1080" w:hanging="1080"/>
        <w:jc w:val="both"/>
      </w:pPr>
      <w:r>
        <w:t>6.2.2</w:t>
      </w:r>
      <w:r>
        <w:tab/>
      </w:r>
      <w:r>
        <w:rPr>
          <w:b/>
          <w:bCs/>
        </w:rPr>
        <w:t xml:space="preserve">On 20 March 2006, </w:t>
      </w:r>
      <w:r>
        <w:t>the governance model for the project was summarised at TEL Board level, establishing the layered structure (CEC client / TEL / TPB / tie Board) within which delivery responsibility was to sit</w:t>
      </w:r>
      <w:r>
        <w:rPr>
          <w:rStyle w:val="FootnoteReference"/>
        </w:rPr>
        <w:footnoteReference w:id="2"/>
      </w:r>
      <w:r>
        <w:t>. The project governance structure was subsequently agreed in August 2006 and recorded at the TPB meeting of 25 September 2006</w:t>
      </w:r>
      <w:r>
        <w:rPr>
          <w:rStyle w:val="FootnoteReference"/>
        </w:rPr>
        <w:footnoteReference w:id="3"/>
      </w:r>
      <w:r>
        <w:t>.</w:t>
      </w:r>
    </w:p>
    <w:p w14:paraId="47D6C283" w14:textId="77777777" w:rsidR="009459F2" w:rsidRDefault="00000000">
      <w:pPr>
        <w:tabs>
          <w:tab w:val="left" w:pos="1080"/>
        </w:tabs>
        <w:spacing w:after="200" w:line="276" w:lineRule="auto"/>
        <w:ind w:left="1080" w:hanging="1080"/>
        <w:jc w:val="both"/>
      </w:pPr>
      <w:r>
        <w:t>6.2.3</w:t>
      </w:r>
      <w:r>
        <w:tab/>
      </w:r>
      <w:r>
        <w:rPr>
          <w:b/>
          <w:bCs/>
        </w:rPr>
        <w:t xml:space="preserve">In November 2006, </w:t>
      </w:r>
      <w:r>
        <w:t>tie presented the Project Estimate Board Paper, part of the cost-estimating process underpinning the business case on which the project proceeded</w:t>
      </w:r>
      <w:r>
        <w:rPr>
          <w:rStyle w:val="FootnoteReference"/>
        </w:rPr>
        <w:footnoteReference w:id="4"/>
      </w:r>
      <w:r>
        <w:t>. The governance model was subsequently endorsed in the 2007 Final Business Case</w:t>
      </w:r>
      <w:r>
        <w:rPr>
          <w:rStyle w:val="FootnoteReference"/>
        </w:rPr>
        <w:footnoteReference w:id="5"/>
      </w:r>
      <w:r>
        <w:t>.</w:t>
      </w:r>
    </w:p>
    <w:p w14:paraId="14F0FE0C" w14:textId="77777777" w:rsidR="009459F2" w:rsidRDefault="00000000">
      <w:pPr>
        <w:tabs>
          <w:tab w:val="left" w:pos="1080"/>
        </w:tabs>
        <w:spacing w:after="200" w:line="276" w:lineRule="auto"/>
        <w:ind w:left="1080" w:hanging="1080"/>
        <w:jc w:val="both"/>
      </w:pPr>
      <w:r>
        <w:t>6.2.4</w:t>
      </w:r>
      <w:r>
        <w:tab/>
      </w:r>
      <w:r>
        <w:rPr>
          <w:b/>
          <w:bCs/>
        </w:rPr>
        <w:t xml:space="preserve">In 2007, </w:t>
      </w:r>
      <w:r>
        <w:t>Audit Scotland conducted its Edinburgh Transport Projects Review, examining the arrangements for delivering the tram and related projects</w:t>
      </w:r>
      <w:r>
        <w:rPr>
          <w:rStyle w:val="FootnoteReference"/>
        </w:rPr>
        <w:footnoteReference w:id="6"/>
      </w:r>
      <w:r>
        <w:t>; tie prepared a formal response to Audit Scotland’s 2006/07 findings</w:t>
      </w:r>
      <w:r>
        <w:rPr>
          <w:rStyle w:val="FootnoteReference"/>
        </w:rPr>
        <w:footnoteReference w:id="7"/>
      </w:r>
      <w:r>
        <w:t>.</w:t>
      </w:r>
    </w:p>
    <w:p w14:paraId="7C4EDFC2" w14:textId="77777777" w:rsidR="009459F2" w:rsidRDefault="00000000">
      <w:pPr>
        <w:tabs>
          <w:tab w:val="left" w:pos="1080"/>
        </w:tabs>
        <w:spacing w:after="200" w:line="276" w:lineRule="auto"/>
        <w:ind w:left="1080" w:hanging="1080"/>
        <w:jc w:val="both"/>
      </w:pPr>
      <w:r>
        <w:t>6.2.5</w:t>
      </w:r>
      <w:r>
        <w:tab/>
      </w:r>
      <w:r>
        <w:rPr>
          <w:b/>
          <w:bCs/>
        </w:rPr>
        <w:t xml:space="preserve">On 27 August 2007, </w:t>
      </w:r>
      <w:r>
        <w:t>the tie Board met under the then executive chairman, the Board being responsible for contractual fulfilment of the project</w:t>
      </w:r>
      <w:r>
        <w:rPr>
          <w:rStyle w:val="FootnoteReference"/>
        </w:rPr>
        <w:footnoteReference w:id="8"/>
      </w:r>
      <w:r>
        <w:t>. Governance responsibility for delivery therefore rested squarely with tie in the period leading up to the award of the Infraco Contract.</w:t>
      </w:r>
    </w:p>
    <w:p w14:paraId="78EB07AA" w14:textId="77777777" w:rsidR="009459F2" w:rsidRDefault="00000000">
      <w:pPr>
        <w:tabs>
          <w:tab w:val="left" w:pos="1080"/>
        </w:tabs>
        <w:spacing w:after="200" w:line="276" w:lineRule="auto"/>
        <w:ind w:left="1080" w:hanging="1080"/>
        <w:jc w:val="both"/>
      </w:pPr>
      <w:r>
        <w:t>6.2.6</w:t>
      </w:r>
      <w:r>
        <w:tab/>
      </w:r>
      <w:r>
        <w:rPr>
          <w:b/>
          <w:bCs/>
        </w:rPr>
        <w:t xml:space="preserve">On 14 May 2008, </w:t>
      </w:r>
      <w:r>
        <w:t>tie entered into the Infraco Contract with the BSC consortium. As later recorded by tie’s internal auditors, contract signature took place before the design was complete, exposing the project to the change, dispute and cost pressures that dominated the following three years</w:t>
      </w:r>
      <w:r>
        <w:rPr>
          <w:rStyle w:val="FootnoteReference"/>
        </w:rPr>
        <w:footnoteReference w:id="9"/>
      </w:r>
      <w:r>
        <w:t>.</w:t>
      </w:r>
    </w:p>
    <w:p w14:paraId="6B91FE10" w14:textId="77777777" w:rsidR="009459F2" w:rsidRDefault="00000000">
      <w:pPr>
        <w:tabs>
          <w:tab w:val="left" w:pos="1080"/>
        </w:tabs>
        <w:spacing w:after="200" w:line="276" w:lineRule="auto"/>
        <w:ind w:left="1080" w:hanging="1080"/>
        <w:jc w:val="both"/>
      </w:pPr>
      <w:r>
        <w:lastRenderedPageBreak/>
        <w:t>6.2.7</w:t>
      </w:r>
      <w:r>
        <w:tab/>
      </w:r>
      <w:r>
        <w:rPr>
          <w:b/>
          <w:bCs/>
        </w:rPr>
        <w:t xml:space="preserve">On 4 June 2008, </w:t>
      </w:r>
      <w:r>
        <w:t>a “Lessons Learnt” paper prepared by tie’s advisers (Dundas &amp; Wilson) was circulated internally, acknowledging shortcomings in the Council’s relationship and experience with tie and identifying lessons for future project delivery</w:t>
      </w:r>
      <w:r>
        <w:rPr>
          <w:rStyle w:val="FootnoteReference"/>
        </w:rPr>
        <w:footnoteReference w:id="10"/>
      </w:r>
      <w:r>
        <w:t>.</w:t>
      </w:r>
    </w:p>
    <w:p w14:paraId="5ACCAF03" w14:textId="77777777" w:rsidR="009459F2" w:rsidRDefault="00000000">
      <w:pPr>
        <w:tabs>
          <w:tab w:val="left" w:pos="1080"/>
        </w:tabs>
        <w:spacing w:after="200" w:line="276" w:lineRule="auto"/>
        <w:ind w:left="1080" w:hanging="1080"/>
        <w:jc w:val="both"/>
      </w:pPr>
      <w:r>
        <w:t>6.2.8</w:t>
      </w:r>
      <w:r>
        <w:tab/>
      </w:r>
      <w:r>
        <w:rPr>
          <w:b/>
          <w:bCs/>
        </w:rPr>
        <w:t xml:space="preserve">On 18 October 2008, </w:t>
      </w:r>
      <w:r>
        <w:t>tie engaged Deloitte LLP to provide internal audit services, and on 23 October 2008 a Tram Governance Report (v1.0) was produced, reflecting continuing scrutiny of the project’s governance arrangements</w:t>
      </w:r>
      <w:r>
        <w:rPr>
          <w:rStyle w:val="FootnoteReference"/>
        </w:rPr>
        <w:footnoteReference w:id="11"/>
      </w:r>
      <w:r>
        <w:rPr>
          <w:rStyle w:val="FootnoteReference"/>
        </w:rPr>
        <w:footnoteReference w:id="12"/>
      </w:r>
      <w:r>
        <w:t>.</w:t>
      </w:r>
    </w:p>
    <w:p w14:paraId="7962E206" w14:textId="77777777" w:rsidR="009459F2" w:rsidRDefault="00000000">
      <w:pPr>
        <w:tabs>
          <w:tab w:val="left" w:pos="1080"/>
        </w:tabs>
        <w:spacing w:after="200" w:line="276" w:lineRule="auto"/>
        <w:ind w:left="1080" w:hanging="1080"/>
        <w:jc w:val="both"/>
      </w:pPr>
      <w:r>
        <w:t>6.2.9</w:t>
      </w:r>
      <w:r>
        <w:tab/>
      </w:r>
      <w:r>
        <w:rPr>
          <w:b/>
          <w:bCs/>
        </w:rPr>
        <w:t xml:space="preserve">In December 2008 and January 2009, </w:t>
      </w:r>
      <w:r>
        <w:t>the TPB considered a series of options for restructuring the governance and corporate model, acknowledging that the existing multi-layered structure was an inheritance and considering how it might be streamlined</w:t>
      </w:r>
      <w:r>
        <w:rPr>
          <w:rStyle w:val="FootnoteReference"/>
        </w:rPr>
        <w:footnoteReference w:id="13"/>
      </w:r>
      <w:r>
        <w:rPr>
          <w:rStyle w:val="FootnoteReference"/>
        </w:rPr>
        <w:footnoteReference w:id="14"/>
      </w:r>
      <w:r>
        <w:t>.</w:t>
      </w:r>
    </w:p>
    <w:p w14:paraId="6185FB83" w14:textId="77777777" w:rsidR="009459F2" w:rsidRDefault="00000000">
      <w:pPr>
        <w:tabs>
          <w:tab w:val="left" w:pos="1080"/>
        </w:tabs>
        <w:spacing w:after="200" w:line="276" w:lineRule="auto"/>
        <w:ind w:left="1080" w:hanging="1080"/>
        <w:jc w:val="both"/>
      </w:pPr>
      <w:r>
        <w:t>6.2.10</w:t>
      </w:r>
      <w:r>
        <w:tab/>
      </w:r>
      <w:r>
        <w:rPr>
          <w:b/>
          <w:bCs/>
        </w:rPr>
        <w:t xml:space="preserve">From late 2009, </w:t>
      </w:r>
      <w:r>
        <w:t>tie’s management of the Infraco Contract produced a succession of formal disputes referred to adjudication under the Dispute Resolution Procedure, a number of which did not resolve in tie’s favour:</w:t>
      </w:r>
    </w:p>
    <w:p w14:paraId="6C0EA9AD" w14:textId="77777777" w:rsidR="009459F2" w:rsidRDefault="00000000">
      <w:pPr>
        <w:tabs>
          <w:tab w:val="left" w:pos="1800"/>
        </w:tabs>
        <w:spacing w:after="160" w:line="276" w:lineRule="auto"/>
        <w:ind w:left="1800" w:hanging="540"/>
        <w:jc w:val="both"/>
      </w:pPr>
      <w:r>
        <w:t>i)</w:t>
      </w:r>
      <w:r>
        <w:tab/>
      </w:r>
      <w:r>
        <w:rPr>
          <w:b/>
          <w:bCs/>
        </w:rPr>
        <w:t xml:space="preserve">Hilton Hotel Car Park Works: </w:t>
      </w:r>
      <w:r>
        <w:t>adjudication decision dated 15 October 2009 (Robert B M Howie QC)</w:t>
      </w:r>
      <w:r>
        <w:rPr>
          <w:rStyle w:val="FootnoteReference"/>
        </w:rPr>
        <w:footnoteReference w:id="15"/>
      </w:r>
      <w:r>
        <w:t>.</w:t>
      </w:r>
    </w:p>
    <w:p w14:paraId="099050EE" w14:textId="77777777" w:rsidR="009459F2" w:rsidRDefault="00000000">
      <w:pPr>
        <w:tabs>
          <w:tab w:val="left" w:pos="1800"/>
        </w:tabs>
        <w:spacing w:after="160" w:line="276" w:lineRule="auto"/>
        <w:ind w:left="1800" w:hanging="540"/>
        <w:jc w:val="both"/>
      </w:pPr>
      <w:r>
        <w:t>ii)</w:t>
      </w:r>
      <w:r>
        <w:tab/>
      </w:r>
      <w:r>
        <w:rPr>
          <w:b/>
          <w:bCs/>
        </w:rPr>
        <w:t xml:space="preserve">Russell Road Retaining Wall Two: </w:t>
      </w:r>
      <w:r>
        <w:t>adjudication decision on changes dated 4 January 2010</w:t>
      </w:r>
      <w:r>
        <w:rPr>
          <w:rStyle w:val="FootnoteReference"/>
        </w:rPr>
        <w:footnoteReference w:id="16"/>
      </w:r>
      <w:r>
        <w:t>.</w:t>
      </w:r>
    </w:p>
    <w:p w14:paraId="007D7057" w14:textId="77777777" w:rsidR="009459F2" w:rsidRDefault="00000000">
      <w:pPr>
        <w:tabs>
          <w:tab w:val="left" w:pos="1800"/>
        </w:tabs>
        <w:spacing w:after="160" w:line="276" w:lineRule="auto"/>
        <w:ind w:left="1800" w:hanging="540"/>
        <w:jc w:val="both"/>
      </w:pPr>
      <w:r>
        <w:t>iii)</w:t>
      </w:r>
      <w:r>
        <w:tab/>
      </w:r>
      <w:r>
        <w:rPr>
          <w:b/>
          <w:bCs/>
        </w:rPr>
        <w:t xml:space="preserve">Incomplete MUDFA Works: </w:t>
      </w:r>
      <w:r>
        <w:t>adjudication decision on delays resulting from incomplete MUDFA (utilities) works dated 4 June 2010 (Robert B M Howie QC)</w:t>
      </w:r>
      <w:r>
        <w:rPr>
          <w:rStyle w:val="FootnoteReference"/>
        </w:rPr>
        <w:footnoteReference w:id="17"/>
      </w:r>
      <w:r>
        <w:t>.</w:t>
      </w:r>
    </w:p>
    <w:p w14:paraId="674B5DB8" w14:textId="77777777" w:rsidR="009459F2" w:rsidRDefault="00000000">
      <w:pPr>
        <w:tabs>
          <w:tab w:val="left" w:pos="1080"/>
        </w:tabs>
        <w:spacing w:after="200" w:line="276" w:lineRule="auto"/>
        <w:ind w:left="1080" w:hanging="1080"/>
        <w:jc w:val="both"/>
      </w:pPr>
      <w:r>
        <w:t>6.2.11</w:t>
      </w:r>
      <w:r>
        <w:tab/>
      </w:r>
      <w:r>
        <w:rPr>
          <w:b/>
          <w:bCs/>
        </w:rPr>
        <w:t xml:space="preserve">On 16 December 2009, </w:t>
      </w:r>
      <w:r>
        <w:t>the tie Board met to consider, among other matters, the state of the adjudications and the wider dispute with the contractor, by which time the project was materially over programme and budget</w:t>
      </w:r>
      <w:r>
        <w:rPr>
          <w:rStyle w:val="FootnoteReference"/>
        </w:rPr>
        <w:footnoteReference w:id="18"/>
      </w:r>
      <w:r>
        <w:t>. Audit Scotland’s report on the 2008/09 CEC audit had already drawn attention to the tram project’s financial position</w:t>
      </w:r>
      <w:r>
        <w:rPr>
          <w:rStyle w:val="FootnoteReference"/>
        </w:rPr>
        <w:footnoteReference w:id="19"/>
      </w:r>
      <w:r>
        <w:t>.</w:t>
      </w:r>
    </w:p>
    <w:p w14:paraId="51574AD0" w14:textId="77777777" w:rsidR="009459F2" w:rsidRDefault="00000000">
      <w:pPr>
        <w:tabs>
          <w:tab w:val="left" w:pos="1080"/>
        </w:tabs>
        <w:spacing w:after="200" w:line="276" w:lineRule="auto"/>
        <w:ind w:left="1080" w:hanging="1080"/>
        <w:jc w:val="both"/>
      </w:pPr>
      <w:r>
        <w:t>6.2.12</w:t>
      </w:r>
      <w:r>
        <w:tab/>
      </w:r>
      <w:r>
        <w:rPr>
          <w:b/>
          <w:bCs/>
        </w:rPr>
        <w:t xml:space="preserve">On 10 March 2010, </w:t>
      </w:r>
      <w:r>
        <w:t xml:space="preserve">the TPB approved “Project Pitchfork”, whose primary objective was to achieve price and programme certainty with BSC through a “twin-track” approach. tie’s internal auditors subsequently found that the primary objectives of Project Pitchfork were </w:t>
      </w:r>
      <w:r>
        <w:lastRenderedPageBreak/>
        <w:t>not achieved and that the original programme to reach agreement with BSC by July 2010 was not met</w:t>
      </w:r>
      <w:r>
        <w:rPr>
          <w:rStyle w:val="FootnoteReference"/>
        </w:rPr>
        <w:footnoteReference w:id="20"/>
      </w:r>
      <w:r>
        <w:t>.</w:t>
      </w:r>
    </w:p>
    <w:p w14:paraId="1CDDF33E" w14:textId="77777777" w:rsidR="009459F2" w:rsidRDefault="00000000">
      <w:pPr>
        <w:tabs>
          <w:tab w:val="left" w:pos="1080"/>
        </w:tabs>
        <w:spacing w:after="200" w:line="276" w:lineRule="auto"/>
        <w:ind w:left="1080" w:hanging="1080"/>
        <w:jc w:val="both"/>
      </w:pPr>
      <w:r>
        <w:t>6.2.13</w:t>
      </w:r>
      <w:r>
        <w:tab/>
      </w:r>
      <w:r>
        <w:rPr>
          <w:b/>
          <w:bCs/>
        </w:rPr>
        <w:t xml:space="preserve">In June–July 2010, </w:t>
      </w:r>
      <w:r>
        <w:t>tie pursued a Remediable Termination Notice (RTN) strategy: Senior Queen’s Counsel was instructed on 22 June 2010 and Richard Keen QC was consulted on 8 July 2010 on the issue of Underperformance Warning Notices under the Infraco Contract</w:t>
      </w:r>
      <w:r>
        <w:rPr>
          <w:rStyle w:val="FootnoteReference"/>
        </w:rPr>
        <w:footnoteReference w:id="21"/>
      </w:r>
      <w:r>
        <w:t>. Deloitte later recorded that further legal advice suggested the format of the notices could leave the validity of any termination open to challenge, such that tie had “expended significant resource and may not be in a position to terminate the Infraco Contract”</w:t>
      </w:r>
      <w:r>
        <w:rPr>
          <w:rStyle w:val="FootnoteReference"/>
        </w:rPr>
        <w:footnoteReference w:id="22"/>
      </w:r>
      <w:r>
        <w:t>.</w:t>
      </w:r>
    </w:p>
    <w:p w14:paraId="09C957A9" w14:textId="77777777" w:rsidR="009459F2" w:rsidRDefault="00000000">
      <w:pPr>
        <w:tabs>
          <w:tab w:val="left" w:pos="1080"/>
        </w:tabs>
        <w:spacing w:after="200" w:line="276" w:lineRule="auto"/>
        <w:ind w:left="1080" w:hanging="1080"/>
        <w:jc w:val="both"/>
      </w:pPr>
      <w:r>
        <w:t>6.2.14</w:t>
      </w:r>
      <w:r>
        <w:tab/>
      </w:r>
      <w:r>
        <w:rPr>
          <w:b/>
          <w:bCs/>
        </w:rPr>
        <w:t xml:space="preserve">Between June and December 2010, </w:t>
      </w:r>
      <w:r>
        <w:t>the Project Pitchfork report was presented to the Audit Committee on 30 June 2010 and finalised on 16 August 2010; the review was then extended into the “Project Resolution” report issued during December 2010</w:t>
      </w:r>
      <w:r>
        <w:rPr>
          <w:rStyle w:val="FootnoteReference"/>
        </w:rPr>
        <w:footnoteReference w:id="23"/>
      </w:r>
      <w:r>
        <w:t>. Audit Scotland’s report on the 2009/10 CEC audit was issued in October 2010</w:t>
      </w:r>
      <w:r>
        <w:rPr>
          <w:rStyle w:val="FootnoteReference"/>
        </w:rPr>
        <w:footnoteReference w:id="24"/>
      </w:r>
      <w:r>
        <w:t>.</w:t>
      </w:r>
    </w:p>
    <w:p w14:paraId="0C34A279" w14:textId="77777777" w:rsidR="009459F2" w:rsidRDefault="00000000">
      <w:pPr>
        <w:tabs>
          <w:tab w:val="left" w:pos="1080"/>
        </w:tabs>
        <w:spacing w:after="200" w:line="276" w:lineRule="auto"/>
        <w:ind w:left="1080" w:hanging="1080"/>
        <w:jc w:val="both"/>
      </w:pPr>
      <w:r>
        <w:t>6.2.15</w:t>
      </w:r>
      <w:r>
        <w:tab/>
      </w:r>
      <w:r>
        <w:rPr>
          <w:b/>
          <w:bCs/>
        </w:rPr>
        <w:t xml:space="preserve">In February 2011, </w:t>
      </w:r>
      <w:r>
        <w:t>an Audit Scotland report identified the need for CEC to consider reviewing the project’s governance arrangements. tie’s internal auditors separately identified governance risks, noting that the final decision to submit the mediation papers was taken by CEC rather than the TPB, and that tie’s events log was inconsistent, with not all TPB meetings recorded</w:t>
      </w:r>
      <w:r>
        <w:rPr>
          <w:rStyle w:val="FootnoteReference"/>
        </w:rPr>
        <w:footnoteReference w:id="25"/>
      </w:r>
      <w:r>
        <w:t>.</w:t>
      </w:r>
    </w:p>
    <w:p w14:paraId="5A49B8A6" w14:textId="77777777" w:rsidR="009459F2" w:rsidRDefault="00000000">
      <w:pPr>
        <w:tabs>
          <w:tab w:val="left" w:pos="1080"/>
        </w:tabs>
        <w:spacing w:after="200" w:line="276" w:lineRule="auto"/>
        <w:ind w:left="1080" w:hanging="1080"/>
        <w:jc w:val="both"/>
      </w:pPr>
      <w:r>
        <w:t>6.2.16</w:t>
      </w:r>
      <w:r>
        <w:tab/>
      </w:r>
      <w:r>
        <w:rPr>
          <w:b/>
          <w:bCs/>
        </w:rPr>
        <w:t xml:space="preserve">On 3 March 2011, </w:t>
      </w:r>
      <w:r>
        <w:t>a further adjudication decision on the Payment of Preliminaries was issued (Lord Dervaird)</w:t>
      </w:r>
      <w:r>
        <w:rPr>
          <w:rStyle w:val="FootnoteReference"/>
        </w:rPr>
        <w:footnoteReference w:id="26"/>
      </w:r>
      <w:r>
        <w:t>. Later that month the parties entered mediation; as at 7 March 2011, price and programme certainty had still not been achieved and the dispute with BSC remained unresolved</w:t>
      </w:r>
      <w:r>
        <w:rPr>
          <w:rStyle w:val="FootnoteReference"/>
        </w:rPr>
        <w:footnoteReference w:id="27"/>
      </w:r>
      <w:r>
        <w:t>.</w:t>
      </w:r>
    </w:p>
    <w:p w14:paraId="593D9716" w14:textId="77777777" w:rsidR="009459F2" w:rsidRDefault="00000000">
      <w:pPr>
        <w:tabs>
          <w:tab w:val="left" w:pos="1080"/>
        </w:tabs>
        <w:spacing w:after="200" w:line="276" w:lineRule="auto"/>
        <w:ind w:left="1080" w:hanging="1080"/>
        <w:jc w:val="both"/>
      </w:pPr>
      <w:r>
        <w:t>6.2.17</w:t>
      </w:r>
      <w:r>
        <w:tab/>
      </w:r>
      <w:r>
        <w:rPr>
          <w:b/>
          <w:bCs/>
        </w:rPr>
        <w:t xml:space="preserve">In June 2011, </w:t>
      </w:r>
      <w:r>
        <w:t>Deloitte issued its Review of the Commercial Strategy (March 2010 to March 2011). While recognising the volume of work undertaken by tie, the review recorded that the primary objectives had not been met, that the RTN/UWN approach carried validity risks, that documentation and the events log were inconsistent, and that governance risks had materialised in the decision-making leading up to mediation</w:t>
      </w:r>
      <w:r>
        <w:rPr>
          <w:rStyle w:val="FootnoteReference"/>
        </w:rPr>
        <w:footnoteReference w:id="28"/>
      </w:r>
      <w:r>
        <w:t xml:space="preserve">. These findings, taken </w:t>
      </w:r>
      <w:r>
        <w:lastRenderedPageBreak/>
        <w:t>together with the successive adjudication outcomes and external audit commentary, evidence the mismanagement of the project by tie over the relevant period.</w:t>
      </w:r>
    </w:p>
    <w:sectPr w:rsidR="009459F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E3355DD" w14:textId="77777777" w:rsidR="00C6509B" w:rsidRDefault="00C6509B">
      <w:r>
        <w:separator/>
      </w:r>
    </w:p>
  </w:endnote>
  <w:endnote w:type="continuationSeparator" w:id="0">
    <w:p w14:paraId="3A54D0BB" w14:textId="77777777" w:rsidR="00C6509B" w:rsidRDefault="00C650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3D124C7" w14:textId="77777777" w:rsidR="00C6509B" w:rsidRDefault="00C6509B">
      <w:r>
        <w:separator/>
      </w:r>
    </w:p>
  </w:footnote>
  <w:footnote w:type="continuationSeparator" w:id="0">
    <w:p w14:paraId="1C380B56" w14:textId="77777777" w:rsidR="00C6509B" w:rsidRDefault="00C6509B">
      <w:r>
        <w:continuationSeparator/>
      </w:r>
    </w:p>
  </w:footnote>
  <w:footnote w:id="1">
    <w:p w14:paraId="6AF0D8A3" w14:textId="77777777" w:rsidR="009459F2" w:rsidRDefault="00000000">
      <w:r>
        <w:rPr>
          <w:rStyle w:val="FootnoteReference"/>
        </w:rPr>
        <w:footnoteRef/>
      </w:r>
      <w:r>
        <w:rPr>
          <w:sz w:val="18"/>
          <w:szCs w:val="18"/>
        </w:rPr>
        <w:t>Exhibit 1 – CEC01857993, TEL Board – Governance Summary, 20 March 2006.</w:t>
      </w:r>
    </w:p>
  </w:footnote>
  <w:footnote w:id="2">
    <w:p w14:paraId="34B3CC18" w14:textId="77777777" w:rsidR="009459F2" w:rsidRDefault="00000000">
      <w:r>
        <w:rPr>
          <w:rStyle w:val="FootnoteReference"/>
        </w:rPr>
        <w:footnoteRef/>
      </w:r>
      <w:r>
        <w:rPr>
          <w:sz w:val="18"/>
          <w:szCs w:val="18"/>
        </w:rPr>
        <w:t>Exhibit 1 – CEC01857993, TEL Board – Governance Summary, 20 March 2006.</w:t>
      </w:r>
    </w:p>
  </w:footnote>
  <w:footnote w:id="3">
    <w:p w14:paraId="70A97754" w14:textId="77777777" w:rsidR="009459F2" w:rsidRDefault="00000000">
      <w:r>
        <w:rPr>
          <w:rStyle w:val="FootnoteReference"/>
        </w:rPr>
        <w:footnoteRef/>
      </w:r>
      <w:r>
        <w:rPr>
          <w:sz w:val="18"/>
          <w:szCs w:val="18"/>
        </w:rPr>
        <w:t>Exhibit 2 – TIE00000906, TPB Paper – Project Governance (agreed structure, August 2006), meeting 25 September 2006.</w:t>
      </w:r>
    </w:p>
  </w:footnote>
  <w:footnote w:id="4">
    <w:p w14:paraId="3053BDB7" w14:textId="77777777" w:rsidR="009459F2" w:rsidRDefault="00000000">
      <w:r>
        <w:rPr>
          <w:rStyle w:val="FootnoteReference"/>
        </w:rPr>
        <w:footnoteRef/>
      </w:r>
      <w:r>
        <w:rPr>
          <w:sz w:val="18"/>
          <w:szCs w:val="18"/>
        </w:rPr>
        <w:t>Exhibit 3 – CEC01797269, Project Estimate Board Paper, November 2006.</w:t>
      </w:r>
    </w:p>
  </w:footnote>
  <w:footnote w:id="5">
    <w:p w14:paraId="17A1D40C" w14:textId="77777777" w:rsidR="009459F2" w:rsidRDefault="00000000">
      <w:r>
        <w:rPr>
          <w:rStyle w:val="FootnoteReference"/>
        </w:rPr>
        <w:footnoteRef/>
      </w:r>
      <w:r>
        <w:rPr>
          <w:sz w:val="18"/>
          <w:szCs w:val="18"/>
        </w:rPr>
        <w:t>Exhibit 4 – CEC00040051, "Edinburgh Tram Project – Governance and Corporate Model Restructuring Options", TPB paper (22 January 2009), recording the governance model approved in the 2007 Final Business Case.</w:t>
      </w:r>
    </w:p>
  </w:footnote>
  <w:footnote w:id="6">
    <w:p w14:paraId="36509D89" w14:textId="77777777" w:rsidR="009459F2" w:rsidRDefault="00000000">
      <w:r>
        <w:rPr>
          <w:rStyle w:val="FootnoteReference"/>
        </w:rPr>
        <w:footnoteRef/>
      </w:r>
      <w:r>
        <w:rPr>
          <w:sz w:val="18"/>
          <w:szCs w:val="18"/>
        </w:rPr>
        <w:t>Exhibit 5 – CEC00785541, Audit Scotland, "Edinburgh Transport Projects Review", 2007.</w:t>
      </w:r>
    </w:p>
  </w:footnote>
  <w:footnote w:id="7">
    <w:p w14:paraId="4DB86E0E" w14:textId="77777777" w:rsidR="009459F2" w:rsidRDefault="00000000">
      <w:r>
        <w:rPr>
          <w:rStyle w:val="FootnoteReference"/>
        </w:rPr>
        <w:footnoteRef/>
      </w:r>
      <w:r>
        <w:rPr>
          <w:sz w:val="18"/>
          <w:szCs w:val="18"/>
        </w:rPr>
        <w:t>Exhibit 6 – CEC01607202, tie response to Audit Scotland Report 2006/07.</w:t>
      </w:r>
    </w:p>
  </w:footnote>
  <w:footnote w:id="8">
    <w:p w14:paraId="3762EE65" w14:textId="77777777" w:rsidR="009459F2" w:rsidRDefault="00000000">
      <w:r>
        <w:rPr>
          <w:rStyle w:val="FootnoteReference"/>
        </w:rPr>
        <w:footnoteRef/>
      </w:r>
      <w:r>
        <w:rPr>
          <w:sz w:val="18"/>
          <w:szCs w:val="18"/>
        </w:rPr>
        <w:t>Exhibit 7 – CEC01271486, Minutes of tie Board Meeting, 27 August 2007.</w:t>
      </w:r>
    </w:p>
  </w:footnote>
  <w:footnote w:id="9">
    <w:p w14:paraId="69607454"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10">
    <w:p w14:paraId="345B99FA" w14:textId="77777777" w:rsidR="009459F2" w:rsidRDefault="00000000">
      <w:r>
        <w:rPr>
          <w:rStyle w:val="FootnoteReference"/>
        </w:rPr>
        <w:footnoteRef/>
      </w:r>
      <w:r>
        <w:rPr>
          <w:sz w:val="18"/>
          <w:szCs w:val="18"/>
        </w:rPr>
        <w:t>Exhibit 9 – CEC01247981, e-mail C. MacKenzie re "Lessons Learnt paper" (Dundas &amp; Wilson), 4 June 2008.</w:t>
      </w:r>
    </w:p>
  </w:footnote>
  <w:footnote w:id="11">
    <w:p w14:paraId="392ECF08"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12">
    <w:p w14:paraId="53C93D1F" w14:textId="77777777" w:rsidR="009459F2" w:rsidRDefault="00000000">
      <w:r>
        <w:rPr>
          <w:rStyle w:val="FootnoteReference"/>
        </w:rPr>
        <w:footnoteRef/>
      </w:r>
      <w:r>
        <w:rPr>
          <w:sz w:val="18"/>
          <w:szCs w:val="18"/>
        </w:rPr>
        <w:t>Exhibit 10 – CEC01053689, "Tram Governance Report" v1.0, 23 October 2008.</w:t>
      </w:r>
    </w:p>
  </w:footnote>
  <w:footnote w:id="13">
    <w:p w14:paraId="6A3AB895" w14:textId="77777777" w:rsidR="009459F2" w:rsidRDefault="00000000">
      <w:r>
        <w:rPr>
          <w:rStyle w:val="FootnoteReference"/>
        </w:rPr>
        <w:footnoteRef/>
      </w:r>
      <w:r>
        <w:rPr>
          <w:sz w:val="18"/>
          <w:szCs w:val="18"/>
        </w:rPr>
        <w:t>Exhibit 4 – CEC00040051, "Edinburgh Tram Project – Governance and Corporate Model Restructuring Options", TPB paper (22 January 2009), recording the governance model approved in the 2007 Final Business Case.</w:t>
      </w:r>
    </w:p>
  </w:footnote>
  <w:footnote w:id="14">
    <w:p w14:paraId="69C822AA" w14:textId="77777777" w:rsidR="009459F2" w:rsidRDefault="00000000">
      <w:r>
        <w:rPr>
          <w:rStyle w:val="FootnoteReference"/>
        </w:rPr>
        <w:footnoteRef/>
      </w:r>
      <w:r>
        <w:rPr>
          <w:sz w:val="18"/>
          <w:szCs w:val="18"/>
        </w:rPr>
        <w:t>Exhibit 11 – CEC01050506, TPB Paper – Governance and Corporate Model restructuring options, meeting 22 January 2009.</w:t>
      </w:r>
    </w:p>
  </w:footnote>
  <w:footnote w:id="15">
    <w:p w14:paraId="3DE6BB3C" w14:textId="77777777" w:rsidR="009459F2" w:rsidRDefault="00000000">
      <w:r>
        <w:rPr>
          <w:rStyle w:val="FootnoteReference"/>
        </w:rPr>
        <w:footnoteRef/>
      </w:r>
      <w:r>
        <w:rPr>
          <w:sz w:val="18"/>
          <w:szCs w:val="18"/>
        </w:rPr>
        <w:t>Exhibit 13 – BFB00053325, Adjudication Decision – Hilton Hotel Car Park Works, 15 October 2009 (Robert B M Howie QC, Adjudicator).</w:t>
      </w:r>
    </w:p>
  </w:footnote>
  <w:footnote w:id="16">
    <w:p w14:paraId="57A9C0B7" w14:textId="77777777" w:rsidR="009459F2" w:rsidRDefault="00000000">
      <w:r>
        <w:rPr>
          <w:rStyle w:val="FootnoteReference"/>
        </w:rPr>
        <w:footnoteRef/>
      </w:r>
      <w:r>
        <w:rPr>
          <w:sz w:val="18"/>
          <w:szCs w:val="18"/>
        </w:rPr>
        <w:t>Exhibit 15 – CEC00034842, Adjudication Decision – Changes to Russell Road Retaining Wall Two, 4 January 2010.</w:t>
      </w:r>
    </w:p>
  </w:footnote>
  <w:footnote w:id="17">
    <w:p w14:paraId="2653171B" w14:textId="77777777" w:rsidR="009459F2" w:rsidRDefault="00000000">
      <w:r>
        <w:rPr>
          <w:rStyle w:val="FootnoteReference"/>
        </w:rPr>
        <w:footnoteRef/>
      </w:r>
      <w:r>
        <w:rPr>
          <w:sz w:val="18"/>
          <w:szCs w:val="18"/>
        </w:rPr>
        <w:t>Exhibit 16 – CEC00375600, Adjudication Decision – Delays resulting from incomplete MUDFA Works, 4 June 2010 (Robert B M Howie QC, Adjudicator).</w:t>
      </w:r>
    </w:p>
  </w:footnote>
  <w:footnote w:id="18">
    <w:p w14:paraId="5CAA2C7E" w14:textId="77777777" w:rsidR="009459F2" w:rsidRDefault="00000000">
      <w:r>
        <w:rPr>
          <w:rStyle w:val="FootnoteReference"/>
        </w:rPr>
        <w:footnoteRef/>
      </w:r>
      <w:r>
        <w:rPr>
          <w:sz w:val="18"/>
          <w:szCs w:val="18"/>
        </w:rPr>
        <w:t>Exhibit 14 – CEC00531325, Minutes of tie Board Meeting, 16 December 2009.</w:t>
      </w:r>
    </w:p>
  </w:footnote>
  <w:footnote w:id="19">
    <w:p w14:paraId="0779B4C5" w14:textId="77777777" w:rsidR="009459F2" w:rsidRDefault="00000000">
      <w:r>
        <w:rPr>
          <w:rStyle w:val="FootnoteReference"/>
        </w:rPr>
        <w:footnoteRef/>
      </w:r>
      <w:r>
        <w:rPr>
          <w:sz w:val="18"/>
          <w:szCs w:val="18"/>
        </w:rPr>
        <w:t>Exhibit 12 – ADS00048, Audit Scotland, "CEC – Report to Members and the Controller of Audit on the 2008/09 Audit", October 2009.</w:t>
      </w:r>
    </w:p>
  </w:footnote>
  <w:footnote w:id="20">
    <w:p w14:paraId="6318989F"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21">
    <w:p w14:paraId="41A3E84C"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22">
    <w:p w14:paraId="481391F6"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23">
    <w:p w14:paraId="31D368DA"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24">
    <w:p w14:paraId="166A4EE9" w14:textId="77777777" w:rsidR="009459F2" w:rsidRDefault="00000000">
      <w:r>
        <w:rPr>
          <w:rStyle w:val="FootnoteReference"/>
        </w:rPr>
        <w:footnoteRef/>
      </w:r>
      <w:r>
        <w:rPr>
          <w:sz w:val="18"/>
          <w:szCs w:val="18"/>
        </w:rPr>
        <w:t>Exhibit 17 – ADS00049, Audit Scotland, "CEC – Report to Members and the Controller of Audit on the 2009/10 Audit", October 2010.</w:t>
      </w:r>
    </w:p>
  </w:footnote>
  <w:footnote w:id="25">
    <w:p w14:paraId="076200B6"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26">
    <w:p w14:paraId="55C20535" w14:textId="77777777" w:rsidR="009459F2" w:rsidRDefault="00000000">
      <w:r>
        <w:rPr>
          <w:rStyle w:val="FootnoteReference"/>
        </w:rPr>
        <w:footnoteRef/>
      </w:r>
      <w:r>
        <w:rPr>
          <w:sz w:val="18"/>
          <w:szCs w:val="18"/>
        </w:rPr>
        <w:t>Exhibit 18 – BFB00053489, Adjudication Decision – Payment of Preliminaries, 3 March 2011 (Lord Dervaird, Adjudicator).</w:t>
      </w:r>
    </w:p>
  </w:footnote>
  <w:footnote w:id="27">
    <w:p w14:paraId="0F4E99D9"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 w:id="28">
    <w:p w14:paraId="5570DA45" w14:textId="77777777" w:rsidR="009459F2" w:rsidRDefault="00000000">
      <w:r>
        <w:rPr>
          <w:rStyle w:val="FootnoteReference"/>
        </w:rPr>
        <w:footnoteRef/>
      </w:r>
      <w:r>
        <w:rPr>
          <w:sz w:val="18"/>
          <w:szCs w:val="18"/>
        </w:rPr>
        <w:t>Exhibit 8 – CEC02086351, Deloitte LLP, "Internal Audit Project: Review of the Commercial Strategy – March 2010 to March 2011", June 2011.</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14636E7"/>
    <w:multiLevelType w:val="hybridMultilevel"/>
    <w:tmpl w:val="05DAF2EA"/>
    <w:lvl w:ilvl="0" w:tplc="B05E9F6C">
      <w:start w:val="1"/>
      <w:numFmt w:val="bullet"/>
      <w:lvlText w:val="●"/>
      <w:lvlJc w:val="left"/>
      <w:pPr>
        <w:ind w:left="720" w:hanging="360"/>
      </w:pPr>
    </w:lvl>
    <w:lvl w:ilvl="1" w:tplc="A3C07060">
      <w:start w:val="1"/>
      <w:numFmt w:val="bullet"/>
      <w:lvlText w:val="○"/>
      <w:lvlJc w:val="left"/>
      <w:pPr>
        <w:ind w:left="1440" w:hanging="360"/>
      </w:pPr>
    </w:lvl>
    <w:lvl w:ilvl="2" w:tplc="99F847E0">
      <w:start w:val="1"/>
      <w:numFmt w:val="bullet"/>
      <w:lvlText w:val="■"/>
      <w:lvlJc w:val="left"/>
      <w:pPr>
        <w:ind w:left="2160" w:hanging="360"/>
      </w:pPr>
    </w:lvl>
    <w:lvl w:ilvl="3" w:tplc="B7A48376">
      <w:start w:val="1"/>
      <w:numFmt w:val="bullet"/>
      <w:lvlText w:val="●"/>
      <w:lvlJc w:val="left"/>
      <w:pPr>
        <w:ind w:left="2880" w:hanging="360"/>
      </w:pPr>
    </w:lvl>
    <w:lvl w:ilvl="4" w:tplc="A3884B20">
      <w:start w:val="1"/>
      <w:numFmt w:val="bullet"/>
      <w:lvlText w:val="○"/>
      <w:lvlJc w:val="left"/>
      <w:pPr>
        <w:ind w:left="3600" w:hanging="360"/>
      </w:pPr>
    </w:lvl>
    <w:lvl w:ilvl="5" w:tplc="8CFE85CA">
      <w:start w:val="1"/>
      <w:numFmt w:val="bullet"/>
      <w:lvlText w:val="■"/>
      <w:lvlJc w:val="left"/>
      <w:pPr>
        <w:ind w:left="4320" w:hanging="360"/>
      </w:pPr>
    </w:lvl>
    <w:lvl w:ilvl="6" w:tplc="F95E4C50">
      <w:start w:val="1"/>
      <w:numFmt w:val="bullet"/>
      <w:lvlText w:val="●"/>
      <w:lvlJc w:val="left"/>
      <w:pPr>
        <w:ind w:left="5040" w:hanging="360"/>
      </w:pPr>
    </w:lvl>
    <w:lvl w:ilvl="7" w:tplc="09F697AA">
      <w:start w:val="1"/>
      <w:numFmt w:val="bullet"/>
      <w:lvlText w:val="●"/>
      <w:lvlJc w:val="left"/>
      <w:pPr>
        <w:ind w:left="5760" w:hanging="360"/>
      </w:pPr>
    </w:lvl>
    <w:lvl w:ilvl="8" w:tplc="DF462A94">
      <w:start w:val="1"/>
      <w:numFmt w:val="bullet"/>
      <w:lvlText w:val="●"/>
      <w:lvlJc w:val="left"/>
      <w:pPr>
        <w:ind w:left="6480" w:hanging="360"/>
      </w:pPr>
    </w:lvl>
  </w:abstractNum>
  <w:num w:numId="1" w16cid:durableId="170016261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59F2"/>
    <w:rsid w:val="0058736D"/>
    <w:rsid w:val="00867442"/>
    <w:rsid w:val="009459F2"/>
    <w:rsid w:val="00C6509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48762939"/>
  <w15:docId w15:val="{C0CA3751-89CF-4546-A0F5-4A2AD670A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954</Words>
  <Characters>5441</Characters>
  <Application>Microsoft Office Word</Application>
  <DocSecurity>0</DocSecurity>
  <Lines>45</Lines>
  <Paragraphs>12</Paragraphs>
  <ScaleCrop>false</ScaleCrop>
  <Company/>
  <LinksUpToDate>false</LinksUpToDate>
  <CharactersWithSpaces>6383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Mismanagement by tie – Chronology of Events</dc:title>
  <dc:creator>Edinburgh Tram Network</dc:creator>
  <cp:lastModifiedBy>Ozan Altun</cp:lastModifiedBy>
  <cp:revision>2</cp:revision>
  <dcterms:created xsi:type="dcterms:W3CDTF">2026-07-26T15:27:00Z</dcterms:created>
  <dcterms:modified xsi:type="dcterms:W3CDTF">2026-07-26T15:27:00Z</dcterms:modified>
</cp:coreProperties>
</file>