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B3DA4A" w14:textId="77777777" w:rsidR="00992CEF" w:rsidRDefault="00000000">
      <w:pPr>
        <w:spacing w:after="60"/>
        <w:jc w:val="center"/>
      </w:pPr>
      <w:r>
        <w:rPr>
          <w:b/>
          <w:bCs/>
          <w:sz w:val="26"/>
          <w:szCs w:val="26"/>
        </w:rPr>
        <w:t>EDINBURGH TRAM NETWORK</w:t>
      </w:r>
    </w:p>
    <w:p w14:paraId="2CCA0FEB" w14:textId="77777777" w:rsidR="00992CEF" w:rsidRDefault="00000000">
      <w:pPr>
        <w:spacing w:after="240"/>
        <w:jc w:val="center"/>
      </w:pPr>
      <w:r>
        <w:rPr>
          <w:i/>
          <w:iCs/>
        </w:rPr>
        <w:t>Delay and Prolongation – Chronology of Events</w:t>
      </w:r>
    </w:p>
    <w:p w14:paraId="5ED16557" w14:textId="77777777" w:rsidR="00992CEF" w:rsidRDefault="00000000">
      <w:pPr>
        <w:spacing w:before="120" w:after="200"/>
      </w:pPr>
      <w:r>
        <w:rPr>
          <w:b/>
          <w:bCs/>
          <w:i/>
          <w:iCs/>
          <w:u w:val="single"/>
        </w:rPr>
        <w:t>04.  An “Irreparably Flawed” Contract Strategy</w:t>
      </w:r>
    </w:p>
    <w:p w14:paraId="22299293" w14:textId="77777777" w:rsidR="00992CEF" w:rsidRDefault="00000000">
      <w:pPr>
        <w:tabs>
          <w:tab w:val="left" w:pos="1080"/>
        </w:tabs>
        <w:spacing w:after="200" w:line="276" w:lineRule="auto"/>
        <w:ind w:left="1080" w:hanging="1080"/>
        <w:jc w:val="both"/>
      </w:pPr>
      <w:r>
        <w:t>6.4.1</w:t>
      </w:r>
      <w:r>
        <w:tab/>
        <w:t>The strategy for delivering the tram infrastructure rested on transferring construction risk to the private sector under a substantially fixed-price “Infraco” contract, so as to give the public sector price and programme certainty. That strategy assumed a largely complete and defined design against which the contractor would price. Because the design (SDS) was in fact incomplete when the contract was signed, the pricing mechanism – Schedule Part 4, the Pricing Assumptions and the “Notified Departures” regime – operated to return design-change risk to tie, so that the intended risk transfer did not hold and the contract itself became the source of the very disputes it was meant to avoid. The principal events are set out below.</w:t>
      </w:r>
    </w:p>
    <w:p w14:paraId="2FE8CE52" w14:textId="77777777" w:rsidR="00992CEF" w:rsidRDefault="00000000">
      <w:pPr>
        <w:tabs>
          <w:tab w:val="left" w:pos="1080"/>
        </w:tabs>
        <w:spacing w:after="200" w:line="276" w:lineRule="auto"/>
        <w:ind w:left="1080" w:hanging="1080"/>
        <w:jc w:val="both"/>
      </w:pPr>
      <w:r>
        <w:t>6.4.2</w:t>
      </w:r>
      <w:r>
        <w:tab/>
      </w:r>
      <w:r>
        <w:rPr>
          <w:b/>
          <w:bCs/>
        </w:rPr>
        <w:t xml:space="preserve">On 19 July 2006, </w:t>
      </w:r>
      <w:r>
        <w:t>the procurement strategy for the project was developed, predicated on the transfer of construction risk to the private sector</w:t>
      </w:r>
      <w:r>
        <w:rPr>
          <w:rStyle w:val="FootnoteReference"/>
        </w:rPr>
        <w:footnoteReference w:id="1"/>
      </w:r>
      <w:r>
        <w:t>.</w:t>
      </w:r>
    </w:p>
    <w:p w14:paraId="113FED1E" w14:textId="77777777" w:rsidR="00992CEF" w:rsidRDefault="00000000">
      <w:pPr>
        <w:tabs>
          <w:tab w:val="left" w:pos="1080"/>
        </w:tabs>
        <w:spacing w:after="200" w:line="276" w:lineRule="auto"/>
        <w:ind w:left="1080" w:hanging="1080"/>
        <w:jc w:val="both"/>
      </w:pPr>
      <w:r>
        <w:t>6.4.3</w:t>
      </w:r>
      <w:r>
        <w:tab/>
      </w:r>
      <w:r>
        <w:rPr>
          <w:b/>
          <w:bCs/>
        </w:rPr>
        <w:t xml:space="preserve">On 10 May 2007, </w:t>
      </w:r>
      <w:r>
        <w:t>the DPD Sub-Committee procurement strategy presentation confirmed the strategy’s objectives as the “transfer of construction risks to the private sector” and to “minimise risk premium… by providing greater certainty”</w:t>
      </w:r>
      <w:r>
        <w:rPr>
          <w:rStyle w:val="FootnoteReference"/>
        </w:rPr>
        <w:footnoteReference w:id="2"/>
      </w:r>
      <w:r>
        <w:t>. The whole strategy therefore depended on the certainty that a complete design would provide – certainty that did not exist.</w:t>
      </w:r>
    </w:p>
    <w:p w14:paraId="5C785CC2" w14:textId="77777777" w:rsidR="00992CEF" w:rsidRDefault="00000000">
      <w:pPr>
        <w:tabs>
          <w:tab w:val="left" w:pos="1080"/>
        </w:tabs>
        <w:spacing w:after="200" w:line="276" w:lineRule="auto"/>
        <w:ind w:left="1080" w:hanging="1080"/>
        <w:jc w:val="both"/>
      </w:pPr>
      <w:r>
        <w:t>6.4.4</w:t>
      </w:r>
      <w:r>
        <w:tab/>
      </w:r>
      <w:r>
        <w:rPr>
          <w:b/>
          <w:bCs/>
        </w:rPr>
        <w:t xml:space="preserve">Between May and September 2007, </w:t>
      </w:r>
      <w:r>
        <w:t>during the critical contract-negotiation period, tie’s external legal adviser (DLA Piper) was instructed to disengage from the process in May 2007 and only re-engaged in late September 2007, as later recorded in the Report on Infraco Contract Suite</w:t>
      </w:r>
      <w:r>
        <w:rPr>
          <w:rStyle w:val="FootnoteReference"/>
        </w:rPr>
        <w:footnoteReference w:id="3"/>
      </w:r>
      <w:r>
        <w:t>. A contractual risk-allocation matrix was prepared on 24 August 2007, based on the 8 March 2007 draft of the contract</w:t>
      </w:r>
      <w:r>
        <w:rPr>
          <w:rStyle w:val="FootnoteReference"/>
        </w:rPr>
        <w:footnoteReference w:id="4"/>
      </w:r>
      <w:r>
        <w:t>.</w:t>
      </w:r>
    </w:p>
    <w:p w14:paraId="108B558C" w14:textId="77777777" w:rsidR="00992CEF" w:rsidRDefault="00000000">
      <w:pPr>
        <w:tabs>
          <w:tab w:val="left" w:pos="1080"/>
        </w:tabs>
        <w:spacing w:after="200" w:line="276" w:lineRule="auto"/>
        <w:ind w:left="1080" w:hanging="1080"/>
        <w:jc w:val="both"/>
      </w:pPr>
      <w:r>
        <w:t>6.4.5</w:t>
      </w:r>
      <w:r>
        <w:tab/>
      </w:r>
      <w:r>
        <w:rPr>
          <w:b/>
          <w:bCs/>
        </w:rPr>
        <w:t xml:space="preserve">In December 2007, </w:t>
      </w:r>
      <w:r>
        <w:t>a side deal (the so-called “Wiesbaden Deal”) was negotiated with the BBS consortium and summarised in the BBS Contract Deal Summary, adjusting the commercial terms shortly before close</w:t>
      </w:r>
      <w:r>
        <w:rPr>
          <w:rStyle w:val="FootnoteReference"/>
        </w:rPr>
        <w:footnoteReference w:id="5"/>
      </w:r>
      <w:r>
        <w:t>.</w:t>
      </w:r>
    </w:p>
    <w:p w14:paraId="4C5D91E2" w14:textId="77777777" w:rsidR="00992CEF" w:rsidRDefault="00000000">
      <w:pPr>
        <w:tabs>
          <w:tab w:val="left" w:pos="1080"/>
        </w:tabs>
        <w:spacing w:after="200" w:line="276" w:lineRule="auto"/>
        <w:ind w:left="1080" w:hanging="1080"/>
        <w:jc w:val="both"/>
      </w:pPr>
      <w:r>
        <w:t>6.4.6</w:t>
      </w:r>
      <w:r>
        <w:tab/>
      </w:r>
      <w:r>
        <w:rPr>
          <w:b/>
          <w:bCs/>
        </w:rPr>
        <w:t xml:space="preserve">On 14 March 2008, </w:t>
      </w:r>
      <w:r>
        <w:t>the Infraco Contract Sum was issued</w:t>
      </w:r>
      <w:r>
        <w:rPr>
          <w:rStyle w:val="FootnoteReference"/>
        </w:rPr>
        <w:footnoteReference w:id="6"/>
      </w:r>
      <w:r>
        <w:t xml:space="preserve">. Yet as late as 30 March 2008 critical terms remained open in the Final Negotiation Points – including the DPOFA indemnity, sectional completion and the availability of Consents, and third-party </w:t>
      </w:r>
      <w:r>
        <w:lastRenderedPageBreak/>
        <w:t>indemnities</w:t>
      </w:r>
      <w:r>
        <w:rPr>
          <w:rStyle w:val="FootnoteReference"/>
        </w:rPr>
        <w:footnoteReference w:id="7"/>
      </w:r>
      <w:r>
        <w:t xml:space="preserve"> – indicating that the contract was being finalised before its core risk terms had been settled.</w:t>
      </w:r>
    </w:p>
    <w:p w14:paraId="3CB26384" w14:textId="77777777" w:rsidR="00992CEF" w:rsidRDefault="00000000">
      <w:pPr>
        <w:tabs>
          <w:tab w:val="left" w:pos="1080"/>
        </w:tabs>
        <w:spacing w:after="200" w:line="276" w:lineRule="auto"/>
        <w:ind w:left="1080" w:hanging="1080"/>
        <w:jc w:val="both"/>
      </w:pPr>
      <w:r>
        <w:t>6.4.7</w:t>
      </w:r>
      <w:r>
        <w:tab/>
      </w:r>
      <w:r>
        <w:rPr>
          <w:b/>
          <w:bCs/>
        </w:rPr>
        <w:t xml:space="preserve">On 28–30 April 2008, </w:t>
      </w:r>
      <w:r>
        <w:t>the draft Report on Terms of Financial Close, and CEC’s comments on it, recorded that key matters remained unresolved at the point of close:</w:t>
      </w:r>
    </w:p>
    <w:p w14:paraId="22A0A5AF" w14:textId="77777777" w:rsidR="00992CEF" w:rsidRDefault="00000000">
      <w:pPr>
        <w:tabs>
          <w:tab w:val="left" w:pos="1800"/>
        </w:tabs>
        <w:spacing w:after="160" w:line="276" w:lineRule="auto"/>
        <w:ind w:left="1800" w:hanging="540"/>
        <w:jc w:val="both"/>
      </w:pPr>
      <w:r>
        <w:t>i)</w:t>
      </w:r>
      <w:r>
        <w:tab/>
      </w:r>
      <w:r>
        <w:rPr>
          <w:b/>
          <w:bCs/>
        </w:rPr>
        <w:t xml:space="preserve">Programme inconsistency: </w:t>
      </w:r>
      <w:r>
        <w:t>the programme was inconsistent with the current version and with the MUDFA programme, and needed to be reconciled</w:t>
      </w:r>
      <w:r>
        <w:rPr>
          <w:rStyle w:val="FootnoteReference"/>
        </w:rPr>
        <w:footnoteReference w:id="8"/>
      </w:r>
      <w:r>
        <w:t>.</w:t>
      </w:r>
    </w:p>
    <w:p w14:paraId="0800DF2D" w14:textId="77777777" w:rsidR="00992CEF" w:rsidRDefault="00000000">
      <w:pPr>
        <w:tabs>
          <w:tab w:val="left" w:pos="1800"/>
        </w:tabs>
        <w:spacing w:after="160" w:line="276" w:lineRule="auto"/>
        <w:ind w:left="1800" w:hanging="540"/>
        <w:jc w:val="both"/>
      </w:pPr>
      <w:r>
        <w:t>ii)</w:t>
      </w:r>
      <w:r>
        <w:tab/>
      </w:r>
      <w:r>
        <w:rPr>
          <w:b/>
          <w:bCs/>
        </w:rPr>
        <w:t xml:space="preserve">Employer’s Requirements: </w:t>
      </w:r>
      <w:r>
        <w:t>the Employer’s Requirements had “only been partially considered”, with gaps identified between the contract and the ER</w:t>
      </w:r>
      <w:r>
        <w:rPr>
          <w:rStyle w:val="FootnoteReference"/>
        </w:rPr>
        <w:footnoteReference w:id="9"/>
      </w:r>
      <w:r>
        <w:t>.</w:t>
      </w:r>
    </w:p>
    <w:p w14:paraId="247E8875" w14:textId="77777777" w:rsidR="00992CEF" w:rsidRDefault="00000000">
      <w:pPr>
        <w:tabs>
          <w:tab w:val="left" w:pos="1800"/>
        </w:tabs>
        <w:spacing w:after="160" w:line="276" w:lineRule="auto"/>
        <w:ind w:left="1800" w:hanging="540"/>
        <w:jc w:val="both"/>
      </w:pPr>
      <w:r>
        <w:t>iii)</w:t>
      </w:r>
      <w:r>
        <w:tab/>
      </w:r>
      <w:r>
        <w:rPr>
          <w:b/>
          <w:bCs/>
        </w:rPr>
        <w:t xml:space="preserve">Unpriced risk: </w:t>
      </w:r>
      <w:r>
        <w:t>BBS had “not considered the detailed proposal” but had instead “assume[d] what is reasonable”, exposing the contract to risks that were left to be closed out later</w:t>
      </w:r>
      <w:r>
        <w:rPr>
          <w:rStyle w:val="FootnoteReference"/>
        </w:rPr>
        <w:footnoteReference w:id="10"/>
      </w:r>
      <w:r>
        <w:t>.</w:t>
      </w:r>
    </w:p>
    <w:p w14:paraId="2545B271" w14:textId="77777777" w:rsidR="00992CEF" w:rsidRDefault="00000000">
      <w:pPr>
        <w:tabs>
          <w:tab w:val="left" w:pos="1080"/>
        </w:tabs>
        <w:spacing w:after="200" w:line="276" w:lineRule="auto"/>
        <w:ind w:left="1080" w:hanging="1080"/>
        <w:jc w:val="both"/>
      </w:pPr>
      <w:r>
        <w:t>6.4.8</w:t>
      </w:r>
      <w:r>
        <w:tab/>
      </w:r>
      <w:r>
        <w:rPr>
          <w:b/>
          <w:bCs/>
        </w:rPr>
        <w:t xml:space="preserve">On 13 May 2008, </w:t>
      </w:r>
      <w:r>
        <w:t>notwithstanding the open items, the Council’s Policy &amp; Strategy Committee approved entry into the Infraco and Tramco contracts, its report noting “a changed commercial position in procurement negotiations” and seeking approval “subject to the satisfactory final conclusion of negotiations”</w:t>
      </w:r>
      <w:r>
        <w:rPr>
          <w:rStyle w:val="FootnoteReference"/>
        </w:rPr>
        <w:footnoteReference w:id="11"/>
      </w:r>
      <w:r>
        <w:t>. Financial close and contract signature followed on 14 May 2008, the executed Infraco Contract incorporating the Schedule Part 4 pricing mechanism and the Pricing Assumptions</w:t>
      </w:r>
      <w:r>
        <w:rPr>
          <w:rStyle w:val="FootnoteReference"/>
        </w:rPr>
        <w:footnoteReference w:id="12"/>
      </w:r>
      <w:r>
        <w:t>.</w:t>
      </w:r>
    </w:p>
    <w:p w14:paraId="7DDB6CE4" w14:textId="77777777" w:rsidR="00992CEF" w:rsidRDefault="00000000">
      <w:pPr>
        <w:tabs>
          <w:tab w:val="left" w:pos="1080"/>
        </w:tabs>
        <w:spacing w:after="200" w:line="276" w:lineRule="auto"/>
        <w:ind w:left="1080" w:hanging="1080"/>
        <w:jc w:val="both"/>
      </w:pPr>
      <w:r>
        <w:t>6.4.9</w:t>
      </w:r>
      <w:r>
        <w:tab/>
      </w:r>
      <w:r>
        <w:rPr>
          <w:b/>
          <w:bCs/>
        </w:rPr>
        <w:t xml:space="preserve">On 9 December 2009, </w:t>
      </w:r>
      <w:r>
        <w:t>as the disputes crystallised, tie’s advisers prepared a Summary of Legal Interpretation of Schedule Part 4 (Pricing), distilling the fundamental differences between tie and Infraco as to how the contract priced change</w:t>
      </w:r>
      <w:r>
        <w:rPr>
          <w:rStyle w:val="FootnoteReference"/>
        </w:rPr>
        <w:footnoteReference w:id="13"/>
      </w:r>
      <w:r>
        <w:t xml:space="preserve"> – the pricing mechanism at the heart of the strategy being itself in dispute.</w:t>
      </w:r>
    </w:p>
    <w:p w14:paraId="65ED70D8" w14:textId="77777777" w:rsidR="00992CEF" w:rsidRDefault="00000000">
      <w:pPr>
        <w:tabs>
          <w:tab w:val="left" w:pos="1080"/>
        </w:tabs>
        <w:spacing w:after="200" w:line="276" w:lineRule="auto"/>
        <w:ind w:left="1080" w:hanging="1080"/>
        <w:jc w:val="both"/>
      </w:pPr>
      <w:r>
        <w:t>6.4.10</w:t>
      </w:r>
      <w:r>
        <w:tab/>
      </w:r>
      <w:r>
        <w:rPr>
          <w:b/>
          <w:bCs/>
        </w:rPr>
        <w:t xml:space="preserve">In 2010, </w:t>
      </w:r>
      <w:r>
        <w:t>the flaw was laid bare in advice on Pricing Assumption No.1. Infraco claimed, on a literal reading, that tie bore “the risk of all changes of design principle, shape and form and outline specification” between the Base Date Design Information and the Issued for Construction design, through the Notified Departures mechanism. tie’s advisers accepted there was “a stateable argument that something has gone wrong with the words of Pricing Assumption No.1”, a literal interpretation producing a result which “a reasonable person would conclude cannot have been intended… because that result is absurd, irrational or arbitrary”</w:t>
      </w:r>
      <w:r>
        <w:rPr>
          <w:rStyle w:val="FootnoteReference"/>
        </w:rPr>
        <w:footnoteReference w:id="14"/>
      </w:r>
      <w:r>
        <w:t>.</w:t>
      </w:r>
    </w:p>
    <w:p w14:paraId="610EFEA2" w14:textId="77777777" w:rsidR="00992CEF" w:rsidRDefault="00000000">
      <w:pPr>
        <w:tabs>
          <w:tab w:val="left" w:pos="1080"/>
        </w:tabs>
        <w:spacing w:after="200" w:line="276" w:lineRule="auto"/>
        <w:ind w:left="1080" w:hanging="1080"/>
        <w:jc w:val="both"/>
      </w:pPr>
      <w:r>
        <w:lastRenderedPageBreak/>
        <w:t>6.4.11</w:t>
      </w:r>
      <w:r>
        <w:tab/>
      </w:r>
      <w:r>
        <w:rPr>
          <w:b/>
          <w:bCs/>
        </w:rPr>
        <w:t xml:space="preserve">On 14 January 2011, </w:t>
      </w:r>
      <w:r>
        <w:t>an Infraco Contract Investigation was commissioned, addressed to tie’s Chief Executive, reflecting the recognition that the contract strategy required formal scrutiny</w:t>
      </w:r>
      <w:r>
        <w:rPr>
          <w:rStyle w:val="FootnoteReference"/>
        </w:rPr>
        <w:footnoteReference w:id="15"/>
      </w:r>
      <w:r>
        <w:t>.</w:t>
      </w:r>
    </w:p>
    <w:p w14:paraId="174B89D6" w14:textId="77777777" w:rsidR="00992CEF" w:rsidRDefault="00000000">
      <w:pPr>
        <w:tabs>
          <w:tab w:val="left" w:pos="1080"/>
        </w:tabs>
        <w:spacing w:after="200" w:line="276" w:lineRule="auto"/>
        <w:ind w:left="1080" w:hanging="1080"/>
        <w:jc w:val="both"/>
      </w:pPr>
      <w:r>
        <w:t>6.4.12</w:t>
      </w:r>
      <w:r>
        <w:tab/>
      </w:r>
      <w:r>
        <w:rPr>
          <w:b/>
          <w:bCs/>
        </w:rPr>
        <w:t xml:space="preserve">In March 2011, </w:t>
      </w:r>
      <w:r>
        <w:t>the parties settled the disputes at mediation and re-cast the commercial arrangements in Heads of Terms following Mediation – in effect a renegotiation of the contract strategy that had failed to deliver the intended certainty</w:t>
      </w:r>
      <w:r>
        <w:rPr>
          <w:rStyle w:val="FootnoteReference"/>
        </w:rPr>
        <w:footnoteReference w:id="16"/>
      </w:r>
      <w:r>
        <w:t>. tie’s own internal audit that summer confirmed that price and programme certainty had not been achieved and that the dispute with BSC had remained unresolved as at 7 March 2011</w:t>
      </w:r>
      <w:r>
        <w:rPr>
          <w:rStyle w:val="FootnoteReference"/>
        </w:rPr>
        <w:footnoteReference w:id="17"/>
      </w:r>
      <w:r>
        <w:t>. Taken together, these events demonstrate that the risk-transfer strategy was undermined from the outset by a contract signed on an incomplete design, whose pricing mechanism returned the very risks the strategy was designed to transfer.</w:t>
      </w:r>
    </w:p>
    <w:sectPr w:rsidR="00992CE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F39F5B" w14:textId="77777777" w:rsidR="00E84127" w:rsidRDefault="00E84127">
      <w:r>
        <w:separator/>
      </w:r>
    </w:p>
  </w:endnote>
  <w:endnote w:type="continuationSeparator" w:id="0">
    <w:p w14:paraId="368A9916" w14:textId="77777777" w:rsidR="00E84127" w:rsidRDefault="00E84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A3BECE" w14:textId="77777777" w:rsidR="00E84127" w:rsidRDefault="00E84127">
      <w:r>
        <w:separator/>
      </w:r>
    </w:p>
  </w:footnote>
  <w:footnote w:type="continuationSeparator" w:id="0">
    <w:p w14:paraId="7FA8019D" w14:textId="77777777" w:rsidR="00E84127" w:rsidRDefault="00E84127">
      <w:r>
        <w:continuationSeparator/>
      </w:r>
    </w:p>
  </w:footnote>
  <w:footnote w:id="1">
    <w:p w14:paraId="4E94D79A" w14:textId="77777777" w:rsidR="00992CEF" w:rsidRDefault="00000000">
      <w:r>
        <w:rPr>
          <w:rStyle w:val="FootnoteReference"/>
        </w:rPr>
        <w:footnoteRef/>
      </w:r>
      <w:r>
        <w:rPr>
          <w:sz w:val="18"/>
          <w:szCs w:val="18"/>
        </w:rPr>
        <w:t>Exhibit 1 – CEC01780540, "Edinburgh Tram Project – Procurement Strategy", 19 July 2006.</w:t>
      </w:r>
    </w:p>
  </w:footnote>
  <w:footnote w:id="2">
    <w:p w14:paraId="3F200F87" w14:textId="77777777" w:rsidR="00992CEF" w:rsidRDefault="00000000">
      <w:r>
        <w:rPr>
          <w:rStyle w:val="FootnoteReference"/>
        </w:rPr>
        <w:footnoteRef/>
      </w:r>
      <w:r>
        <w:rPr>
          <w:sz w:val="18"/>
          <w:szCs w:val="18"/>
        </w:rPr>
        <w:t>Exhibit 2 – CEC01708086, DPD Sub-Committee, "Edinburgh Tram Project – Procurement Strategy" (presentation), 10 May 2007.</w:t>
      </w:r>
    </w:p>
  </w:footnote>
  <w:footnote w:id="3">
    <w:p w14:paraId="4C008D0D" w14:textId="77777777" w:rsidR="00992CEF" w:rsidRDefault="00000000">
      <w:r>
        <w:rPr>
          <w:rStyle w:val="FootnoteReference"/>
        </w:rPr>
        <w:footnoteRef/>
      </w:r>
      <w:r>
        <w:rPr>
          <w:sz w:val="18"/>
          <w:szCs w:val="18"/>
        </w:rPr>
        <w:t>Exhibit 4 – CEC01312363, "Report on Infraco Contract Suite", 17 March 2008 (issued 28 April 2008).</w:t>
      </w:r>
    </w:p>
  </w:footnote>
  <w:footnote w:id="4">
    <w:p w14:paraId="4C3011D9" w14:textId="77777777" w:rsidR="00992CEF" w:rsidRDefault="00000000">
      <w:r>
        <w:rPr>
          <w:rStyle w:val="FootnoteReference"/>
        </w:rPr>
        <w:footnoteRef/>
      </w:r>
      <w:r>
        <w:rPr>
          <w:sz w:val="18"/>
          <w:szCs w:val="18"/>
        </w:rPr>
        <w:t>Exhibit 3 – CEC01650761, "Allocation of Contractual Risks in the Infraco Contract", 24 August 2007 (based on 8 March 2007 version of the Infraco Contract).</w:t>
      </w:r>
    </w:p>
  </w:footnote>
  <w:footnote w:id="5">
    <w:p w14:paraId="6B29A1C6" w14:textId="77777777" w:rsidR="00992CEF" w:rsidRDefault="00000000">
      <w:r>
        <w:rPr>
          <w:rStyle w:val="FootnoteReference"/>
        </w:rPr>
        <w:footnoteRef/>
      </w:r>
      <w:r>
        <w:rPr>
          <w:sz w:val="18"/>
          <w:szCs w:val="18"/>
        </w:rPr>
        <w:t>Exhibit 5 – CEC01546351, "Wiesbaden Deal" / BBS Contract Deal Summary, December 2007 (forwarded 6 February 2008).</w:t>
      </w:r>
    </w:p>
  </w:footnote>
  <w:footnote w:id="6">
    <w:p w14:paraId="37301102" w14:textId="77777777" w:rsidR="00992CEF" w:rsidRDefault="00000000">
      <w:r>
        <w:rPr>
          <w:rStyle w:val="FootnoteReference"/>
        </w:rPr>
        <w:footnoteRef/>
      </w:r>
      <w:r>
        <w:rPr>
          <w:sz w:val="18"/>
          <w:szCs w:val="18"/>
        </w:rPr>
        <w:t>Exhibit 6 – CEC01486347, "Infraco Contract Sum (issued 14 March 2008)".</w:t>
      </w:r>
    </w:p>
  </w:footnote>
  <w:footnote w:id="7">
    <w:p w14:paraId="4A0938BE" w14:textId="77777777" w:rsidR="00992CEF" w:rsidRDefault="00000000">
      <w:r>
        <w:rPr>
          <w:rStyle w:val="FootnoteReference"/>
        </w:rPr>
        <w:footnoteRef/>
      </w:r>
      <w:r>
        <w:rPr>
          <w:sz w:val="18"/>
          <w:szCs w:val="18"/>
        </w:rPr>
        <w:t>Exhibit 7 – TIE00078983, "Infraco Contract – Final Negotiation Points", 30 March 2008.</w:t>
      </w:r>
    </w:p>
  </w:footnote>
  <w:footnote w:id="8">
    <w:p w14:paraId="5ED2A1A5" w14:textId="77777777" w:rsidR="00992CEF" w:rsidRDefault="00000000">
      <w:r>
        <w:rPr>
          <w:rStyle w:val="FootnoteReference"/>
        </w:rPr>
        <w:footnoteRef/>
      </w:r>
      <w:r>
        <w:rPr>
          <w:sz w:val="18"/>
          <w:szCs w:val="18"/>
        </w:rPr>
        <w:t>Exhibit 8 – CEC01222467, "Report on Terms of Financial Close" (draft 28 April 2008; CEC comments 30 April 2008).</w:t>
      </w:r>
    </w:p>
  </w:footnote>
  <w:footnote w:id="9">
    <w:p w14:paraId="519021DD" w14:textId="77777777" w:rsidR="00992CEF" w:rsidRDefault="00000000">
      <w:r>
        <w:rPr>
          <w:rStyle w:val="FootnoteReference"/>
        </w:rPr>
        <w:footnoteRef/>
      </w:r>
      <w:r>
        <w:rPr>
          <w:sz w:val="18"/>
          <w:szCs w:val="18"/>
        </w:rPr>
        <w:t>Exhibit 8 – CEC01222467, "Report on Terms of Financial Close" (draft 28 April 2008; CEC comments 30 April 2008).</w:t>
      </w:r>
    </w:p>
  </w:footnote>
  <w:footnote w:id="10">
    <w:p w14:paraId="216FFCD8" w14:textId="77777777" w:rsidR="00992CEF" w:rsidRDefault="00000000">
      <w:r>
        <w:rPr>
          <w:rStyle w:val="FootnoteReference"/>
        </w:rPr>
        <w:footnoteRef/>
      </w:r>
      <w:r>
        <w:rPr>
          <w:sz w:val="18"/>
          <w:szCs w:val="18"/>
        </w:rPr>
        <w:t>Exhibit 8 – CEC01222467, "Report on Terms of Financial Close" (draft 28 April 2008; CEC comments 30 April 2008).</w:t>
      </w:r>
    </w:p>
  </w:footnote>
  <w:footnote w:id="11">
    <w:p w14:paraId="6043B0FA" w14:textId="77777777" w:rsidR="00992CEF" w:rsidRDefault="00000000">
      <w:r>
        <w:rPr>
          <w:rStyle w:val="FootnoteReference"/>
        </w:rPr>
        <w:footnoteRef/>
      </w:r>
      <w:r>
        <w:rPr>
          <w:sz w:val="18"/>
          <w:szCs w:val="18"/>
        </w:rPr>
        <w:t>Exhibit 9 – USB00000357, City of Edinburgh Council, Policy &amp; Strategy Committee, "Edinburgh Tram – Financial Close and Notification of Contract Award", 13 May 2008.</w:t>
      </w:r>
    </w:p>
  </w:footnote>
  <w:footnote w:id="12">
    <w:p w14:paraId="1FE93DBD" w14:textId="77777777" w:rsidR="00992CEF" w:rsidRDefault="00000000">
      <w:r>
        <w:rPr>
          <w:rStyle w:val="FootnoteReference"/>
        </w:rPr>
        <w:footnoteRef/>
      </w:r>
      <w:r>
        <w:rPr>
          <w:sz w:val="18"/>
          <w:szCs w:val="18"/>
        </w:rPr>
        <w:t>Exhibit 10 – CEC00036952, Infraco Contract – Schedule Parts 1 to 14 (executed contract, incorporating Schedule Part 4 (Pricing) and the Pricing Assumptions).</w:t>
      </w:r>
    </w:p>
  </w:footnote>
  <w:footnote w:id="13">
    <w:p w14:paraId="51F24A1C" w14:textId="77777777" w:rsidR="00992CEF" w:rsidRDefault="00000000">
      <w:r>
        <w:rPr>
          <w:rStyle w:val="FootnoteReference"/>
        </w:rPr>
        <w:footnoteRef/>
      </w:r>
      <w:r>
        <w:rPr>
          <w:sz w:val="18"/>
          <w:szCs w:val="18"/>
        </w:rPr>
        <w:t>Exhibit 11 – CEC00651408, "Schedule Part 4 (Pricing) – Summary of Legal Interpretation of Sections 1.0 to 3.0", 9 December 2009.</w:t>
      </w:r>
    </w:p>
  </w:footnote>
  <w:footnote w:id="14">
    <w:p w14:paraId="5711F4D4" w14:textId="77777777" w:rsidR="00992CEF" w:rsidRDefault="00000000">
      <w:r>
        <w:rPr>
          <w:rStyle w:val="FootnoteReference"/>
        </w:rPr>
        <w:footnoteRef/>
      </w:r>
      <w:r>
        <w:rPr>
          <w:sz w:val="18"/>
          <w:szCs w:val="18"/>
        </w:rPr>
        <w:t>Exhibit 12 – CEC00259633, "Note for tie Limited in relation to Pricing Assumption No.1" (supplemental to report dated 23 March 2010).</w:t>
      </w:r>
    </w:p>
  </w:footnote>
  <w:footnote w:id="15">
    <w:p w14:paraId="66EA4EFE" w14:textId="77777777" w:rsidR="00992CEF" w:rsidRDefault="00000000">
      <w:r>
        <w:rPr>
          <w:rStyle w:val="FootnoteReference"/>
        </w:rPr>
        <w:footnoteRef/>
      </w:r>
      <w:r>
        <w:rPr>
          <w:sz w:val="18"/>
          <w:szCs w:val="18"/>
        </w:rPr>
        <w:t>Exhibit 13 – WED00000018, Letter, "Infraco Contract Investigation – tie", 14 January 2011.</w:t>
      </w:r>
    </w:p>
  </w:footnote>
  <w:footnote w:id="16">
    <w:p w14:paraId="45E54848" w14:textId="77777777" w:rsidR="00992CEF" w:rsidRDefault="00000000">
      <w:r>
        <w:rPr>
          <w:rStyle w:val="FootnoteReference"/>
        </w:rPr>
        <w:footnoteRef/>
      </w:r>
      <w:r>
        <w:rPr>
          <w:sz w:val="18"/>
          <w:szCs w:val="18"/>
        </w:rPr>
        <w:t>Exhibit 14 – WED00000594, "Infraco – Heads of Terms following Mediation", March 2011.</w:t>
      </w:r>
    </w:p>
  </w:footnote>
  <w:footnote w:id="17">
    <w:p w14:paraId="0812BC1D" w14:textId="77777777" w:rsidR="00992CEF" w:rsidRDefault="00000000">
      <w:r>
        <w:rPr>
          <w:rStyle w:val="FootnoteReference"/>
        </w:rPr>
        <w:footnoteRef/>
      </w:r>
      <w:r>
        <w:rPr>
          <w:sz w:val="18"/>
          <w:szCs w:val="18"/>
        </w:rPr>
        <w:t>Exhibit 15 – CEC02086351, Deloitte LLP, "Review of the Commercial Strategy – March 2010 to March 2011", June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0027A"/>
    <w:multiLevelType w:val="hybridMultilevel"/>
    <w:tmpl w:val="4D4A8768"/>
    <w:lvl w:ilvl="0" w:tplc="0714FA92">
      <w:start w:val="1"/>
      <w:numFmt w:val="bullet"/>
      <w:lvlText w:val="●"/>
      <w:lvlJc w:val="left"/>
      <w:pPr>
        <w:ind w:left="720" w:hanging="360"/>
      </w:pPr>
    </w:lvl>
    <w:lvl w:ilvl="1" w:tplc="36E2E7D0">
      <w:start w:val="1"/>
      <w:numFmt w:val="bullet"/>
      <w:lvlText w:val="○"/>
      <w:lvlJc w:val="left"/>
      <w:pPr>
        <w:ind w:left="1440" w:hanging="360"/>
      </w:pPr>
    </w:lvl>
    <w:lvl w:ilvl="2" w:tplc="A5122D96">
      <w:start w:val="1"/>
      <w:numFmt w:val="bullet"/>
      <w:lvlText w:val="■"/>
      <w:lvlJc w:val="left"/>
      <w:pPr>
        <w:ind w:left="2160" w:hanging="360"/>
      </w:pPr>
    </w:lvl>
    <w:lvl w:ilvl="3" w:tplc="1BBC4EF0">
      <w:start w:val="1"/>
      <w:numFmt w:val="bullet"/>
      <w:lvlText w:val="●"/>
      <w:lvlJc w:val="left"/>
      <w:pPr>
        <w:ind w:left="2880" w:hanging="360"/>
      </w:pPr>
    </w:lvl>
    <w:lvl w:ilvl="4" w:tplc="C19864F6">
      <w:start w:val="1"/>
      <w:numFmt w:val="bullet"/>
      <w:lvlText w:val="○"/>
      <w:lvlJc w:val="left"/>
      <w:pPr>
        <w:ind w:left="3600" w:hanging="360"/>
      </w:pPr>
    </w:lvl>
    <w:lvl w:ilvl="5" w:tplc="8D86D7F8">
      <w:start w:val="1"/>
      <w:numFmt w:val="bullet"/>
      <w:lvlText w:val="■"/>
      <w:lvlJc w:val="left"/>
      <w:pPr>
        <w:ind w:left="4320" w:hanging="360"/>
      </w:pPr>
    </w:lvl>
    <w:lvl w:ilvl="6" w:tplc="EFDA470E">
      <w:start w:val="1"/>
      <w:numFmt w:val="bullet"/>
      <w:lvlText w:val="●"/>
      <w:lvlJc w:val="left"/>
      <w:pPr>
        <w:ind w:left="5040" w:hanging="360"/>
      </w:pPr>
    </w:lvl>
    <w:lvl w:ilvl="7" w:tplc="4A169AD6">
      <w:start w:val="1"/>
      <w:numFmt w:val="bullet"/>
      <w:lvlText w:val="●"/>
      <w:lvlJc w:val="left"/>
      <w:pPr>
        <w:ind w:left="5760" w:hanging="360"/>
      </w:pPr>
    </w:lvl>
    <w:lvl w:ilvl="8" w:tplc="7786E996">
      <w:start w:val="1"/>
      <w:numFmt w:val="bullet"/>
      <w:lvlText w:val="●"/>
      <w:lvlJc w:val="left"/>
      <w:pPr>
        <w:ind w:left="6480" w:hanging="360"/>
      </w:pPr>
    </w:lvl>
  </w:abstractNum>
  <w:num w:numId="1" w16cid:durableId="6037338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CEF"/>
    <w:rsid w:val="00867442"/>
    <w:rsid w:val="00992CEF"/>
    <w:rsid w:val="00AB7B9F"/>
    <w:rsid w:val="00E841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9E50499"/>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Irreparably Flawed Contract Strategy – Chronology of Events</dc:title>
  <dc:creator>Edinburgh Tram Network</dc:creator>
  <cp:lastModifiedBy>Ozan Altun</cp:lastModifiedBy>
  <cp:revision>2</cp:revision>
  <dcterms:created xsi:type="dcterms:W3CDTF">2026-07-26T15:38:00Z</dcterms:created>
  <dcterms:modified xsi:type="dcterms:W3CDTF">2026-07-26T15:38:00Z</dcterms:modified>
</cp:coreProperties>
</file>