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99F2D8" w14:textId="77777777" w:rsidR="00797881" w:rsidRDefault="00000000">
      <w:pPr>
        <w:spacing w:after="60"/>
        <w:jc w:val="center"/>
      </w:pPr>
      <w:r>
        <w:rPr>
          <w:b/>
          <w:bCs/>
          <w:sz w:val="26"/>
          <w:szCs w:val="26"/>
        </w:rPr>
        <w:t>EDINBURGH TRAM NETWORK</w:t>
      </w:r>
    </w:p>
    <w:p w14:paraId="5F062647" w14:textId="77777777" w:rsidR="00797881" w:rsidRDefault="00000000">
      <w:pPr>
        <w:spacing w:after="240"/>
        <w:jc w:val="center"/>
      </w:pPr>
      <w:r>
        <w:rPr>
          <w:i/>
          <w:iCs/>
        </w:rPr>
        <w:t>Delay and Prolongation – Chronology of Events</w:t>
      </w:r>
    </w:p>
    <w:p w14:paraId="09F75B85" w14:textId="77777777" w:rsidR="00797881" w:rsidRDefault="00000000">
      <w:pPr>
        <w:spacing w:before="120" w:after="200"/>
      </w:pPr>
      <w:r>
        <w:rPr>
          <w:b/>
          <w:bCs/>
          <w:i/>
          <w:iCs/>
          <w:u w:val="single"/>
        </w:rPr>
        <w:t>05.  Severe Contractor Disputes and Work Stoppages</w:t>
      </w:r>
    </w:p>
    <w:p w14:paraId="717EBC1B" w14:textId="77777777" w:rsidR="00797881" w:rsidRDefault="00000000">
      <w:pPr>
        <w:tabs>
          <w:tab w:val="left" w:pos="1080"/>
        </w:tabs>
        <w:spacing w:after="200" w:line="276" w:lineRule="auto"/>
        <w:ind w:left="1080" w:hanging="1080"/>
        <w:jc w:val="both"/>
      </w:pPr>
      <w:r>
        <w:t>6.5.1</w:t>
      </w:r>
      <w:r>
        <w:tab/>
        <w:t>The relationship between tie and the BSC (Infraco) consortium deteriorated into severe and continuous dispute. BSC contended that the volume of design change entitled it to substantial additional time and money; tie disputed both the entitlement and its valuation. The disputes were channelled through the contract’s Dispute Resolution Procedure, producing a succession of adjudications, formal default and termination notices, and – as progress on the ground stalled, particularly on-street and at Princes Street – an effective standstill that was broken only by mediation in March 2011. The principal events are set out below.</w:t>
      </w:r>
    </w:p>
    <w:p w14:paraId="260339E4" w14:textId="77777777" w:rsidR="00797881" w:rsidRDefault="00000000">
      <w:pPr>
        <w:tabs>
          <w:tab w:val="left" w:pos="1080"/>
        </w:tabs>
        <w:spacing w:after="200" w:line="276" w:lineRule="auto"/>
        <w:ind w:left="1080" w:hanging="1080"/>
        <w:jc w:val="both"/>
      </w:pPr>
      <w:r>
        <w:t>6.5.2</w:t>
      </w:r>
      <w:r>
        <w:tab/>
        <w:t>The Infraco Contract (14 May 2008) contained, at Schedule Part 9, a Dispute Resolution Procedure requiring any dispute to pass through internal resolution and adjudication before court proceedings could be commenced</w:t>
      </w:r>
      <w:r>
        <w:rPr>
          <w:rStyle w:val="FootnoteReference"/>
        </w:rPr>
        <w:footnoteReference w:id="1"/>
      </w:r>
      <w:r>
        <w:t>. As the volume of change multiplied, this machinery was invoked repeatedly rather than exceptionally.</w:t>
      </w:r>
    </w:p>
    <w:p w14:paraId="64D0B0D3" w14:textId="77777777" w:rsidR="00797881" w:rsidRDefault="00000000">
      <w:pPr>
        <w:tabs>
          <w:tab w:val="left" w:pos="1080"/>
        </w:tabs>
        <w:spacing w:after="200" w:line="276" w:lineRule="auto"/>
        <w:ind w:left="1080" w:hanging="1080"/>
        <w:jc w:val="both"/>
      </w:pPr>
      <w:r>
        <w:t>6.5.3</w:t>
      </w:r>
      <w:r>
        <w:tab/>
      </w:r>
      <w:r>
        <w:rPr>
          <w:b/>
          <w:bCs/>
        </w:rPr>
        <w:t xml:space="preserve">By 26 June 2009, </w:t>
      </w:r>
      <w:r>
        <w:t>tie had compiled a schedule of "Issues to be Referred to Mediation", spanning the Princes Street Supplemental Agreement, the precedence of Schedule Part 4, the evaluation of Change under Clause 80, earthworks, the Hilton car park accommodation works, value engineering and extension-of-time claims – a measure of how comprehensively the parties were at odds</w:t>
      </w:r>
      <w:r>
        <w:rPr>
          <w:rStyle w:val="FootnoteReference"/>
        </w:rPr>
        <w:footnoteReference w:id="2"/>
      </w:r>
      <w:r>
        <w:t>.</w:t>
      </w:r>
    </w:p>
    <w:p w14:paraId="351C760E" w14:textId="77777777" w:rsidR="00797881" w:rsidRDefault="00000000">
      <w:pPr>
        <w:tabs>
          <w:tab w:val="left" w:pos="1080"/>
        </w:tabs>
        <w:spacing w:after="200" w:line="276" w:lineRule="auto"/>
        <w:ind w:left="1080" w:hanging="1080"/>
        <w:jc w:val="both"/>
      </w:pPr>
      <w:r>
        <w:t>6.5.4</w:t>
      </w:r>
      <w:r>
        <w:tab/>
      </w:r>
      <w:r>
        <w:rPr>
          <w:b/>
          <w:bCs/>
        </w:rPr>
        <w:t xml:space="preserve">On 9 June 2009, </w:t>
      </w:r>
      <w:r>
        <w:t>the disruption of on-street works came to a head at Princes Street: the Council’s Policy &amp; Strategy Committee agreed a package of mitigation measures and a communications plan for tram construction works in Princes Street in the period up to Christmas 2009, and addressed the roadworks embargo in the Haymarket area</w:t>
      </w:r>
      <w:r>
        <w:rPr>
          <w:rStyle w:val="FootnoteReference"/>
        </w:rPr>
        <w:footnoteReference w:id="3"/>
      </w:r>
      <w:r>
        <w:t xml:space="preserve"> – reflecting the disruption and public pressure that the stalled on-street works were generating.</w:t>
      </w:r>
    </w:p>
    <w:p w14:paraId="1FE9C40A" w14:textId="77777777" w:rsidR="00797881" w:rsidRDefault="00000000">
      <w:pPr>
        <w:tabs>
          <w:tab w:val="left" w:pos="1080"/>
        </w:tabs>
        <w:spacing w:after="200" w:line="276" w:lineRule="auto"/>
        <w:ind w:left="1080" w:hanging="1080"/>
        <w:jc w:val="both"/>
      </w:pPr>
      <w:r>
        <w:t>6.5.5</w:t>
      </w:r>
      <w:r>
        <w:tab/>
      </w:r>
      <w:r>
        <w:rPr>
          <w:b/>
          <w:bCs/>
        </w:rPr>
        <w:t xml:space="preserve">From late 2009, </w:t>
      </w:r>
      <w:r>
        <w:t>the Dispute Resolution Procedure produced a run of adjudications, a number of which did not resolve in tie’s favour:</w:t>
      </w:r>
    </w:p>
    <w:p w14:paraId="66127C03" w14:textId="77777777" w:rsidR="00797881" w:rsidRDefault="00000000">
      <w:pPr>
        <w:tabs>
          <w:tab w:val="left" w:pos="1800"/>
        </w:tabs>
        <w:spacing w:after="160" w:line="276" w:lineRule="auto"/>
        <w:ind w:left="1800" w:hanging="540"/>
        <w:jc w:val="both"/>
      </w:pPr>
      <w:r>
        <w:t>i)</w:t>
      </w:r>
      <w:r>
        <w:tab/>
      </w:r>
      <w:r>
        <w:rPr>
          <w:b/>
          <w:bCs/>
        </w:rPr>
        <w:t xml:space="preserve">Hilton Hotel Car Park Works: </w:t>
      </w:r>
      <w:r>
        <w:t>adjudication decision, 15 October 2009 (Robert B M Howie QC)</w:t>
      </w:r>
      <w:r>
        <w:rPr>
          <w:rStyle w:val="FootnoteReference"/>
        </w:rPr>
        <w:footnoteReference w:id="4"/>
      </w:r>
      <w:r>
        <w:t>.</w:t>
      </w:r>
    </w:p>
    <w:p w14:paraId="6E2C6AC2" w14:textId="77777777" w:rsidR="00797881" w:rsidRDefault="00000000">
      <w:pPr>
        <w:tabs>
          <w:tab w:val="left" w:pos="1800"/>
        </w:tabs>
        <w:spacing w:after="160" w:line="276" w:lineRule="auto"/>
        <w:ind w:left="1800" w:hanging="540"/>
        <w:jc w:val="both"/>
      </w:pPr>
      <w:r>
        <w:t>ii)</w:t>
      </w:r>
      <w:r>
        <w:tab/>
      </w:r>
      <w:r>
        <w:rPr>
          <w:b/>
          <w:bCs/>
        </w:rPr>
        <w:t xml:space="preserve">Gogarburn and Carrick Knowe Bridge: </w:t>
      </w:r>
      <w:r>
        <w:t>decisions overviewed 16 November 2009</w:t>
      </w:r>
      <w:r>
        <w:rPr>
          <w:rStyle w:val="FootnoteReference"/>
        </w:rPr>
        <w:footnoteReference w:id="5"/>
      </w:r>
      <w:r>
        <w:t>.</w:t>
      </w:r>
    </w:p>
    <w:p w14:paraId="3908955B" w14:textId="77777777" w:rsidR="00797881" w:rsidRDefault="00000000">
      <w:pPr>
        <w:tabs>
          <w:tab w:val="left" w:pos="1800"/>
        </w:tabs>
        <w:spacing w:after="160" w:line="276" w:lineRule="auto"/>
        <w:ind w:left="1800" w:hanging="540"/>
        <w:jc w:val="both"/>
      </w:pPr>
      <w:r>
        <w:lastRenderedPageBreak/>
        <w:t>iii)</w:t>
      </w:r>
      <w:r>
        <w:tab/>
      </w:r>
      <w:r>
        <w:rPr>
          <w:b/>
          <w:bCs/>
        </w:rPr>
        <w:t xml:space="preserve">Russell Road Retaining Wall Two: </w:t>
      </w:r>
      <w:r>
        <w:t>adjudication decision on changes, 4 January 2010</w:t>
      </w:r>
      <w:r>
        <w:rPr>
          <w:rStyle w:val="FootnoteReference"/>
        </w:rPr>
        <w:footnoteReference w:id="6"/>
      </w:r>
      <w:r>
        <w:t>.</w:t>
      </w:r>
    </w:p>
    <w:p w14:paraId="195687B9" w14:textId="77777777" w:rsidR="00797881" w:rsidRDefault="00000000">
      <w:pPr>
        <w:tabs>
          <w:tab w:val="left" w:pos="1800"/>
        </w:tabs>
        <w:spacing w:after="160" w:line="276" w:lineRule="auto"/>
        <w:ind w:left="1800" w:hanging="540"/>
        <w:jc w:val="both"/>
      </w:pPr>
      <w:r>
        <w:t>iv)</w:t>
      </w:r>
      <w:r>
        <w:tab/>
      </w:r>
      <w:r>
        <w:rPr>
          <w:b/>
          <w:bCs/>
        </w:rPr>
        <w:t xml:space="preserve">Incomplete MUDFA Works: </w:t>
      </w:r>
      <w:r>
        <w:t>adjudication decision on resulting delays, 4 June 2010 (Robert B M Howie QC)</w:t>
      </w:r>
      <w:r>
        <w:rPr>
          <w:rStyle w:val="FootnoteReference"/>
        </w:rPr>
        <w:footnoteReference w:id="7"/>
      </w:r>
      <w:r>
        <w:t>.</w:t>
      </w:r>
    </w:p>
    <w:p w14:paraId="27A17882" w14:textId="77777777" w:rsidR="00797881" w:rsidRDefault="00000000">
      <w:pPr>
        <w:tabs>
          <w:tab w:val="left" w:pos="1080"/>
        </w:tabs>
        <w:spacing w:after="200" w:line="276" w:lineRule="auto"/>
        <w:ind w:left="1080" w:hanging="1080"/>
        <w:jc w:val="both"/>
      </w:pPr>
      <w:r>
        <w:t>6.5.6</w:t>
      </w:r>
      <w:r>
        <w:tab/>
      </w:r>
      <w:r>
        <w:rPr>
          <w:b/>
          <w:bCs/>
        </w:rPr>
        <w:t xml:space="preserve">On 15 December 2009, </w:t>
      </w:r>
      <w:r>
        <w:t>the Princes Street works remained a flashpoint, the Princes Street Supplemental Agreement being still unresolved and the subject of recrimination between the parties</w:t>
      </w:r>
      <w:r>
        <w:rPr>
          <w:rStyle w:val="FootnoteReference"/>
        </w:rPr>
        <w:footnoteReference w:id="8"/>
      </w:r>
      <w:r>
        <w:t>.</w:t>
      </w:r>
    </w:p>
    <w:p w14:paraId="7898E4D2" w14:textId="77777777" w:rsidR="00797881" w:rsidRDefault="00000000">
      <w:pPr>
        <w:tabs>
          <w:tab w:val="left" w:pos="1080"/>
        </w:tabs>
        <w:spacing w:after="200" w:line="276" w:lineRule="auto"/>
        <w:ind w:left="1080" w:hanging="1080"/>
        <w:jc w:val="both"/>
      </w:pPr>
      <w:r>
        <w:t>6.5.7</w:t>
      </w:r>
      <w:r>
        <w:tab/>
      </w:r>
      <w:r>
        <w:rPr>
          <w:b/>
          <w:bCs/>
        </w:rPr>
        <w:t xml:space="preserve">In August 2010, </w:t>
      </w:r>
      <w:r>
        <w:t>tie escalated from adjudication to formal contractual default:</w:t>
      </w:r>
    </w:p>
    <w:p w14:paraId="1C8F4513" w14:textId="77777777" w:rsidR="00797881" w:rsidRDefault="00000000">
      <w:pPr>
        <w:tabs>
          <w:tab w:val="left" w:pos="1800"/>
        </w:tabs>
        <w:spacing w:after="160" w:line="276" w:lineRule="auto"/>
        <w:ind w:left="1800" w:hanging="540"/>
        <w:jc w:val="both"/>
      </w:pPr>
      <w:r>
        <w:t>i)</w:t>
      </w:r>
      <w:r>
        <w:tab/>
      </w:r>
      <w:r>
        <w:rPr>
          <w:b/>
          <w:bCs/>
        </w:rPr>
        <w:t xml:space="preserve">Underperformance Warning Notice: </w:t>
      </w:r>
      <w:r>
        <w:t>served on BSC under Clause 56.7 on 9 August 2010 (INF CORR 5765)</w:t>
      </w:r>
      <w:r>
        <w:rPr>
          <w:rStyle w:val="FootnoteReference"/>
        </w:rPr>
        <w:footnoteReference w:id="9"/>
      </w:r>
      <w:r>
        <w:t>.</w:t>
      </w:r>
    </w:p>
    <w:p w14:paraId="3F59BC40" w14:textId="77777777" w:rsidR="00797881" w:rsidRDefault="00000000">
      <w:pPr>
        <w:tabs>
          <w:tab w:val="left" w:pos="1800"/>
        </w:tabs>
        <w:spacing w:after="160" w:line="276" w:lineRule="auto"/>
        <w:ind w:left="1800" w:hanging="540"/>
        <w:jc w:val="both"/>
      </w:pPr>
      <w:r>
        <w:t>ii)</w:t>
      </w:r>
      <w:r>
        <w:tab/>
      </w:r>
      <w:r>
        <w:rPr>
          <w:b/>
          <w:bCs/>
        </w:rPr>
        <w:t xml:space="preserve">Remediable Termination Notice (Programme): </w:t>
      </w:r>
      <w:r>
        <w:t>served on 15 August 2010 in respect of Clause 60 (INF CORR 5819)</w:t>
      </w:r>
      <w:r>
        <w:rPr>
          <w:rStyle w:val="FootnoteReference"/>
        </w:rPr>
        <w:footnoteReference w:id="10"/>
      </w:r>
      <w:r>
        <w:t>.</w:t>
      </w:r>
    </w:p>
    <w:p w14:paraId="7097AEA0" w14:textId="77777777" w:rsidR="00797881" w:rsidRDefault="00000000">
      <w:pPr>
        <w:tabs>
          <w:tab w:val="left" w:pos="1800"/>
        </w:tabs>
        <w:spacing w:after="160" w:line="276" w:lineRule="auto"/>
        <w:ind w:left="1800" w:hanging="540"/>
        <w:jc w:val="both"/>
      </w:pPr>
      <w:r>
        <w:t>iii)</w:t>
      </w:r>
      <w:r>
        <w:tab/>
      </w:r>
      <w:r>
        <w:rPr>
          <w:b/>
          <w:bCs/>
        </w:rPr>
        <w:t xml:space="preserve">Further Remediable Termination Notices: </w:t>
      </w:r>
      <w:r>
        <w:t>served in respect of alleged defects on Princes Street</w:t>
      </w:r>
      <w:r>
        <w:rPr>
          <w:rStyle w:val="FootnoteReference"/>
        </w:rPr>
        <w:footnoteReference w:id="11"/>
      </w:r>
      <w:r>
        <w:t>, and of an alleged failure to progress demolition works at plots 97 &amp; 102</w:t>
      </w:r>
      <w:r>
        <w:rPr>
          <w:rStyle w:val="FootnoteReference"/>
        </w:rPr>
        <w:footnoteReference w:id="12"/>
      </w:r>
      <w:r>
        <w:t>. The service of these notices, and the threat of termination, coincided with the effective standstill of progress as the parties dug in.</w:t>
      </w:r>
    </w:p>
    <w:p w14:paraId="061325FE" w14:textId="77777777" w:rsidR="00797881" w:rsidRDefault="00000000">
      <w:pPr>
        <w:tabs>
          <w:tab w:val="left" w:pos="1080"/>
        </w:tabs>
        <w:spacing w:after="200" w:line="276" w:lineRule="auto"/>
        <w:ind w:left="1080" w:hanging="1080"/>
        <w:jc w:val="both"/>
      </w:pPr>
      <w:r>
        <w:t>6.5.8</w:t>
      </w:r>
      <w:r>
        <w:tab/>
      </w:r>
      <w:r>
        <w:rPr>
          <w:b/>
          <w:bCs/>
        </w:rPr>
        <w:t xml:space="preserve">On 3 March 2011, </w:t>
      </w:r>
      <w:r>
        <w:t>a further adjudication decision was issued on the Payment of Preliminaries (Lord Dervaird), by which point the dispute encompassed the fundamental question of who should bear the cost of the stalled works</w:t>
      </w:r>
      <w:r>
        <w:rPr>
          <w:rStyle w:val="FootnoteReference"/>
        </w:rPr>
        <w:footnoteReference w:id="13"/>
      </w:r>
      <w:r>
        <w:t>.</w:t>
      </w:r>
    </w:p>
    <w:p w14:paraId="27A52A1C" w14:textId="77777777" w:rsidR="00797881" w:rsidRDefault="00000000">
      <w:pPr>
        <w:tabs>
          <w:tab w:val="left" w:pos="1080"/>
        </w:tabs>
        <w:spacing w:after="200" w:line="276" w:lineRule="auto"/>
        <w:ind w:left="1080" w:hanging="1080"/>
        <w:jc w:val="both"/>
      </w:pPr>
      <w:r>
        <w:t>6.5.9</w:t>
      </w:r>
      <w:r>
        <w:tab/>
      </w:r>
      <w:r>
        <w:rPr>
          <w:b/>
          <w:bCs/>
        </w:rPr>
        <w:t xml:space="preserve">From 8 March 2011, </w:t>
      </w:r>
      <w:r>
        <w:t>the parties convened at Mar Hall for mediation. tie’s Mediation Statement</w:t>
      </w:r>
      <w:r>
        <w:rPr>
          <w:rStyle w:val="FootnoteReference"/>
        </w:rPr>
        <w:footnoteReference w:id="14"/>
      </w:r>
      <w:r>
        <w:t xml:space="preserve"> and the Council Chief Executive’s opening statement set out the history and "disappointments" of the project</w:t>
      </w:r>
      <w:r>
        <w:rPr>
          <w:rStyle w:val="FootnoteReference"/>
        </w:rPr>
        <w:footnoteReference w:id="15"/>
      </w:r>
      <w:r>
        <w:t>; tie’s mediation exhibits included a DRP Overview</w:t>
      </w:r>
      <w:r>
        <w:rPr>
          <w:rStyle w:val="FootnoteReference"/>
        </w:rPr>
        <w:footnoteReference w:id="16"/>
      </w:r>
      <w:r>
        <w:t xml:space="preserve"> and Change Statistics as at 9 February 2011 quantifying the scale of the disputed change</w:t>
      </w:r>
      <w:r>
        <w:rPr>
          <w:rStyle w:val="FootnoteReference"/>
        </w:rPr>
        <w:footnoteReference w:id="17"/>
      </w:r>
      <w:r>
        <w:t>.</w:t>
      </w:r>
    </w:p>
    <w:p w14:paraId="064D4DCA" w14:textId="77777777" w:rsidR="00797881" w:rsidRDefault="00000000">
      <w:pPr>
        <w:tabs>
          <w:tab w:val="left" w:pos="1080"/>
        </w:tabs>
        <w:spacing w:after="200" w:line="276" w:lineRule="auto"/>
        <w:ind w:left="1080" w:hanging="1080"/>
        <w:jc w:val="both"/>
      </w:pPr>
      <w:r>
        <w:lastRenderedPageBreak/>
        <w:t>6.5.10</w:t>
      </w:r>
      <w:r>
        <w:tab/>
      </w:r>
      <w:r>
        <w:rPr>
          <w:b/>
          <w:bCs/>
        </w:rPr>
        <w:t xml:space="preserve">On 11 March 2011, </w:t>
      </w:r>
      <w:r>
        <w:t>the parties agreed Heads of Terms following Mediation, settling the disputes and providing the basis on which the stalled works could resume</w:t>
      </w:r>
      <w:r>
        <w:rPr>
          <w:rStyle w:val="FootnoteReference"/>
        </w:rPr>
        <w:footnoteReference w:id="18"/>
      </w:r>
      <w:r>
        <w:t>; a file note of 14 March 2011 recorded the outcome of the mediation</w:t>
      </w:r>
      <w:r>
        <w:rPr>
          <w:rStyle w:val="FootnoteReference"/>
        </w:rPr>
        <w:footnoteReference w:id="19"/>
      </w:r>
      <w:r>
        <w:t>. The chronology demonstrates that the project was, for a sustained period, mired in severe contractor disputes and consequent work stoppages that were resolved only by a negotiated settlement.</w:t>
      </w:r>
    </w:p>
    <w:sectPr w:rsidR="0079788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A10823" w14:textId="77777777" w:rsidR="001F778A" w:rsidRDefault="001F778A">
      <w:r>
        <w:separator/>
      </w:r>
    </w:p>
  </w:endnote>
  <w:endnote w:type="continuationSeparator" w:id="0">
    <w:p w14:paraId="7F03EB9E" w14:textId="77777777" w:rsidR="001F778A" w:rsidRDefault="001F7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41B5C2" w14:textId="77777777" w:rsidR="001F778A" w:rsidRDefault="001F778A">
      <w:r>
        <w:separator/>
      </w:r>
    </w:p>
  </w:footnote>
  <w:footnote w:type="continuationSeparator" w:id="0">
    <w:p w14:paraId="6A2435AB" w14:textId="77777777" w:rsidR="001F778A" w:rsidRDefault="001F778A">
      <w:r>
        <w:continuationSeparator/>
      </w:r>
    </w:p>
  </w:footnote>
  <w:footnote w:id="1">
    <w:p w14:paraId="2A0E6ED6" w14:textId="77777777" w:rsidR="00797881" w:rsidRDefault="00000000">
      <w:r>
        <w:rPr>
          <w:rStyle w:val="FootnoteReference"/>
        </w:rPr>
        <w:footnoteRef/>
      </w:r>
      <w:r>
        <w:rPr>
          <w:sz w:val="18"/>
          <w:szCs w:val="18"/>
        </w:rPr>
        <w:t>Exhibit 1 – USB00000045, Infraco Contract – Schedule Part 9 (Dispute Resolution Procedure).</w:t>
      </w:r>
    </w:p>
  </w:footnote>
  <w:footnote w:id="2">
    <w:p w14:paraId="06BEBF7E" w14:textId="77777777" w:rsidR="00797881" w:rsidRDefault="00000000">
      <w:r>
        <w:rPr>
          <w:rStyle w:val="FootnoteReference"/>
        </w:rPr>
        <w:footnoteRef/>
      </w:r>
      <w:r>
        <w:rPr>
          <w:sz w:val="18"/>
          <w:szCs w:val="18"/>
        </w:rPr>
        <w:t>Exhibit 2 – CEC00965767, "Issues to be Referred to Mediation", 26 June 2009.</w:t>
      </w:r>
    </w:p>
  </w:footnote>
  <w:footnote w:id="3">
    <w:p w14:paraId="5EC4FDA4" w14:textId="77777777" w:rsidR="00797881" w:rsidRDefault="00000000">
      <w:r>
        <w:rPr>
          <w:rStyle w:val="FootnoteReference"/>
        </w:rPr>
        <w:footnoteRef/>
      </w:r>
      <w:r>
        <w:rPr>
          <w:sz w:val="18"/>
          <w:szCs w:val="18"/>
        </w:rPr>
        <w:t>Exhibit 3 – CEC00683530, City of Edinburgh Council, Policy &amp; Strategy Committee Minute – "Edinburgh Tram – Princes Street Roadworks Embargo", 9 June 2009.</w:t>
      </w:r>
    </w:p>
  </w:footnote>
  <w:footnote w:id="4">
    <w:p w14:paraId="4643779C" w14:textId="77777777" w:rsidR="00797881" w:rsidRDefault="00000000">
      <w:r>
        <w:rPr>
          <w:rStyle w:val="FootnoteReference"/>
        </w:rPr>
        <w:footnoteRef/>
      </w:r>
      <w:r>
        <w:rPr>
          <w:sz w:val="18"/>
          <w:szCs w:val="18"/>
        </w:rPr>
        <w:t>Exhibit 4 – BFB00053325, Adjudication Decision – Hilton Hotel Car Park Works, 15 October 2009 (Robert B M Howie QC, Adjudicator).</w:t>
      </w:r>
    </w:p>
  </w:footnote>
  <w:footnote w:id="5">
    <w:p w14:paraId="25507F41" w14:textId="77777777" w:rsidR="00797881" w:rsidRDefault="00000000">
      <w:r>
        <w:rPr>
          <w:rStyle w:val="FootnoteReference"/>
        </w:rPr>
        <w:footnoteRef/>
      </w:r>
      <w:r>
        <w:rPr>
          <w:sz w:val="18"/>
          <w:szCs w:val="18"/>
        </w:rPr>
        <w:t>Exhibit 5 – CEC00479430, "Overview of Adjudicator’s Decisions – Gogarburn and Carrick Knowe Bridge", 16 November 2009.</w:t>
      </w:r>
    </w:p>
  </w:footnote>
  <w:footnote w:id="6">
    <w:p w14:paraId="1C2EA374" w14:textId="77777777" w:rsidR="00797881" w:rsidRDefault="00000000">
      <w:r>
        <w:rPr>
          <w:rStyle w:val="FootnoteReference"/>
        </w:rPr>
        <w:footnoteRef/>
      </w:r>
      <w:r>
        <w:rPr>
          <w:sz w:val="18"/>
          <w:szCs w:val="18"/>
        </w:rPr>
        <w:t>Exhibit 7 – CEC00034842, Adjudication Decision – Changes to Russell Road Retaining Wall Two, 4 January 2010.</w:t>
      </w:r>
    </w:p>
  </w:footnote>
  <w:footnote w:id="7">
    <w:p w14:paraId="44414D84" w14:textId="77777777" w:rsidR="00797881" w:rsidRDefault="00000000">
      <w:r>
        <w:rPr>
          <w:rStyle w:val="FootnoteReference"/>
        </w:rPr>
        <w:footnoteRef/>
      </w:r>
      <w:r>
        <w:rPr>
          <w:sz w:val="18"/>
          <w:szCs w:val="18"/>
        </w:rPr>
        <w:t>Exhibit 8 – CEC00375600, Adjudication Decision – Delays resulting from incomplete MUDFA Works, 4 June 2010 (Robert B M Howie QC, Adjudicator).</w:t>
      </w:r>
    </w:p>
  </w:footnote>
  <w:footnote w:id="8">
    <w:p w14:paraId="18479985" w14:textId="77777777" w:rsidR="00797881" w:rsidRDefault="00000000">
      <w:r>
        <w:rPr>
          <w:rStyle w:val="FootnoteReference"/>
        </w:rPr>
        <w:footnoteRef/>
      </w:r>
      <w:r>
        <w:rPr>
          <w:sz w:val="18"/>
          <w:szCs w:val="18"/>
        </w:rPr>
        <w:t>Exhibit 6 – CEC00472657, e-mail N. Smith (CEC Legal), "RE: Princes Street Supplemental", 15 December 2009.</w:t>
      </w:r>
    </w:p>
  </w:footnote>
  <w:footnote w:id="9">
    <w:p w14:paraId="0DD9519F" w14:textId="77777777" w:rsidR="00797881" w:rsidRDefault="00000000">
      <w:r>
        <w:rPr>
          <w:rStyle w:val="FootnoteReference"/>
        </w:rPr>
        <w:footnoteRef/>
      </w:r>
      <w:r>
        <w:rPr>
          <w:sz w:val="18"/>
          <w:szCs w:val="18"/>
        </w:rPr>
        <w:t>Exhibit 9 – CEC00378695, Underperformance Warning Notice (Clause 56.7), INF CORR 5765, 9 August 2010.</w:t>
      </w:r>
    </w:p>
  </w:footnote>
  <w:footnote w:id="10">
    <w:p w14:paraId="651CED1E" w14:textId="77777777" w:rsidR="00797881" w:rsidRDefault="00000000">
      <w:r>
        <w:rPr>
          <w:rStyle w:val="FootnoteReference"/>
        </w:rPr>
        <w:footnoteRef/>
      </w:r>
      <w:r>
        <w:rPr>
          <w:sz w:val="18"/>
          <w:szCs w:val="18"/>
        </w:rPr>
        <w:t>Exhibit 10 – CEC02084520, tie Remediable Termination Notice in respect of Clause 60 (Programme), INF CORR 5819, 15 August 2010.</w:t>
      </w:r>
    </w:p>
  </w:footnote>
  <w:footnote w:id="11">
    <w:p w14:paraId="21C1861F" w14:textId="77777777" w:rsidR="00797881" w:rsidRDefault="00000000">
      <w:r>
        <w:rPr>
          <w:rStyle w:val="FootnoteReference"/>
        </w:rPr>
        <w:footnoteRef/>
      </w:r>
      <w:r>
        <w:rPr>
          <w:sz w:val="18"/>
          <w:szCs w:val="18"/>
        </w:rPr>
        <w:t>Exhibit 11 – CEC02084527, tie Remediable Termination Notice in respect of alleged defects on Princes Street, and Responses thereto.</w:t>
      </w:r>
    </w:p>
  </w:footnote>
  <w:footnote w:id="12">
    <w:p w14:paraId="18430E28" w14:textId="77777777" w:rsidR="00797881" w:rsidRDefault="00000000">
      <w:r>
        <w:rPr>
          <w:rStyle w:val="FootnoteReference"/>
        </w:rPr>
        <w:footnoteRef/>
      </w:r>
      <w:r>
        <w:rPr>
          <w:sz w:val="18"/>
          <w:szCs w:val="18"/>
        </w:rPr>
        <w:t>Exhibit 12 – CEC02084523, tie Remediable Termination Notice in respect of alleged failure to progress demolition works at plots 97 &amp; 102.</w:t>
      </w:r>
    </w:p>
  </w:footnote>
  <w:footnote w:id="13">
    <w:p w14:paraId="5F82E587" w14:textId="77777777" w:rsidR="00797881" w:rsidRDefault="00000000">
      <w:r>
        <w:rPr>
          <w:rStyle w:val="FootnoteReference"/>
        </w:rPr>
        <w:footnoteRef/>
      </w:r>
      <w:r>
        <w:rPr>
          <w:sz w:val="18"/>
          <w:szCs w:val="18"/>
        </w:rPr>
        <w:t>Exhibit 13 – BFB00053489, Adjudication Decision – Payment of Preliminaries, 3 March 2011 (Lord Dervaird, Adjudicator).</w:t>
      </w:r>
    </w:p>
  </w:footnote>
  <w:footnote w:id="14">
    <w:p w14:paraId="3BAC5372" w14:textId="77777777" w:rsidR="00797881" w:rsidRDefault="00000000">
      <w:r>
        <w:rPr>
          <w:rStyle w:val="FootnoteReference"/>
        </w:rPr>
        <w:footnoteRef/>
      </w:r>
      <w:r>
        <w:rPr>
          <w:sz w:val="18"/>
          <w:szCs w:val="18"/>
        </w:rPr>
        <w:t>Exhibit 14 – BFB00053300, "tie’s Mediation Statement" (In the Matter of a Mediation before Michael B Shane), 2011.</w:t>
      </w:r>
    </w:p>
  </w:footnote>
  <w:footnote w:id="15">
    <w:p w14:paraId="5D0A095D" w14:textId="77777777" w:rsidR="00797881" w:rsidRDefault="00000000">
      <w:r>
        <w:rPr>
          <w:rStyle w:val="FootnoteReference"/>
        </w:rPr>
        <w:footnoteRef/>
      </w:r>
      <w:r>
        <w:rPr>
          <w:sz w:val="18"/>
          <w:szCs w:val="18"/>
        </w:rPr>
        <w:t>Exhibit 15 – CEC02084575, Mar Hall Mediation – "Sue Bruce – Opening Statement", 8 March 2011.</w:t>
      </w:r>
    </w:p>
  </w:footnote>
  <w:footnote w:id="16">
    <w:p w14:paraId="65162387" w14:textId="77777777" w:rsidR="00797881" w:rsidRDefault="00000000">
      <w:r>
        <w:rPr>
          <w:rStyle w:val="FootnoteReference"/>
        </w:rPr>
        <w:footnoteRef/>
      </w:r>
      <w:r>
        <w:rPr>
          <w:sz w:val="18"/>
          <w:szCs w:val="18"/>
        </w:rPr>
        <w:t>Exhibit 16 – CEC02084537, Mar Hall Mediation – tie’s Exhibits, Tab 7 – "DRP Overview".</w:t>
      </w:r>
    </w:p>
  </w:footnote>
  <w:footnote w:id="17">
    <w:p w14:paraId="1D5DDDB8" w14:textId="77777777" w:rsidR="00797881" w:rsidRDefault="00000000">
      <w:r>
        <w:rPr>
          <w:rStyle w:val="FootnoteReference"/>
        </w:rPr>
        <w:footnoteRef/>
      </w:r>
      <w:r>
        <w:rPr>
          <w:sz w:val="18"/>
          <w:szCs w:val="18"/>
        </w:rPr>
        <w:t>Exhibit 17 – CEC02084538, Mar Hall Mediation – tie’s Exhibits, Tab 8 – "Change Statistics at 9 February 2011".</w:t>
      </w:r>
    </w:p>
  </w:footnote>
  <w:footnote w:id="18">
    <w:p w14:paraId="350F8FFF" w14:textId="77777777" w:rsidR="00797881" w:rsidRDefault="00000000">
      <w:r>
        <w:rPr>
          <w:rStyle w:val="FootnoteReference"/>
        </w:rPr>
        <w:footnoteRef/>
      </w:r>
      <w:r>
        <w:rPr>
          <w:sz w:val="18"/>
          <w:szCs w:val="18"/>
        </w:rPr>
        <w:t>Exhibit 18 – WED00000594, "Infraco – Heads of Terms following Mediation", 11 March 2011.</w:t>
      </w:r>
    </w:p>
  </w:footnote>
  <w:footnote w:id="19">
    <w:p w14:paraId="3113ED4C" w14:textId="77777777" w:rsidR="00797881" w:rsidRDefault="00000000">
      <w:r>
        <w:rPr>
          <w:rStyle w:val="FootnoteReference"/>
        </w:rPr>
        <w:footnoteRef/>
      </w:r>
      <w:r>
        <w:rPr>
          <w:sz w:val="18"/>
          <w:szCs w:val="18"/>
        </w:rPr>
        <w:t>Exhibit 19 – WED00000582, "File Note by Tony Rush of the mediation", 14 March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210568"/>
    <w:multiLevelType w:val="hybridMultilevel"/>
    <w:tmpl w:val="4508C340"/>
    <w:lvl w:ilvl="0" w:tplc="2A9861CC">
      <w:start w:val="1"/>
      <w:numFmt w:val="bullet"/>
      <w:lvlText w:val="●"/>
      <w:lvlJc w:val="left"/>
      <w:pPr>
        <w:ind w:left="720" w:hanging="360"/>
      </w:pPr>
    </w:lvl>
    <w:lvl w:ilvl="1" w:tplc="2B5E1FF6">
      <w:start w:val="1"/>
      <w:numFmt w:val="bullet"/>
      <w:lvlText w:val="○"/>
      <w:lvlJc w:val="left"/>
      <w:pPr>
        <w:ind w:left="1440" w:hanging="360"/>
      </w:pPr>
    </w:lvl>
    <w:lvl w:ilvl="2" w:tplc="A6521C9C">
      <w:start w:val="1"/>
      <w:numFmt w:val="bullet"/>
      <w:lvlText w:val="■"/>
      <w:lvlJc w:val="left"/>
      <w:pPr>
        <w:ind w:left="2160" w:hanging="360"/>
      </w:pPr>
    </w:lvl>
    <w:lvl w:ilvl="3" w:tplc="EE68C850">
      <w:start w:val="1"/>
      <w:numFmt w:val="bullet"/>
      <w:lvlText w:val="●"/>
      <w:lvlJc w:val="left"/>
      <w:pPr>
        <w:ind w:left="2880" w:hanging="360"/>
      </w:pPr>
    </w:lvl>
    <w:lvl w:ilvl="4" w:tplc="63B48D4E">
      <w:start w:val="1"/>
      <w:numFmt w:val="bullet"/>
      <w:lvlText w:val="○"/>
      <w:lvlJc w:val="left"/>
      <w:pPr>
        <w:ind w:left="3600" w:hanging="360"/>
      </w:pPr>
    </w:lvl>
    <w:lvl w:ilvl="5" w:tplc="4BEC03D6">
      <w:start w:val="1"/>
      <w:numFmt w:val="bullet"/>
      <w:lvlText w:val="■"/>
      <w:lvlJc w:val="left"/>
      <w:pPr>
        <w:ind w:left="4320" w:hanging="360"/>
      </w:pPr>
    </w:lvl>
    <w:lvl w:ilvl="6" w:tplc="A732CC02">
      <w:start w:val="1"/>
      <w:numFmt w:val="bullet"/>
      <w:lvlText w:val="●"/>
      <w:lvlJc w:val="left"/>
      <w:pPr>
        <w:ind w:left="5040" w:hanging="360"/>
      </w:pPr>
    </w:lvl>
    <w:lvl w:ilvl="7" w:tplc="23164A40">
      <w:start w:val="1"/>
      <w:numFmt w:val="bullet"/>
      <w:lvlText w:val="●"/>
      <w:lvlJc w:val="left"/>
      <w:pPr>
        <w:ind w:left="5760" w:hanging="360"/>
      </w:pPr>
    </w:lvl>
    <w:lvl w:ilvl="8" w:tplc="0D7E074C">
      <w:start w:val="1"/>
      <w:numFmt w:val="bullet"/>
      <w:lvlText w:val="●"/>
      <w:lvlJc w:val="left"/>
      <w:pPr>
        <w:ind w:left="6480" w:hanging="360"/>
      </w:pPr>
    </w:lvl>
  </w:abstractNum>
  <w:num w:numId="1" w16cid:durableId="19181238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881"/>
    <w:rsid w:val="001F778A"/>
    <w:rsid w:val="00797881"/>
    <w:rsid w:val="00867442"/>
    <w:rsid w:val="00990C7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399E0F7"/>
  <w15:docId w15:val="{C0CA3751-89CF-4546-A0F5-4A2AD670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Severe Contractor Disputes and Work Stoppages – Chronology of Events</dc:title>
  <dc:creator>Edinburgh Tram Network</dc:creator>
  <cp:lastModifiedBy>Ozan Altun</cp:lastModifiedBy>
  <cp:revision>2</cp:revision>
  <dcterms:created xsi:type="dcterms:W3CDTF">2026-07-26T15:43:00Z</dcterms:created>
  <dcterms:modified xsi:type="dcterms:W3CDTF">2026-07-26T15:43:00Z</dcterms:modified>
</cp:coreProperties>
</file>