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56"/>
          <w:szCs w:val="56"/>
        </w:rPr>
        <w:t xml:space="preserve">AGENTARMY</w:t>
      </w:r>
    </w:p>
    <w:p>
      <w:pPr>
        <w:spacing w:after="480"/>
        <w:jc w:val="center"/>
      </w:pPr>
      <w:r>
        <w:rPr>
          <w:color w:val="595959"/>
          <w:sz w:val="32"/>
          <w:szCs w:val="32"/>
        </w:rPr>
        <w:t xml:space="preserve">Evrensel Ajan Ordusu Platformu</w:t>
      </w:r>
    </w:p>
    <w:p>
      <w:pPr>
        <w:spacing w:after="240"/>
        <w:jc w:val="center"/>
      </w:pPr>
      <w:r>
        <w:rPr>
          <w:i/>
          <w:iCs/>
          <w:sz w:val="24"/>
          <w:szCs w:val="24"/>
        </w:rPr>
        <w:t xml:space="preserve">Strateji, Mimari ve İş Modeli Master Dokümanı</w:t>
      </w:r>
    </w:p>
    <w:p>
      <w:pPr>
        <w:spacing w:before="2400"/>
        <w:jc w:val="center"/>
      </w:pPr>
      <w:r>
        <w:rPr>
          <w:color w:val="7F7F7F"/>
          <w:sz w:val="20"/>
          <w:szCs w:val="20"/>
        </w:rPr>
        <w:t xml:space="preserve">Sürüm 1.0  |  Mayıs 2026</w:t>
      </w:r>
    </w:p>
    <w:p>
      <w:pPr>
        <w:spacing w:before="120"/>
        <w:jc w:val="center"/>
      </w:pPr>
      <w:r>
        <w:rPr>
          <w:color w:val="7F7F7F"/>
          <w:sz w:val="20"/>
          <w:szCs w:val="20"/>
        </w:rPr>
        <w:t xml:space="preserve">Kadir Öğreten</w:t>
      </w:r>
    </w:p>
    <w:p>
      <w:r>
        <w:br w:type="page"/>
      </w:r>
    </w:p>
    <w:p>
      <w:pPr>
        <w:pStyle w:val="Heading1"/>
        <w:spacing w:after="180" w:before="360"/>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Yönetici Özeti</w:t>
      </w:r>
    </w:p>
    <w:p>
      <w:pPr>
        <w:spacing w:after="120"/>
      </w:pPr>
      <w:r>
        <w:t xml:space="preserve">AgentArmy, sektörden ve şirketten bağımsız olarak her organizasyonun iş süreçlerini AI ajan ekipleri ile yönetebileceği yatay bir platformdur. Vizyonumuz; bir kurum bizden hizmet aldığında, içinde "araştırmadan rapor üretimine, satış teklifinden hibe başvurusuna, hukuki taramaya kadar" her görevi insan müdahalesi minimum seviyede tutarak yürüten, denetlenebilir ve maliyeti ölçülebilir bir dijital iş gücü almasıdır.</w:t>
      </w:r>
    </w:p>
    <w:p>
      <w:pPr>
        <w:spacing w:after="120"/>
      </w:pPr>
      <w:r>
        <w:t xml:space="preserve">Ürünün rakiplerinden ayrıştığı yer "framework satmak" değil, "iş çıktısı veren sözleşmeli ajan ekipleri" sunmasıdır. Kalite kapıları (Quality Gates), denetçi (Verifier) rubrikleri, karşıt görüş (Contrarian) tetikleyicileri ve risk-onay matrisi (R0–R3) ile kurumsal müşterilerin halüsinasyon ve uyumluluk endişelerine somut bir yanıt verir.</w:t>
      </w:r>
    </w:p>
    <w:p>
      <w:pPr>
        <w:spacing w:after="120"/>
      </w:pPr>
      <w:r>
        <w:t xml:space="preserve">Bu doküman, projenin mevcut durumdan (1–2. olgunluk basamağı) yatay-ölçekli üretim platformuna (3. basamak) geçişi için kapsamlı bir strateji, mimari, iş modeli ve yönetişim çerçevesi sunar.</w:t>
      </w:r>
    </w:p>
    <w:p>
      <w:pPr>
        <w:pStyle w:val="Heading2"/>
        <w:spacing w:after="140" w:before="240"/>
      </w:pPr>
      <w:r>
        <w:t xml:space="preserve">1.1. Temel Tezler</w:t>
      </w:r>
    </w:p>
    <w:p>
      <w:pPr>
        <w:pStyle w:val="ListParagraph"/>
        <w:numPr>
          <w:ilvl w:val="0"/>
          <w:numId w:val="2"/>
        </w:numPr>
        <w:spacing w:after="80"/>
      </w:pPr>
      <w:r>
        <w:t xml:space="preserve">Sektörden bağımsızlık, kodda değil manifestte aranır: ajanlar, araçlar ve playbook'lar veri olarak tanımlanır; çekirdek motor değişmez.</w:t>
      </w:r>
    </w:p>
    <w:p>
      <w:pPr>
        <w:pStyle w:val="ListParagraph"/>
        <w:numPr>
          <w:ilvl w:val="0"/>
          <w:numId w:val="2"/>
        </w:numPr>
        <w:spacing w:after="80"/>
      </w:pPr>
      <w:r>
        <w:t xml:space="preserve">Halüsinasyon yönetimi, modelle değil süreçle çözülür: Verifier + Contrarian + Quality Gates zorunlu çalışır.</w:t>
      </w:r>
    </w:p>
    <w:p>
      <w:pPr>
        <w:pStyle w:val="ListParagraph"/>
        <w:numPr>
          <w:ilvl w:val="0"/>
          <w:numId w:val="2"/>
        </w:numPr>
        <w:spacing w:after="80"/>
      </w:pPr>
      <w:r>
        <w:t xml:space="preserve">Özerklik, izinle ölçeklenir: risk seviyesi arttıkça otomatik dur/iste kapıları devreye girer.</w:t>
      </w:r>
    </w:p>
    <w:p>
      <w:pPr>
        <w:pStyle w:val="ListParagraph"/>
        <w:numPr>
          <w:ilvl w:val="0"/>
          <w:numId w:val="2"/>
        </w:numPr>
        <w:spacing w:after="80"/>
      </w:pPr>
      <w:r>
        <w:t xml:space="preserve">Bilgi, kalıcı bir varlıktır: Facts/Decisions/Work üçlü hafıza modeli, her run'da büyüyen kurumsal hafıza üretir.</w:t>
      </w:r>
    </w:p>
    <w:p>
      <w:pPr>
        <w:pStyle w:val="ListParagraph"/>
        <w:numPr>
          <w:ilvl w:val="0"/>
          <w:numId w:val="2"/>
        </w:numPr>
        <w:spacing w:after="80"/>
      </w:pPr>
      <w:r>
        <w:t xml:space="preserve">Maliyet, görünür olmalıdır: her ajan adımı için token/maliyet/süre kayıt altındadır.</w:t>
      </w:r>
    </w:p>
    <w:p>
      <w:pPr>
        <w:pStyle w:val="Heading2"/>
        <w:spacing w:after="140" w:before="240"/>
      </w:pPr>
      <w:r>
        <w:t xml:space="preserve">1.2. Stratejik Önceliklendirme</w:t>
      </w:r>
    </w:p>
    <w:p>
      <w:pPr>
        <w:spacing w:after="120"/>
      </w:pPr>
      <w:r>
        <w:t xml:space="preserve">İlk 12 ay boyunca odak yatay platform olgunlaştırması ve 3–5 sektörde derinleşmedir. Sektör seçimi pazar boyutu, satın alma hızı ve düzenleyici uygunluk üçgenine göre yapılır. Tek müşteri (örn. Ideasoft) ya da tek hibe (TÜBİTAK 1507) bir milestone değil, daha büyük yapının ilk doğrulamasıdır.</w:t>
      </w:r>
    </w:p>
    <w:p>
      <w:pPr>
        <w:pBdr>
          <w:bottom w:val="single" w:color="2E75B6" w:sz="6" w:space="1"/>
        </w:pBdr>
      </w:pPr>
      <w:r>
        <w:t xml:space="preserve"/>
      </w:r>
    </w:p>
    <w:p>
      <w:pPr>
        <w:pStyle w:val="Heading1"/>
        <w:spacing w:after="180" w:before="360"/>
      </w:pPr>
      <w:r>
        <w:t xml:space="preserve">2. Vizyon: Evrensel Ajan Ordusu Platformu</w:t>
      </w:r>
    </w:p>
    <w:p>
      <w:pPr>
        <w:pStyle w:val="Heading2"/>
        <w:spacing w:after="140" w:before="240"/>
      </w:pPr>
      <w:r>
        <w:t xml:space="preserve">2.1. Sorunun Tanımı</w:t>
      </w:r>
    </w:p>
    <w:p>
      <w:pPr>
        <w:spacing w:after="120"/>
      </w:pPr>
      <w:r>
        <w:t xml:space="preserve">Bugün kurumlar AI'dan yararlanmak isterken üç temel duvara çarpıyor: (1) Modeller etkileyici ama kontrol edilemez çıktılar veriyor; (2) Her departman kendi başına chatbot deniyor, kurumsal hafıza birikmiyor; (3) Geliştirme ekibi olmayan KOBİ'ler "framework" değil, "iş bittiğinde teslim" istiyor.</w:t>
      </w:r>
    </w:p>
    <w:p>
      <w:pPr>
        <w:spacing w:after="120"/>
      </w:pPr>
      <w:r>
        <w:t xml:space="preserve">AgentArmy bu üç soruna birden cevap verir: kalite ve denetim katmanları ile çıktıyı güvenilir kılar, paylaşılan hafıza ile kurumsal bilgiyi biriktirir, hazır playbook ve persona kataloğu ile sıfır geliştirme efortuyla devreye alır.</w:t>
      </w:r>
    </w:p>
    <w:p>
      <w:pPr>
        <w:pStyle w:val="Heading2"/>
        <w:spacing w:after="140" w:before="240"/>
      </w:pPr>
      <w:r>
        <w:t xml:space="preserve">2.2. Hedef Konumlandırma</w:t>
      </w:r>
    </w:p>
    <w:p>
      <w:pPr>
        <w:spacing w:after="120"/>
      </w:pPr>
      <w:r>
        <w:t xml:space="preserve">Pazar konumlandırması "AI agent framework" değil, "vertical-ready dijital iş gücü"dür. Kurum bir bilgisayar mühendisini değil, "araştırmacı + analist + yazar + denetçi" rollerinin bir ay önce kurulmuş ve eğitilmiş halini satın alır.</w:t>
      </w:r>
    </w:p>
    <w:p>
      <w:pPr>
        <w:pStyle w:val="Heading2"/>
        <w:spacing w:after="140" w:before="240"/>
      </w:pPr>
      <w:r>
        <w:t xml:space="preserve">2.3. Üç Ufuk Vizyonu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Ufuk</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Süre</w:t>
            </w:r>
          </w:p>
        </w:tc>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Ürün Konumu</w:t>
            </w:r>
          </w:p>
        </w:tc>
        <w:tc>
          <w:tcPr>
            <w:tcW w:type="dxa" w:w="22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Müşteri</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H1 — Yatay Platform Olgunluğu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0–12 ay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Manifest-driven, multi-tenant, observable</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Türkiye KOBİ + erken kurumsal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H2 — Sektör Derinleşmesi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12–24 ay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5–8 sektör paketi, sektörel sertifikasyon</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 + AB KOBİ + orta ölçekli kurumsal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H3 — Otonom Şirket Yönetim Katmanı</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24–48 ay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Çapraz-fonksiyon yönetim ajanları, simülasyon</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Kurumsal şirket grupları, kamu</w:t>
            </w:r>
          </w:p>
        </w:tc>
      </w:tr>
    </w:tbl>
    <w:p>
      <w:r>
        <w:t xml:space="preserve"/>
      </w:r>
    </w:p>
    <w:p>
      <w:pPr>
        <w:pBdr>
          <w:bottom w:val="single" w:color="2E75B6" w:sz="6" w:space="1"/>
        </w:pBdr>
      </w:pPr>
      <w:r>
        <w:t xml:space="preserve"/>
      </w:r>
    </w:p>
    <w:p>
      <w:pPr>
        <w:pStyle w:val="Heading1"/>
        <w:spacing w:after="180" w:before="360"/>
      </w:pPr>
      <w:r>
        <w:t xml:space="preserve">3. Mevcut Durum Değerlendirmesi</w:t>
      </w:r>
    </w:p>
    <w:p>
      <w:pPr>
        <w:pStyle w:val="Heading2"/>
        <w:spacing w:after="140" w:before="240"/>
      </w:pPr>
      <w:r>
        <w:t xml:space="preserve">3.1. Güçlü Yanlar</w:t>
      </w:r>
    </w:p>
    <w:p>
      <w:pPr>
        <w:pStyle w:val="ListParagraph"/>
        <w:numPr>
          <w:ilvl w:val="0"/>
          <w:numId w:val="2"/>
        </w:numPr>
        <w:spacing w:after="80"/>
      </w:pPr>
      <w:r>
        <w:t xml:space="preserve">İki katmanlı ajan tasarımı (persona dış / fonksiyonel çekirdek iç) yatay ölçek için doğru paradigma.</w:t>
      </w:r>
    </w:p>
    <w:p>
      <w:pPr>
        <w:pStyle w:val="ListParagraph"/>
        <w:numPr>
          <w:ilvl w:val="0"/>
          <w:numId w:val="2"/>
        </w:numPr>
        <w:spacing w:after="80"/>
      </w:pPr>
      <w:r>
        <w:t xml:space="preserve">Playbook + Domain Pack mimarisi; sektör eklemeyi kod değişikliğinden veri tanımına indirgiyor.</w:t>
      </w:r>
    </w:p>
    <w:p>
      <w:pPr>
        <w:pStyle w:val="ListParagraph"/>
        <w:numPr>
          <w:ilvl w:val="0"/>
          <w:numId w:val="2"/>
        </w:numPr>
        <w:spacing w:after="80"/>
      </w:pPr>
      <w:r>
        <w:t xml:space="preserve">Quality Gates, Verifier rubric, Contrarian — kurumsal satışta somut güvence olarak satılabilir.</w:t>
      </w:r>
    </w:p>
    <w:p>
      <w:pPr>
        <w:pStyle w:val="ListParagraph"/>
        <w:numPr>
          <w:ilvl w:val="0"/>
          <w:numId w:val="2"/>
        </w:numPr>
        <w:spacing w:after="80"/>
      </w:pPr>
      <w:r>
        <w:t xml:space="preserve">Risk seviyeleri ve izin matrisi (R0–R3); KVKK/AI Act uyumu için sağlam zemin.</w:t>
      </w:r>
    </w:p>
    <w:p>
      <w:pPr>
        <w:pStyle w:val="ListParagraph"/>
        <w:numPr>
          <w:ilvl w:val="0"/>
          <w:numId w:val="2"/>
        </w:numPr>
        <w:spacing w:after="80"/>
      </w:pPr>
      <w:r>
        <w:t xml:space="preserve">Facts/Decisions/Work üçlü hafıza modeli; tek bir gerçeklik kaynağı (Single Source of Truth) prensibini destekliyor.</w:t>
      </w:r>
    </w:p>
    <w:p>
      <w:pPr>
        <w:pStyle w:val="ListParagraph"/>
        <w:numPr>
          <w:ilvl w:val="0"/>
          <w:numId w:val="2"/>
        </w:numPr>
        <w:spacing w:after="80"/>
      </w:pPr>
      <w:r>
        <w:t xml:space="preserve">GitHub Actions worker + Supabase kuyruğu; MVP için maliyet-etkin başlangıç.</w:t>
      </w:r>
    </w:p>
    <w:p>
      <w:pPr>
        <w:pStyle w:val="Heading2"/>
        <w:spacing w:after="140" w:before="240"/>
      </w:pPr>
      <w:r>
        <w:t xml:space="preserve">3.2. Kritik Boşluklar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Alan</w:t>
            </w:r>
          </w:p>
        </w:tc>
        <w:tc>
          <w:tcPr>
            <w:tcW w:type="dxa" w:w="66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Mevcut Durum ve Boşluk</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Ajan Manifesti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Ajan davranışı C# kodunda agent ID'sine hardcoded ("Researcher" → web_search). Yeni sektör eklendiğinde kod değişikliği gerekiyor. Manifest-driven olmalı.</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Dinamik CEO</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CeoPlanner JSON plan üretiyor, fakat planı yürütecek motor (PlanExecutor) yok. Statik playbook çalıştırması baskın.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Risk Enforcement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CLI seviyesinde tek nokta kontrolü; orchestrator içinde adım-bazlı R2/R3 onay kapısı yok.</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Domain Pack Çeşitliliği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Sadece market-intel. E-ticaret, hukuk, finans, hibe-yazımı, HR yok.</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Multi-tenancy</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Supabase RLS politikaları test edilmemiş; tenant izolasyon doğrulaması eksik.</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Tool Registry</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Üçüncü-parti araç entegrasyonu için standart yok; her entegrasyon ad-hoc yazılır.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Cost Ledger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Token/maliyet/süre kaydı yok; kurumsala fatura kesilemez.</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Observability Dashboard</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KPI'lar tanımlı ama portal'da görselleştirilmemiş.</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Worker SLA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GitHub Actions (10 dk gecikme) kurumsal canlı kullanım için yetersiz.</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Audit Trail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Immutable log yok; KVKK denetim talebine cevap veremez.</w:t>
            </w:r>
          </w:p>
        </w:tc>
      </w:tr>
    </w:tbl>
    <w:p>
      <w:r>
        <w:t xml:space="preserve"/>
      </w:r>
    </w:p>
    <w:p>
      <w:pPr>
        <w:pStyle w:val="Heading2"/>
        <w:spacing w:after="140" w:before="240"/>
      </w:pPr>
      <w:r>
        <w:t xml:space="preserve">3.3. Olgunluk Konumu</w:t>
      </w:r>
    </w:p>
    <w:p>
      <w:pPr>
        <w:spacing w:after="120"/>
      </w:pPr>
      <w:r>
        <w:t xml:space="preserve">Şu an 1–3 basamaklı piramitte 2. basamağın olgunlaşmış ortasındayız. 3. basamağa (çoklu ajan ekipleri, dinamik orkestrasyon, kurumsal-hazır) geçiş için 12 haftalık yoğun bir refactor + altyapı çalışması gerekiyor.</w:t>
      </w:r>
    </w:p>
    <w:p>
      <w:pPr>
        <w:pBdr>
          <w:bottom w:val="single" w:color="2E75B6" w:sz="6" w:space="1"/>
        </w:pBdr>
      </w:pPr>
      <w:r>
        <w:t xml:space="preserve"/>
      </w:r>
    </w:p>
    <w:p>
      <w:pPr>
        <w:pStyle w:val="Heading1"/>
        <w:spacing w:after="180" w:before="360"/>
      </w:pPr>
      <w:r>
        <w:t xml:space="preserve">4. Mimari Prensipler</w:t>
      </w:r>
    </w:p>
    <w:p>
      <w:pPr>
        <w:spacing w:after="120"/>
      </w:pPr>
      <w:r>
        <w:t xml:space="preserve">Aşağıdaki yedi prensip, platform üzerine alınan her teknik kararın test edileceği değerlendirme kriterleridir. Bir özellik bu prensiplerden birine zarar veriyorsa, yeniden tasarlanmalıdır.</w:t>
      </w:r>
    </w:p>
    <w:p>
      <w:pPr>
        <w:pStyle w:val="Heading2"/>
        <w:spacing w:after="140" w:before="240"/>
      </w:pPr>
      <w:r>
        <w:t xml:space="preserve">4.1. Manifest-Driven Everything</w:t>
      </w:r>
    </w:p>
    <w:p>
      <w:pPr>
        <w:spacing w:after="120"/>
      </w:pPr>
      <w:r>
        <w:t xml:space="preserve">Ajan davranışı, araç izinleri, playbook adımları, risk profilleri, domain politikaları — hepsi kodun dışındaki JSON/DB manifestlerinde tanımlanır. Çekirdek motor manifestleri okur ve davranır. Yeni bir sektör eklemek için kod commit'i gerekmez.</w:t>
      </w:r>
    </w:p>
    <w:p>
      <w:pPr>
        <w:pStyle w:val="Heading2"/>
        <w:spacing w:after="140" w:before="240"/>
      </w:pPr>
      <w:r>
        <w:t xml:space="preserve">4.2. Quality-First, Throughput-Second</w:t>
      </w:r>
    </w:p>
    <w:p>
      <w:pPr>
        <w:spacing w:after="120"/>
      </w:pPr>
      <w:r>
        <w:t xml:space="preserve">Hızlı ama yanlış çıktı, yavaş ama doğru çıktıdan daha pahalıdır. Verifier zorunlu çalışır, FAIL durumunda Writer revize eder. R2/R3 risk seviyelerinde Verifier + Contrarian zorunludur.</w:t>
      </w:r>
    </w:p>
    <w:p>
      <w:pPr>
        <w:pStyle w:val="Heading2"/>
        <w:spacing w:after="140" w:before="240"/>
      </w:pPr>
      <w:r>
        <w:t xml:space="preserve">4.3. Single Source of Truth</w:t>
      </w:r>
    </w:p>
    <w:p>
      <w:pPr>
        <w:spacing w:after="120"/>
      </w:pPr>
      <w:r>
        <w:t xml:space="preserve">Her tenant için Facts/Decisions/Work üçlü hafıza tek noktadan yönetilir. Ajanlar arası bilgi paylaşımı bu hafıza üzerinden yapılır. Hafızanın dışına çıkan iddia, "verifiable" sayılmaz.</w:t>
      </w:r>
    </w:p>
    <w:p>
      <w:pPr>
        <w:pStyle w:val="Heading2"/>
        <w:spacing w:after="140" w:before="240"/>
      </w:pPr>
      <w:r>
        <w:t xml:space="preserve">4.4. Permissions Beat Capabilities</w:t>
      </w:r>
    </w:p>
    <w:p>
      <w:pPr>
        <w:spacing w:after="120"/>
      </w:pPr>
      <w:r>
        <w:t xml:space="preserve">Ajan "yapabilir" miyle değil, "yapması izinli mi" ile sınırlandırılır. Tool registry her aracı bir izin sözleşmesi (capability scope) ile yayımlar; ajan o izni alana kadar aracı çağıramaz.</w:t>
      </w:r>
    </w:p>
    <w:p>
      <w:pPr>
        <w:pStyle w:val="Heading2"/>
        <w:spacing w:after="140" w:before="240"/>
      </w:pPr>
      <w:r>
        <w:t xml:space="preserve">4.5. Reversibility By Design</w:t>
      </w:r>
    </w:p>
    <w:p>
      <w:pPr>
        <w:spacing w:after="120"/>
      </w:pPr>
      <w:r>
        <w:t xml:space="preserve">R2/R3 kategorisindeki her eylem için "undo plan" üretilmeden işlem yapılmaz. Operatör ajan, bir aksiyon önerirken aynı zamanda geri alma adımlarını sözleşmenin bir parçası olarak sunar.</w:t>
      </w:r>
    </w:p>
    <w:p>
      <w:pPr>
        <w:pStyle w:val="Heading2"/>
        <w:spacing w:after="140" w:before="240"/>
      </w:pPr>
      <w:r>
        <w:t xml:space="preserve">4.6. Observability As Product</w:t>
      </w:r>
    </w:p>
    <w:p>
      <w:pPr>
        <w:spacing w:after="120"/>
      </w:pPr>
      <w:r>
        <w:t xml:space="preserve">Her step'in token, süre, maliyet, başarı/başarısızlık metriği müşteriye görünür olarak yayımlanır. Bu sadece bir SRE pratiği değil, ticari modelin parçasıdır: "AI iş gücüm ne yapıyor, ne kadara mal oluyor?" sorusunun yanıtı.</w:t>
      </w:r>
    </w:p>
    <w:p>
      <w:pPr>
        <w:pStyle w:val="Heading2"/>
        <w:spacing w:after="140" w:before="240"/>
      </w:pPr>
      <w:r>
        <w:t xml:space="preserve">4.7. Tenant Isolation Is Sacred</w:t>
      </w:r>
    </w:p>
    <w:p>
      <w:pPr>
        <w:spacing w:after="120"/>
      </w:pPr>
      <w:r>
        <w:t xml:space="preserve">Hiçbir tenant başka bir tenant'ın facts, decisions, work, prompt log'unu göremez. Veri sızıntısı tek bir P0 hata değildir; ürünün sonu demektir. Tüm sorgular tenant_id ile zorunlu filtrelenir.</w:t>
      </w:r>
    </w:p>
    <w:p>
      <w:pPr>
        <w:pBdr>
          <w:bottom w:val="single" w:color="2E75B6" w:sz="6" w:space="1"/>
        </w:pBdr>
      </w:pPr>
      <w:r>
        <w:t xml:space="preserve"/>
      </w:r>
    </w:p>
    <w:p>
      <w:pPr>
        <w:pStyle w:val="Heading1"/>
        <w:spacing w:after="180" w:before="360"/>
      </w:pPr>
      <w:r>
        <w:t xml:space="preserve">5. Hedef Mimari v2 (Sektörden Bağımsız)</w:t>
      </w:r>
    </w:p>
    <w:p>
      <w:pPr>
        <w:pStyle w:val="Heading2"/>
        <w:spacing w:after="140" w:before="240"/>
      </w:pPr>
      <w:r>
        <w:t xml:space="preserve">5.1. Üst Görünüm</w:t>
      </w:r>
    </w:p>
    <w:p>
      <w:pPr>
        <w:spacing w:after="120"/>
      </w:pPr>
      <w:r>
        <w:t xml:space="preserve">Platform yedi katmandan oluşur. Aşağıdan yukarıya: temel altyapı → model katmanı → orkestrasyon → ajan motoru → kontrol katmanı → API/portal → müşteri arayüzü. Her katman üstündekine kontrat üzerinden hizmet verir.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Katman</w:t>
            </w:r>
          </w:p>
        </w:tc>
        <w:tc>
          <w:tcPr>
            <w:tcW w:type="dxa" w:w="42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Sorumluluk</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Anahtar Bileşenler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L7 — Müşteri Arayüzü</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Tenant-spesifik portal, API entegrasyonları</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Portal UI, müşteri webhook'ları</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L6 — API / SDK</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Stabil dış API, REST + WebSocket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Public API, SDK (TS/Python), CLI</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L5 — Governance &amp; Control</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İzin, onay, audit, KVKK/AI Act uyum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Risk Engine, Audit Log, Approval Queue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L4 — Agent Engine</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Manifest-driven ajan çalıştırma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Orchestrator v2, CEO Executor, Memory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L3 — Tool Registry</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Yetkili tool çağrı katmanı</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Tool Catalog, OAuth Vault, Capability Scopes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L2 — Model Layer</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Çoklu sağlayıcı LLM ve embedding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LLM Router, Embedding Service, Cache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L1 — Foundation</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Kuyruk, DB, depolama, gözlem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Job Queue, Postgres+RLS, Object Store, OTel</w:t>
            </w:r>
          </w:p>
        </w:tc>
      </w:tr>
    </w:tbl>
    <w:p>
      <w:r>
        <w:t xml:space="preserve"/>
      </w:r>
    </w:p>
    <w:p>
      <w:pPr>
        <w:pStyle w:val="Heading2"/>
        <w:spacing w:after="140" w:before="240"/>
      </w:pPr>
      <w:r>
        <w:t xml:space="preserve">5.2. Ana Veri Akışı</w:t>
      </w:r>
    </w:p>
    <w:p>
      <w:pPr>
        <w:spacing w:after="120"/>
      </w:pPr>
      <w:r>
        <w:t xml:space="preserve">Müşteri portal üzerinden bir hedef tanımlar (örn. "Q3 rekabet brief'i çıkar"). İstek L6 API'ye düşer, L5 governance katmanı tenant izinlerini ve risk seviyesini doğrular, L4 agent engine bir CEO Plan üretir, plan paralel/ardışık olarak ajan adımlarına bölünür. Her adım L3 tool registry üzerinden gerekli araçlara erişir, L2 model katmanı LLM çağrılarını yapar, L4 sonuçları Facts/Decisions/Work hafızasına yazar, L5 audit kaydeder ve maliyeti hesaplar, çıktı L7'ye akar.</w:t>
      </w:r>
    </w:p>
    <w:p>
      <w:pPr>
        <w:pStyle w:val="Heading2"/>
        <w:spacing w:after="140" w:before="240"/>
      </w:pPr>
      <w:r>
        <w:t xml:space="preserve">5.3. Mimari Diyagram (Üst Akış)</w:t>
      </w:r>
    </w:p>
    <w:p>
      <w:pPr>
        <w:spacing w:after="80" w:before="80"/>
      </w:pPr>
      <w:r>
        <w:rPr>
          <w:rFonts w:ascii="Consolas" w:cs="Consolas" w:eastAsia="Consolas" w:hAnsi="Consolas"/>
          <w:sz w:val="16"/>
          <w:szCs w:val="16"/>
        </w:rPr>
        <w:t xml:space="preserve">┌────────────────────────────────────────────────────────────┐
│  L7  Müşteri Portal / Webhook / Mobile                     │
└──────────────────────────▲─────────────────────────────────┘
                           │ REST / WS
┌──────────────────────────┴─────────────────────────────────┐
│  L6  Public API   ←→   SDK   ←→   CLI                      │
└──────────────────────────▲─────────────────────────────────┘
                           │
┌──────────────────────────┴─────────────────────────────────┐
│  L5  Governance: Risk · Approval · Audit · Cost Ledger     │
└──────────────────────────▲─────────────────────────────────┘
                           │
┌──────────────────────────┴─────────────────────────────────┐
│  L4  Agent Engine                                          │
│      CEO Executor · Orchestrator v2 · Memory (F/D/W)       │
└──────────────────────────▲─────────────────────────────────┘
                           │
┌──────────────────────────┴─────────────────────────────────┐
│  L3  Tool Registry · OAuth Vault · Capability Scopes       │
└──────────────────────────▲─────────────────────────────────┘
                           │
┌──────────────────────────┴─────────────────────────────────┐
│  L2  Model Layer: LLM Router · Embedding · Cache           │
└──────────────────────────▲─────────────────────────────────┘
                           │
┌──────────────────────────┴─────────────────────────────────┐
│  L1  Foundation: Queue · Postgres+RLS · ObjStore · OTel    │
└────────────────────────────────────────────────────────────┘</w:t>
      </w:r>
    </w:p>
    <w:p>
      <w:pPr>
        <w:pBdr>
          <w:bottom w:val="single" w:color="2E75B6" w:sz="6" w:space="1"/>
        </w:pBdr>
      </w:pPr>
      <w:r>
        <w:t xml:space="preserve"/>
      </w:r>
    </w:p>
    <w:p>
      <w:pPr>
        <w:pStyle w:val="Heading1"/>
        <w:spacing w:after="180" w:before="360"/>
      </w:pPr>
      <w:r>
        <w:t xml:space="preserve">6. Çekirdek Bileşenler</w:t>
      </w:r>
    </w:p>
    <w:p>
      <w:pPr>
        <w:pStyle w:val="Heading2"/>
        <w:spacing w:after="140" w:before="240"/>
      </w:pPr>
      <w:r>
        <w:t xml:space="preserve">6.1. Agent Manifest System</w:t>
      </w:r>
    </w:p>
    <w:p>
      <w:pPr>
        <w:spacing w:after="120"/>
      </w:pPr>
      <w:r>
        <w:t xml:space="preserve">Mevcut Agent record'u (Id, DisplayName, SystemPrompt) genişletilerek manifest'e dönüştürülür. Manifest, ajan davranışını veri olarak tanımlar.</w:t>
      </w:r>
    </w:p>
    <w:p>
      <w:pPr>
        <w:pStyle w:val="Heading3"/>
        <w:spacing w:after="120" w:before="200"/>
      </w:pPr>
      <w:r>
        <w:t xml:space="preserve">6.1.1. Manifest Şeması</w:t>
      </w:r>
    </w:p>
    <w:p>
      <w:pPr>
        <w:pStyle w:val="ListParagraph"/>
        <w:numPr>
          <w:ilvl w:val="0"/>
          <w:numId w:val="2"/>
        </w:numPr>
        <w:spacing w:after="80"/>
      </w:pPr>
      <w:r>
        <w:t xml:space="preserve">id — global benzersiz tanımlayıcı (örn. "RESEARCHER_V2")</w:t>
      </w:r>
    </w:p>
    <w:p>
      <w:pPr>
        <w:pStyle w:val="ListParagraph"/>
        <w:numPr>
          <w:ilvl w:val="0"/>
          <w:numId w:val="2"/>
        </w:numPr>
        <w:spacing w:after="80"/>
      </w:pPr>
      <w:r>
        <w:t xml:space="preserve">displayName — UI'da gösterilen ad</w:t>
      </w:r>
    </w:p>
    <w:p>
      <w:pPr>
        <w:pStyle w:val="ListParagraph"/>
        <w:numPr>
          <w:ilvl w:val="0"/>
          <w:numId w:val="2"/>
        </w:numPr>
        <w:spacing w:after="80"/>
      </w:pPr>
      <w:r>
        <w:t xml:space="preserve">role — semantik rol: research | analysis | writing | editing | verification | operation | contrarian | design | code</w:t>
      </w:r>
    </w:p>
    <w:p>
      <w:pPr>
        <w:pStyle w:val="ListParagraph"/>
        <w:numPr>
          <w:ilvl w:val="0"/>
          <w:numId w:val="2"/>
        </w:numPr>
        <w:spacing w:after="80"/>
      </w:pPr>
      <w:r>
        <w:t xml:space="preserve">description — kısa amaç tanımı</w:t>
      </w:r>
    </w:p>
    <w:p>
      <w:pPr>
        <w:pStyle w:val="ListParagraph"/>
        <w:numPr>
          <w:ilvl w:val="0"/>
          <w:numId w:val="2"/>
        </w:numPr>
        <w:spacing w:after="80"/>
      </w:pPr>
      <w:r>
        <w:t xml:space="preserve">capabilities — yapabildiği işlerin makine okunabilir listesi</w:t>
      </w:r>
    </w:p>
    <w:p>
      <w:pPr>
        <w:pStyle w:val="ListParagraph"/>
        <w:numPr>
          <w:ilvl w:val="0"/>
          <w:numId w:val="2"/>
        </w:numPr>
        <w:spacing w:after="80"/>
      </w:pPr>
      <w:r>
        <w:t xml:space="preserve">systemPrompt — model için sistem mesajı (opsiyonel; yoksa description+capabilities'ten otomatik üretilir)</w:t>
      </w:r>
    </w:p>
    <w:p>
      <w:pPr>
        <w:pStyle w:val="ListParagraph"/>
        <w:numPr>
          <w:ilvl w:val="0"/>
          <w:numId w:val="2"/>
        </w:numPr>
        <w:spacing w:after="80"/>
      </w:pPr>
      <w:r>
        <w:t xml:space="preserve">behaviors — davranış bayrakları: requires_web_search, requires_full_context, writes_to_facts, writes_to_decisions, captures_verifier_report, triggers_contrarian, accepts_rubric, prefers_domain_allowlist</w:t>
      </w:r>
    </w:p>
    <w:p>
      <w:pPr>
        <w:pStyle w:val="ListParagraph"/>
        <w:numPr>
          <w:ilvl w:val="0"/>
          <w:numId w:val="2"/>
        </w:numPr>
        <w:spacing w:after="80"/>
      </w:pPr>
      <w:r>
        <w:t xml:space="preserve">risk_ceiling — ajanın çalışabileceği maksimum risk seviyesi (R0–R3)</w:t>
      </w:r>
    </w:p>
    <w:p>
      <w:pPr>
        <w:pStyle w:val="ListParagraph"/>
        <w:numPr>
          <w:ilvl w:val="0"/>
          <w:numId w:val="2"/>
        </w:numPr>
        <w:spacing w:after="80"/>
      </w:pPr>
      <w:r>
        <w:t xml:space="preserve">cost_class — beklenen token aralığı (low/medium/high)</w:t>
      </w:r>
    </w:p>
    <w:p>
      <w:pPr>
        <w:pStyle w:val="ListParagraph"/>
        <w:numPr>
          <w:ilvl w:val="0"/>
          <w:numId w:val="2"/>
        </w:numPr>
        <w:spacing w:after="80"/>
      </w:pPr>
      <w:r>
        <w:t xml:space="preserve">required_tools — bağımlı olduğu tool registry kayıtları</w:t>
      </w:r>
    </w:p>
    <w:p>
      <w:pPr>
        <w:pStyle w:val="ListParagraph"/>
        <w:numPr>
          <w:ilvl w:val="0"/>
          <w:numId w:val="2"/>
        </w:numPr>
        <w:spacing w:after="80"/>
      </w:pPr>
      <w:r>
        <w:t xml:space="preserve">tenant_overridable — tenant'ın bu ajanı kendi prompt'uyla özelleştirip özelleştiremeyeceği</w:t>
      </w:r>
    </w:p>
    <w:p>
      <w:pPr>
        <w:pStyle w:val="Heading3"/>
        <w:spacing w:after="120" w:before="200"/>
      </w:pPr>
      <w:r>
        <w:t xml:space="preserve">6.1.2. Manifest Yaşam Döngüsü</w:t>
      </w:r>
    </w:p>
    <w:p>
      <w:pPr>
        <w:pStyle w:val="ListParagraph"/>
        <w:numPr>
          <w:ilvl w:val="0"/>
          <w:numId w:val="3"/>
        </w:numPr>
        <w:spacing w:after="80"/>
      </w:pPr>
      <w:r>
        <w:t xml:space="preserve">Platform built-in ajanları "system" tenant'ına bağlı manifest olarak yayınlar.</w:t>
      </w:r>
    </w:p>
    <w:p>
      <w:pPr>
        <w:pStyle w:val="ListParagraph"/>
        <w:numPr>
          <w:ilvl w:val="0"/>
          <w:numId w:val="3"/>
        </w:numPr>
        <w:spacing w:after="80"/>
      </w:pPr>
      <w:r>
        <w:t xml:space="preserve">Tenant, kendi ajanını ekler veya bir built-in'i kopyalayıp özelleştirir.</w:t>
      </w:r>
    </w:p>
    <w:p>
      <w:pPr>
        <w:pStyle w:val="ListParagraph"/>
        <w:numPr>
          <w:ilvl w:val="0"/>
          <w:numId w:val="3"/>
        </w:numPr>
        <w:spacing w:after="80"/>
      </w:pPr>
      <w:r>
        <w:t xml:space="preserve">Manifest değişiklikleri versiyonlanır; eski versiyonu kullanan run'lar etkilenmez.</w:t>
      </w:r>
    </w:p>
    <w:p>
      <w:pPr>
        <w:pStyle w:val="ListParagraph"/>
        <w:numPr>
          <w:ilvl w:val="0"/>
          <w:numId w:val="3"/>
        </w:numPr>
        <w:spacing w:after="80"/>
      </w:pPr>
      <w:r>
        <w:t xml:space="preserve">Orchestrator çalışma anında ID değil, manifest okur ve behaviors'a göre davranır.</w:t>
      </w:r>
    </w:p>
    <w:p>
      <w:pPr>
        <w:pStyle w:val="Heading2"/>
        <w:spacing w:after="140" w:before="240"/>
      </w:pPr>
      <w:r>
        <w:t xml:space="preserve">6.2. Dynamic Orchestration Engine (CEO Executor)</w:t>
      </w:r>
    </w:p>
    <w:p>
      <w:pPr>
        <w:spacing w:after="120"/>
      </w:pPr>
      <w:r>
        <w:t xml:space="preserve">Mevcut CeoPlanner yalnızca JSON plan üretiyor; planı yürüten motor yok. CEO Executor şunları yapar:</w:t>
      </w:r>
    </w:p>
    <w:p>
      <w:pPr>
        <w:pStyle w:val="ListParagraph"/>
        <w:numPr>
          <w:ilvl w:val="0"/>
          <w:numId w:val="2"/>
        </w:numPr>
        <w:spacing w:after="80"/>
      </w:pPr>
      <w:r>
        <w:t xml:space="preserve">Plan'ı topolojik sıralayıp paralel/ardışık çalıştırır.</w:t>
      </w:r>
    </w:p>
    <w:p>
      <w:pPr>
        <w:pStyle w:val="ListParagraph"/>
        <w:numPr>
          <w:ilvl w:val="0"/>
          <w:numId w:val="2"/>
        </w:numPr>
        <w:spacing w:after="80"/>
      </w:pPr>
      <w:r>
        <w:t xml:space="preserve">Her adımın çıktısını Facts/Decisions/Work hafızasına yazar.</w:t>
      </w:r>
    </w:p>
    <w:p>
      <w:pPr>
        <w:pStyle w:val="ListParagraph"/>
        <w:numPr>
          <w:ilvl w:val="0"/>
          <w:numId w:val="2"/>
        </w:numPr>
        <w:spacing w:after="80"/>
      </w:pPr>
      <w:r>
        <w:t xml:space="preserve">Adım başarısız olursa retry / fallback ajan stratejisi uygular.</w:t>
      </w:r>
    </w:p>
    <w:p>
      <w:pPr>
        <w:pStyle w:val="ListParagraph"/>
        <w:numPr>
          <w:ilvl w:val="0"/>
          <w:numId w:val="2"/>
        </w:numPr>
        <w:spacing w:after="80"/>
      </w:pPr>
      <w:r>
        <w:t xml:space="preserve">Risk kapısına gelindiğinde Approval Queue'ya yazıp bekler.</w:t>
      </w:r>
    </w:p>
    <w:p>
      <w:pPr>
        <w:pStyle w:val="ListParagraph"/>
        <w:numPr>
          <w:ilvl w:val="0"/>
          <w:numId w:val="2"/>
        </w:numPr>
        <w:spacing w:after="80"/>
      </w:pPr>
      <w:r>
        <w:t xml:space="preserve">Çıktıları birleştirip final teslimi hazırlar.</w:t>
      </w:r>
    </w:p>
    <w:p>
      <w:pPr>
        <w:pStyle w:val="ListParagraph"/>
        <w:numPr>
          <w:ilvl w:val="0"/>
          <w:numId w:val="2"/>
        </w:numPr>
        <w:spacing w:after="80"/>
      </w:pPr>
      <w:r>
        <w:t xml:space="preserve">Tüm yürütmeyi audit log'a immutable şekilde yazar.</w:t>
      </w:r>
    </w:p>
    <w:p>
      <w:pPr>
        <w:pStyle w:val="Heading2"/>
        <w:spacing w:after="140" w:before="240"/>
      </w:pPr>
      <w:r>
        <w:t xml:space="preserve">6.3. Tool Registry</w:t>
      </w:r>
    </w:p>
    <w:p>
      <w:pPr>
        <w:spacing w:after="120"/>
      </w:pPr>
      <w:r>
        <w:t xml:space="preserve">Şu an Researcher'ın web_search'i kod içinde hardcoded. Production için kurumsal değerin %70'i iç sistem entegrasyonlarıdır — CRM, ERP, e-ticaret API, ticket sistemi, dosya depolama, mesajlaşma. Tool Registry bu entegrasyonların standart kontratıdır.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Bileşen</w:t>
            </w:r>
          </w:p>
        </w:tc>
        <w:tc>
          <w:tcPr>
            <w:tcW w:type="dxa" w:w="62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Sorumluluk</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Tool Catalog</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Yayınlanmış tool'ların listesi, açıklamaları, schema'ları.</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Capability Scopes</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Tool'un hangi izinleri talep ettiği (read/write/destructive).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OAuth Vault</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Tenant başına 3rd-party kimlik bilgilerinin şifreli saklanması.</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Tool Invocation Layer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Ajan → tool çağrılarının izin doğrulamalı yürütücüsü.</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Tool Audit</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Her tool çağrısı için kim/ne zaman/parametre/sonuç kaydı.</w:t>
            </w:r>
          </w:p>
        </w:tc>
      </w:tr>
    </w:tbl>
    <w:p>
      <w:r>
        <w:t xml:space="preserve"/>
      </w:r>
    </w:p>
    <w:p>
      <w:pPr>
        <w:spacing w:after="120"/>
      </w:pPr>
      <w:r>
        <w:t xml:space="preserve">İlk yayınlanacak tool kategorileri: web_search, http_fetch, email_draft, calendar_read, file_read/write, sql_query (read-only), e-commerce (ürün, sipariş, stok), CRM (lead, deal), ticket (Jira, Linear), messaging (Slack draft), document (Docx/PDF üret).</w:t>
      </w:r>
    </w:p>
    <w:p>
      <w:pPr>
        <w:pStyle w:val="Heading2"/>
        <w:spacing w:after="140" w:before="240"/>
      </w:pPr>
      <w:r>
        <w:t xml:space="preserve">6.4. Memory &amp; Knowledge Layer</w:t>
      </w:r>
    </w:p>
    <w:p>
      <w:pPr>
        <w:spacing w:after="120"/>
      </w:pPr>
      <w:r>
        <w:t xml:space="preserve">Üçlü hafıza modeli (Facts/Decisions/Work) tenant başına izole vector + structured store üzerinde tutulur. Facts kaynaklı iddialardır; Decisions kararlar ve gerekçelerdir; Work draft/intermediate çıktılardır.</w:t>
      </w:r>
    </w:p>
    <w:p>
      <w:pPr>
        <w:pStyle w:val="ListParagraph"/>
        <w:numPr>
          <w:ilvl w:val="0"/>
          <w:numId w:val="2"/>
        </w:numPr>
        <w:spacing w:after="80"/>
      </w:pPr>
      <w:r>
        <w:t xml:space="preserve">Facts deposunda her kayıt için: claim, evidence_url, confidence, source_at, tenant_id, fact_hash (deduplication).</w:t>
      </w:r>
    </w:p>
    <w:p>
      <w:pPr>
        <w:pStyle w:val="ListParagraph"/>
        <w:numPr>
          <w:ilvl w:val="0"/>
          <w:numId w:val="2"/>
        </w:numPr>
        <w:spacing w:after="80"/>
      </w:pPr>
      <w:r>
        <w:t xml:space="preserve">Decisions deposunda her kayıt için: decision, options[], rationale, risk, approver, decided_at.</w:t>
      </w:r>
    </w:p>
    <w:p>
      <w:pPr>
        <w:pStyle w:val="ListParagraph"/>
        <w:numPr>
          <w:ilvl w:val="0"/>
          <w:numId w:val="2"/>
        </w:numPr>
        <w:spacing w:after="80"/>
      </w:pPr>
      <w:r>
        <w:t xml:space="preserve">Work deposunda her kayıt için: artifact, type, run_id, step_id, persisted_at, retention_policy.</w:t>
      </w:r>
    </w:p>
    <w:p>
      <w:pPr>
        <w:pStyle w:val="ListParagraph"/>
        <w:numPr>
          <w:ilvl w:val="0"/>
          <w:numId w:val="2"/>
        </w:numPr>
        <w:spacing w:after="80"/>
      </w:pPr>
      <w:r>
        <w:t xml:space="preserve">Embedding indeksi semantic search için; structured indeksi exact-match ve filtering için.</w:t>
      </w:r>
    </w:p>
    <w:p>
      <w:pPr>
        <w:pStyle w:val="ListParagraph"/>
        <w:numPr>
          <w:ilvl w:val="0"/>
          <w:numId w:val="2"/>
        </w:numPr>
        <w:spacing w:after="80"/>
      </w:pPr>
      <w:r>
        <w:t xml:space="preserve">Hafıza, ajan promptlarına RAG ile değil, "task-relevant excerpt" injection ile beslenir (gürültüyü azaltır).</w:t>
      </w:r>
    </w:p>
    <w:p>
      <w:pPr>
        <w:pStyle w:val="Heading2"/>
        <w:spacing w:after="140" w:before="240"/>
      </w:pPr>
      <w:r>
        <w:t xml:space="preserve">6.5. Governance &amp; Risk Layer</w:t>
      </w:r>
    </w:p>
    <w:p>
      <w:pPr>
        <w:spacing w:after="120"/>
      </w:pPr>
      <w:r>
        <w:t xml:space="preserve">Bu katman platform satılabilirliğinin %50'sidir. Kurumsal müşteri bunu görmeden imza atmaz.</w:t>
      </w:r>
    </w:p>
    <w:p>
      <w:pPr>
        <w:pStyle w:val="ListParagraph"/>
        <w:numPr>
          <w:ilvl w:val="0"/>
          <w:numId w:val="2"/>
        </w:numPr>
        <w:spacing w:after="80"/>
      </w:pPr>
      <w:r>
        <w:t xml:space="preserve">Risk Engine: Her task contract için R0–R3 belirler ve uygulamayı zorlar.</w:t>
      </w:r>
    </w:p>
    <w:p>
      <w:pPr>
        <w:pStyle w:val="ListParagraph"/>
        <w:numPr>
          <w:ilvl w:val="0"/>
          <w:numId w:val="2"/>
        </w:numPr>
        <w:spacing w:after="80"/>
      </w:pPr>
      <w:r>
        <w:t xml:space="preserve">Approval Queue: R2/R3 adımlarda insan onayını bekler, onay alana kadar çalışmayı durdurur.</w:t>
      </w:r>
    </w:p>
    <w:p>
      <w:pPr>
        <w:pStyle w:val="ListParagraph"/>
        <w:numPr>
          <w:ilvl w:val="0"/>
          <w:numId w:val="2"/>
        </w:numPr>
        <w:spacing w:after="80"/>
      </w:pPr>
      <w:r>
        <w:t xml:space="preserve">Audit Log: Immutable, append-only; KVKK/GDPR/AI Act denetim talebine doğrudan cevap verir.</w:t>
      </w:r>
    </w:p>
    <w:p>
      <w:pPr>
        <w:pStyle w:val="ListParagraph"/>
        <w:numPr>
          <w:ilvl w:val="0"/>
          <w:numId w:val="2"/>
        </w:numPr>
        <w:spacing w:after="80"/>
      </w:pPr>
      <w:r>
        <w:t xml:space="preserve">Policy Engine: Her tenant kendi politikalarını tanımlar (örn. "müşteri verisi içeren step'lerde harici LLM çağrısı yasak").</w:t>
      </w:r>
    </w:p>
    <w:p>
      <w:pPr>
        <w:pStyle w:val="ListParagraph"/>
        <w:numPr>
          <w:ilvl w:val="0"/>
          <w:numId w:val="2"/>
        </w:numPr>
        <w:spacing w:after="80"/>
      </w:pPr>
      <w:r>
        <w:t xml:space="preserve">PII Redaction: Çıkış öncesi kişisel verileri otomatik redaksiyonlar.</w:t>
      </w:r>
    </w:p>
    <w:p>
      <w:pPr>
        <w:pStyle w:val="Heading2"/>
        <w:spacing w:after="140" w:before="240"/>
      </w:pPr>
      <w:r>
        <w:t xml:space="preserve">6.6. Observability &amp; Cost Layer</w:t>
      </w:r>
    </w:p>
    <w:p>
      <w:pPr>
        <w:pStyle w:val="ListParagraph"/>
        <w:numPr>
          <w:ilvl w:val="0"/>
          <w:numId w:val="2"/>
        </w:numPr>
        <w:spacing w:after="80"/>
      </w:pPr>
      <w:r>
        <w:t xml:space="preserve">Step başına metrik: tokens_in, tokens_out, latency_ms, model, cost_usd, verifier_outcome.</w:t>
      </w:r>
    </w:p>
    <w:p>
      <w:pPr>
        <w:pStyle w:val="ListParagraph"/>
        <w:numPr>
          <w:ilvl w:val="0"/>
          <w:numId w:val="2"/>
        </w:numPr>
        <w:spacing w:after="80"/>
      </w:pPr>
      <w:r>
        <w:t xml:space="preserve">Run dashboard: süre, maliyet, hata oranı, FAIL→revize sayısı, insan düzeltme oranı.</w:t>
      </w:r>
    </w:p>
    <w:p>
      <w:pPr>
        <w:pStyle w:val="ListParagraph"/>
        <w:numPr>
          <w:ilvl w:val="0"/>
          <w:numId w:val="2"/>
        </w:numPr>
        <w:spacing w:after="80"/>
      </w:pPr>
      <w:r>
        <w:t xml:space="preserve">Tenant ledger: aylık tüketim, fatura, kullanım kotaları, anomali alarmları.</w:t>
      </w:r>
    </w:p>
    <w:p>
      <w:pPr>
        <w:pStyle w:val="ListParagraph"/>
        <w:numPr>
          <w:ilvl w:val="0"/>
          <w:numId w:val="2"/>
        </w:numPr>
        <w:spacing w:after="80"/>
      </w:pPr>
      <w:r>
        <w:t xml:space="preserve">OpenTelemetry tabanlı; harici APM araçlarına (Grafana, Datadog) bağlanabilir.</w:t>
      </w:r>
    </w:p>
    <w:p>
      <w:pPr>
        <w:pStyle w:val="Heading2"/>
        <w:spacing w:after="140" w:before="240"/>
      </w:pPr>
      <w:r>
        <w:t xml:space="preserve">6.7. Multi-tenancy &amp; Security</w:t>
      </w:r>
    </w:p>
    <w:p>
      <w:pPr>
        <w:pStyle w:val="ListParagraph"/>
        <w:numPr>
          <w:ilvl w:val="0"/>
          <w:numId w:val="2"/>
        </w:numPr>
        <w:spacing w:after="80"/>
      </w:pPr>
      <w:r>
        <w:t xml:space="preserve">Postgres Row-Level Security (RLS) her tablo için zorunlu policy ile.</w:t>
      </w:r>
    </w:p>
    <w:p>
      <w:pPr>
        <w:pStyle w:val="ListParagraph"/>
        <w:numPr>
          <w:ilvl w:val="0"/>
          <w:numId w:val="2"/>
        </w:numPr>
        <w:spacing w:after="80"/>
      </w:pPr>
      <w:r>
        <w:t xml:space="preserve">Tenant_id her sorguya middleware seviyesinde otomatik enjekte edilir.</w:t>
      </w:r>
    </w:p>
    <w:p>
      <w:pPr>
        <w:pStyle w:val="ListParagraph"/>
        <w:numPr>
          <w:ilvl w:val="0"/>
          <w:numId w:val="2"/>
        </w:numPr>
        <w:spacing w:after="80"/>
      </w:pPr>
      <w:r>
        <w:t xml:space="preserve">Object store: tenant başına ayrı bucket veya prefix; presigned URL ile geçici erişim.</w:t>
      </w:r>
    </w:p>
    <w:p>
      <w:pPr>
        <w:pStyle w:val="ListParagraph"/>
        <w:numPr>
          <w:ilvl w:val="0"/>
          <w:numId w:val="2"/>
        </w:numPr>
        <w:spacing w:after="80"/>
      </w:pPr>
      <w:r>
        <w:t xml:space="preserve">Secrets: OAuth Vault tenant başına izole; KMS ile şifrelenmiş; key rotation otomatik.</w:t>
      </w:r>
    </w:p>
    <w:p>
      <w:pPr>
        <w:pStyle w:val="ListParagraph"/>
        <w:numPr>
          <w:ilvl w:val="0"/>
          <w:numId w:val="2"/>
        </w:numPr>
        <w:spacing w:after="80"/>
      </w:pPr>
      <w:r>
        <w:t xml:space="preserve">Network: dış API çağrıları için egress allowlist (tenant başına özelleştirilebilir).</w:t>
      </w:r>
    </w:p>
    <w:p>
      <w:pPr>
        <w:pStyle w:val="ListParagraph"/>
        <w:numPr>
          <w:ilvl w:val="0"/>
          <w:numId w:val="2"/>
        </w:numPr>
        <w:spacing w:after="80"/>
      </w:pPr>
      <w:r>
        <w:t xml:space="preserve">Test rejimi: chaos test ile cross-tenant veri sızıntısı senaryoları aylık koşulur.</w:t>
      </w:r>
    </w:p>
    <w:p>
      <w:pPr>
        <w:pBdr>
          <w:bottom w:val="single" w:color="2E75B6" w:sz="6" w:space="1"/>
        </w:pBdr>
      </w:pPr>
      <w:r>
        <w:t xml:space="preserve"/>
      </w:r>
    </w:p>
    <w:p>
      <w:pPr>
        <w:pStyle w:val="Heading1"/>
        <w:spacing w:after="180" w:before="360"/>
      </w:pPr>
      <w:r>
        <w:t xml:space="preserve">7. Sektör Bağımsızlık Stratejisi</w:t>
      </w:r>
    </w:p>
    <w:p>
      <w:pPr>
        <w:spacing w:after="120"/>
      </w:pPr>
      <w:r>
        <w:t xml:space="preserve">Platformun yeni bir sektörü desteklemesi için yapılan iş, kod yazmak değil; manifest yazmak olmalıdır. Sektörel paket aşağıdaki artefaktlardan oluşur:</w:t>
      </w:r>
    </w:p>
    <w:p>
      <w:pPr>
        <w:pStyle w:val="ListParagraph"/>
        <w:numPr>
          <w:ilvl w:val="0"/>
          <w:numId w:val="2"/>
        </w:numPr>
        <w:spacing w:after="80"/>
      </w:pPr>
      <w:r>
        <w:t xml:space="preserve">Domain Pack: sektörün allowed_domains, glossary, regulatory_notes, kalite eşikleri.</w:t>
      </w:r>
    </w:p>
    <w:p>
      <w:pPr>
        <w:pStyle w:val="ListParagraph"/>
        <w:numPr>
          <w:ilvl w:val="0"/>
          <w:numId w:val="2"/>
        </w:numPr>
        <w:spacing w:after="80"/>
      </w:pPr>
      <w:r>
        <w:t xml:space="preserve">Persona Set: sektörel rolleri taklit eden 5–8 persona (örn. e-ticaret için "merchandiser", "growth marketer").</w:t>
      </w:r>
    </w:p>
    <w:p>
      <w:pPr>
        <w:pStyle w:val="ListParagraph"/>
        <w:numPr>
          <w:ilvl w:val="0"/>
          <w:numId w:val="2"/>
        </w:numPr>
        <w:spacing w:after="80"/>
      </w:pPr>
      <w:r>
        <w:t xml:space="preserve">Playbook Set: tipik teslimatlar (örn. hukuk için "sözleşme tarama", "due-diligence özeti").</w:t>
      </w:r>
    </w:p>
    <w:p>
      <w:pPr>
        <w:pStyle w:val="ListParagraph"/>
        <w:numPr>
          <w:ilvl w:val="0"/>
          <w:numId w:val="2"/>
        </w:numPr>
        <w:spacing w:after="80"/>
      </w:pPr>
      <w:r>
        <w:t xml:space="preserve">Tool Bindings: sektörel sistemlere bağlantı (örn. e-ticaret için Shopify/Ideasoft API; hukuk için Lex Doc).</w:t>
      </w:r>
    </w:p>
    <w:p>
      <w:pPr>
        <w:pStyle w:val="ListParagraph"/>
        <w:numPr>
          <w:ilvl w:val="0"/>
          <w:numId w:val="2"/>
        </w:numPr>
        <w:spacing w:after="80"/>
      </w:pPr>
      <w:r>
        <w:t xml:space="preserve">Verifier Rubric: o sektörün kalite eşikleri (örn. finansta "her sayısal iddia için kaynak URL zorunlu").</w:t>
      </w:r>
    </w:p>
    <w:p>
      <w:pPr>
        <w:pStyle w:val="ListParagraph"/>
        <w:numPr>
          <w:ilvl w:val="0"/>
          <w:numId w:val="2"/>
        </w:numPr>
        <w:spacing w:after="80"/>
      </w:pPr>
      <w:r>
        <w:t xml:space="preserve">Risk Profile: hangi adım hangi varsayılan risk seviyesinde başlar.</w:t>
      </w:r>
    </w:p>
    <w:p>
      <w:pPr>
        <w:pStyle w:val="Heading2"/>
        <w:spacing w:after="140" w:before="240"/>
      </w:pPr>
      <w:r>
        <w:t xml:space="preserve">7.1. Sektör Önceliklendirme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26"/>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Sektör</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Pazar Boyutu</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Satış Hızı</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Reg. Risk</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Müşteri Hazır</w:t>
            </w:r>
          </w:p>
        </w:tc>
        <w:tc>
          <w:tcPr>
            <w:tcW w:type="dxa" w:w="12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Öncelik</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E-ticaret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Hızlı</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Düşük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P0</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Hibe &amp; Ar-Ge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Düşük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P0</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Hukuk &amp; Uyum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Yavaş</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B2B Satış &amp; Mar.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Hızlı</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Düşük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Finans (KOBİ)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Yavaş</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Düşük</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P2</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İK &amp; İşe Alım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Hızlı</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Sağlık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Çok Yavaş</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Çok 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Düşük</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P3</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Üretim &amp; Tedarik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P2</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Eğitim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Yavaş</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Düşük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P2</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Kamu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Çok Yavaş</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Düşük</w:t>
            </w:r>
          </w:p>
        </w:tc>
        <w:tc>
          <w:tcPr>
            <w:tcW w:type="dxa" w:w="1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P3</w:t>
            </w:r>
          </w:p>
        </w:tc>
      </w:tr>
    </w:tbl>
    <w:p>
      <w:r>
        <w:t xml:space="preserve"/>
      </w:r>
    </w:p>
    <w:p>
      <w:pPr>
        <w:spacing w:after="120"/>
      </w:pPr>
      <w:r>
        <w:t xml:space="preserve">İlk 12 ayda P0 sektörler (e-ticaret + hibe-yazımı) tamamen ürünleşir; P1'ler MVP düzeyinde pilot. P2/P3 sektörler 12+ aydan sonra ele alınır. Bu öncelik, satış-pazar-uygunluk üçgenine göre periyodik güncellenir.</w:t>
      </w:r>
    </w:p>
    <w:p>
      <w:pPr>
        <w:pBdr>
          <w:bottom w:val="single" w:color="2E75B6" w:sz="6" w:space="1"/>
        </w:pBdr>
      </w:pPr>
      <w:r>
        <w:t xml:space="preserve"/>
      </w:r>
    </w:p>
    <w:p>
      <w:pPr>
        <w:pStyle w:val="Heading1"/>
        <w:spacing w:after="180" w:before="360"/>
      </w:pPr>
      <w:r>
        <w:t xml:space="preserve">8. İş Modeli ve Go-to-Market</w:t>
      </w:r>
    </w:p>
    <w:p>
      <w:pPr>
        <w:pStyle w:val="Heading2"/>
        <w:spacing w:after="140" w:before="240"/>
      </w:pPr>
      <w:r>
        <w:t xml:space="preserve">8.1. Gelir Modelleri</w:t>
      </w:r>
    </w:p>
    <w:p>
      <w:pPr>
        <w:pStyle w:val="ListParagraph"/>
        <w:numPr>
          <w:ilvl w:val="0"/>
          <w:numId w:val="2"/>
        </w:numPr>
        <w:spacing w:after="80"/>
      </w:pPr>
      <w:r>
        <w:t xml:space="preserve">Kullanım Bazlı (Usage): aylık run sayısı + token tüketimi; küçük müşteri için ideal.</w:t>
      </w:r>
    </w:p>
    <w:p>
      <w:pPr>
        <w:pStyle w:val="ListParagraph"/>
        <w:numPr>
          <w:ilvl w:val="0"/>
          <w:numId w:val="2"/>
        </w:numPr>
        <w:spacing w:after="80"/>
      </w:pPr>
      <w:r>
        <w:t xml:space="preserve">Workspace Lisansı: tenant başına aylık sabit ücret + içerilen kota; SMB sweet spot.</w:t>
      </w:r>
    </w:p>
    <w:p>
      <w:pPr>
        <w:pStyle w:val="ListParagraph"/>
        <w:numPr>
          <w:ilvl w:val="0"/>
          <w:numId w:val="2"/>
        </w:numPr>
        <w:spacing w:after="80"/>
      </w:pPr>
      <w:r>
        <w:t xml:space="preserve">Kurumsal Yıllık: belirli SLA, dedicated tenant, custom domain pack; üst-orta ölçekli kurumsal.</w:t>
      </w:r>
    </w:p>
    <w:p>
      <w:pPr>
        <w:pStyle w:val="ListParagraph"/>
        <w:numPr>
          <w:ilvl w:val="0"/>
          <w:numId w:val="2"/>
        </w:numPr>
        <w:spacing w:after="80"/>
      </w:pPr>
      <w:r>
        <w:t xml:space="preserve">White-Label / Embedded: platform sağlayıcılarına (Ideasoft, Shopify partner'ları) gömülü ürün; revenue share.</w:t>
      </w:r>
    </w:p>
    <w:p>
      <w:pPr>
        <w:pStyle w:val="ListParagraph"/>
        <w:numPr>
          <w:ilvl w:val="0"/>
          <w:numId w:val="2"/>
        </w:numPr>
        <w:spacing w:after="80"/>
      </w:pPr>
      <w:r>
        <w:t xml:space="preserve">Hizmet Bandı: ilk 90 gün için onboarding + sektör pack özelleştirme; sabit kurulum bedeli.</w:t>
      </w:r>
    </w:p>
    <w:p>
      <w:pPr>
        <w:pStyle w:val="Heading2"/>
        <w:spacing w:after="140" w:before="240"/>
      </w:pPr>
      <w:r>
        <w:t xml:space="preserve">8.2. Müşteri Segmentleri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26"/>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Segment</w:t>
            </w:r>
          </w:p>
        </w:tc>
        <w:tc>
          <w:tcPr>
            <w:tcW w:type="dxa" w:w="2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Tanım</w:t>
            </w:r>
          </w:p>
        </w:tc>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Fiyat Aralığı/ay</w:t>
            </w:r>
          </w:p>
        </w:tc>
        <w:tc>
          <w:tcPr>
            <w:tcW w:type="dxa" w:w="21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Satış Süresi</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Solo / Mikro KOBİ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Tek kullanıcı, 1–10 çalışan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₺500–2.000</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&lt; 1 hafta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KOBİ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10–50 çalışan, departmansız AI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₺5.000–25.000</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2–6 hafta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Orta Ölçekli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50–500 çalışan, AI sorumluları</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₺25.000–250.000</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6–16 hafta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Kurumsal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500+ çalışan, IT/Hukuk onay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₺250.000+</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4–9 ay</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Platform / White-Label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Hizmet sağlayıcılar (Ideasoft gibi)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Rev. share %25–40</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3–9 ay</w:t>
            </w:r>
          </w:p>
        </w:tc>
      </w:tr>
    </w:tbl>
    <w:p>
      <w:r>
        <w:t xml:space="preserve"/>
      </w:r>
    </w:p>
    <w:p>
      <w:pPr>
        <w:pStyle w:val="Heading2"/>
        <w:spacing w:after="140" w:before="240"/>
      </w:pPr>
      <w:r>
        <w:t xml:space="preserve">8.3. Satış Kanalları</w:t>
      </w:r>
    </w:p>
    <w:p>
      <w:pPr>
        <w:pStyle w:val="ListParagraph"/>
        <w:numPr>
          <w:ilvl w:val="0"/>
          <w:numId w:val="2"/>
        </w:numPr>
        <w:spacing w:after="80"/>
      </w:pPr>
      <w:r>
        <w:t xml:space="preserve">Doğrudan (founder-led) — ilk 25–50 müşteri, fiyatlandırma ve playbook keşfi için kritik.</w:t>
      </w:r>
    </w:p>
    <w:p>
      <w:pPr>
        <w:pStyle w:val="ListParagraph"/>
        <w:numPr>
          <w:ilvl w:val="0"/>
          <w:numId w:val="2"/>
        </w:numPr>
        <w:spacing w:after="80"/>
      </w:pPr>
      <w:r>
        <w:t xml:space="preserve">Partner kanalı — entegratörler, danışmanlık firmaları, sektör dernekleri.</w:t>
      </w:r>
    </w:p>
    <w:p>
      <w:pPr>
        <w:pStyle w:val="ListParagraph"/>
        <w:numPr>
          <w:ilvl w:val="0"/>
          <w:numId w:val="2"/>
        </w:numPr>
        <w:spacing w:after="80"/>
      </w:pPr>
      <w:r>
        <w:t xml:space="preserve">Platform gömme — Ideasoft, Shopify partner ağı, T-Soft, Ticimax üzerinden dağıtım.</w:t>
      </w:r>
    </w:p>
    <w:p>
      <w:pPr>
        <w:pStyle w:val="ListParagraph"/>
        <w:numPr>
          <w:ilvl w:val="0"/>
          <w:numId w:val="2"/>
        </w:numPr>
        <w:spacing w:after="80"/>
      </w:pPr>
      <w:r>
        <w:t xml:space="preserve">Self-serve — küçük tenant için kredi kartlı abonelik; reklam değil içerik pazarlama.</w:t>
      </w:r>
    </w:p>
    <w:p>
      <w:pPr>
        <w:pStyle w:val="ListParagraph"/>
        <w:numPr>
          <w:ilvl w:val="0"/>
          <w:numId w:val="2"/>
        </w:numPr>
        <w:spacing w:after="80"/>
      </w:pPr>
      <w:r>
        <w:t xml:space="preserve">Topluluk — Türkiye AI / KOBİ topluluklarında open-source bir küçük varyant (community edition).</w:t>
      </w:r>
    </w:p>
    <w:p>
      <w:pPr>
        <w:pStyle w:val="Heading2"/>
        <w:spacing w:after="140" w:before="240"/>
      </w:pPr>
      <w:r>
        <w:t xml:space="preserve">8.4. Konum Mesajları</w:t>
      </w:r>
    </w:p>
    <w:p>
      <w:pPr>
        <w:pStyle w:val="ListParagraph"/>
        <w:numPr>
          <w:ilvl w:val="0"/>
          <w:numId w:val="2"/>
        </w:numPr>
        <w:spacing w:after="80"/>
      </w:pPr>
      <w:r>
        <w:t xml:space="preserve">KOBİ'ye: "AI ekibinizi kurmadan iş gücünüzü 2 katına çıkarın."</w:t>
      </w:r>
    </w:p>
    <w:p>
      <w:pPr>
        <w:pStyle w:val="ListParagraph"/>
        <w:numPr>
          <w:ilvl w:val="0"/>
          <w:numId w:val="2"/>
        </w:numPr>
        <w:spacing w:after="80"/>
      </w:pPr>
      <w:r>
        <w:t xml:space="preserve">Orta ölçekli: "Departmanlarınızı bir framework değil, çalışan ekipleriyle eşitleyin."</w:t>
      </w:r>
    </w:p>
    <w:p>
      <w:pPr>
        <w:pStyle w:val="ListParagraph"/>
        <w:numPr>
          <w:ilvl w:val="0"/>
          <w:numId w:val="2"/>
        </w:numPr>
        <w:spacing w:after="80"/>
      </w:pPr>
      <w:r>
        <w:t xml:space="preserve">Kurumsal: "Denetlenebilir, geri alınabilir, KVKK uyumlu kurumsal AI."</w:t>
      </w:r>
    </w:p>
    <w:p>
      <w:pPr>
        <w:pStyle w:val="ListParagraph"/>
        <w:numPr>
          <w:ilvl w:val="0"/>
          <w:numId w:val="2"/>
        </w:numPr>
        <w:spacing w:after="80"/>
      </w:pPr>
      <w:r>
        <w:t xml:space="preserve">Platform sağlayıcılara: "Müşterilerinize white-label AI ekibi sunun, geliri paylaşın."</w:t>
      </w:r>
    </w:p>
    <w:p>
      <w:pPr>
        <w:pBdr>
          <w:bottom w:val="single" w:color="2E75B6" w:sz="6" w:space="1"/>
        </w:pBdr>
      </w:pPr>
      <w:r>
        <w:t xml:space="preserve"/>
      </w:r>
    </w:p>
    <w:p>
      <w:pPr>
        <w:pStyle w:val="Heading1"/>
        <w:spacing w:after="180" w:before="360"/>
      </w:pPr>
      <w:r>
        <w:t xml:space="preserve">9. Risk, Yönetişim ve Uyumluluk</w:t>
      </w:r>
    </w:p>
    <w:p>
      <w:pPr>
        <w:pStyle w:val="Heading2"/>
        <w:spacing w:after="140" w:before="240"/>
      </w:pPr>
      <w:r>
        <w:t xml:space="preserve">9.1. Düzenleyici Çerçeve</w:t>
      </w:r>
    </w:p>
    <w:p>
      <w:pPr>
        <w:pStyle w:val="ListParagraph"/>
        <w:numPr>
          <w:ilvl w:val="0"/>
          <w:numId w:val="2"/>
        </w:numPr>
        <w:spacing w:after="80"/>
      </w:pPr>
      <w:r>
        <w:t xml:space="preserve">KVKK (Türkiye): kişisel veri işleme, açık rıza, veri minimizasyonu, denetlenebilirlik.</w:t>
      </w:r>
    </w:p>
    <w:p>
      <w:pPr>
        <w:pStyle w:val="ListParagraph"/>
        <w:numPr>
          <w:ilvl w:val="0"/>
          <w:numId w:val="2"/>
        </w:numPr>
        <w:spacing w:after="80"/>
      </w:pPr>
      <w:r>
        <w:t xml:space="preserve">GDPR (AB): KVKK'nın üst kapsamı; hak talepleri (silinme, taşınabilirlik), DPO gereksinimleri.</w:t>
      </w:r>
    </w:p>
    <w:p>
      <w:pPr>
        <w:pStyle w:val="ListParagraph"/>
        <w:numPr>
          <w:ilvl w:val="0"/>
          <w:numId w:val="2"/>
        </w:numPr>
        <w:spacing w:after="80"/>
      </w:pPr>
      <w:r>
        <w:t xml:space="preserve">EU AI Act (2024 yürürlüğe girdi, kademeli uygulama): risk-bazlı sınıflandırma; AgentArmy ağırlıklı olarak "limited risk" + bazı use-case'lerde "high risk".</w:t>
      </w:r>
    </w:p>
    <w:p>
      <w:pPr>
        <w:pStyle w:val="ListParagraph"/>
        <w:numPr>
          <w:ilvl w:val="0"/>
          <w:numId w:val="2"/>
        </w:numPr>
        <w:spacing w:after="80"/>
      </w:pPr>
      <w:r>
        <w:t xml:space="preserve">ISO 27001 / SOC 2: kurumsal müşterinin standart sorduğu güvenlik sertifikasyonları (yıl 1 sonu hedefi).</w:t>
      </w:r>
    </w:p>
    <w:p>
      <w:pPr>
        <w:pStyle w:val="Heading2"/>
        <w:spacing w:after="140" w:before="240"/>
      </w:pPr>
      <w:r>
        <w:t xml:space="preserve">9.2. AgentArmy Uyumluluk Profili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Yükümlülük</w:t>
            </w:r>
          </w:p>
        </w:tc>
        <w:tc>
          <w:tcPr>
            <w:tcW w:type="dxa" w:w="66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AgentArmy Karşılığı</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Veri minimizasyonu</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Tool çağrılarında "task-relevant excerpt" prensibi; tüm veri değil, gereken parça.</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Denetlenebilirlik</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Immutable Audit Log; her ajan adımı, her tool çağrısı, her insan onayı kayıt altında.</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Açıklanabilirlik</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Her çıktıya bağlı kaynak/kanıt zinciri (Facts deposu); Verifier raporu çıktıya iliştirilir.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İnsan denetimi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R2/R3 zorunlu insan onay kapısı; otomatik bypass mümkün değil.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Veri silinmesi (GDPR)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Tenant başına "data export + delete" iş akışı; 30 günlük kademeli silme.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Yüksek risk AI sistemi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High-risk kategoriye giren use-case'ler için ek conformity assessment iş paketi.</w:t>
            </w:r>
          </w:p>
        </w:tc>
      </w:tr>
    </w:tbl>
    <w:p>
      <w:r>
        <w:t xml:space="preserve"/>
      </w:r>
    </w:p>
    <w:p>
      <w:pPr>
        <w:pStyle w:val="Heading2"/>
        <w:spacing w:after="140" w:before="240"/>
      </w:pPr>
      <w:r>
        <w:t xml:space="preserve">9.3. Operasyonel Riskler ve Önlemler</w:t>
      </w:r>
    </w:p>
    <w:p>
      <w:pPr>
        <w:pStyle w:val="ListParagraph"/>
        <w:numPr>
          <w:ilvl w:val="0"/>
          <w:numId w:val="2"/>
        </w:numPr>
        <w:spacing w:after="80"/>
      </w:pPr>
      <w:r>
        <w:t xml:space="preserve">Halüsinasyon riski → Verifier zorunlu, Contrarian R2+'da otomatik tetiklenir.</w:t>
      </w:r>
    </w:p>
    <w:p>
      <w:pPr>
        <w:pStyle w:val="ListParagraph"/>
        <w:numPr>
          <w:ilvl w:val="0"/>
          <w:numId w:val="2"/>
        </w:numPr>
        <w:spacing w:after="80"/>
      </w:pPr>
      <w:r>
        <w:t xml:space="preserve">Prompt injection → Tool çağrı parametreleri sanitize, allowlist tabanlı tool routing.</w:t>
      </w:r>
    </w:p>
    <w:p>
      <w:pPr>
        <w:pStyle w:val="ListParagraph"/>
        <w:numPr>
          <w:ilvl w:val="0"/>
          <w:numId w:val="2"/>
        </w:numPr>
        <w:spacing w:after="80"/>
      </w:pPr>
      <w:r>
        <w:t xml:space="preserve">Cross-tenant sızıntı → RLS chaos test, aylık güvenlik denetimi, otomatik alarm.</w:t>
      </w:r>
    </w:p>
    <w:p>
      <w:pPr>
        <w:pStyle w:val="ListParagraph"/>
        <w:numPr>
          <w:ilvl w:val="0"/>
          <w:numId w:val="2"/>
        </w:numPr>
        <w:spacing w:after="80"/>
      </w:pPr>
      <w:r>
        <w:t xml:space="preserve">Model sağlayıcı bağımlılığı → LLM Router çoklu sağlayıcı (OpenAI, Anthropic, lokal/Azure OpenAI EU region).</w:t>
      </w:r>
    </w:p>
    <w:p>
      <w:pPr>
        <w:pStyle w:val="ListParagraph"/>
        <w:numPr>
          <w:ilvl w:val="0"/>
          <w:numId w:val="2"/>
        </w:numPr>
        <w:spacing w:after="80"/>
      </w:pPr>
      <w:r>
        <w:t xml:space="preserve">Maliyet kaçağı → Tenant başına kota, anomali algılayan cost ledger, otomatik throttle.</w:t>
      </w:r>
    </w:p>
    <w:p>
      <w:pPr>
        <w:pStyle w:val="ListParagraph"/>
        <w:numPr>
          <w:ilvl w:val="0"/>
          <w:numId w:val="2"/>
        </w:numPr>
        <w:spacing w:after="80"/>
      </w:pPr>
      <w:r>
        <w:t xml:space="preserve">IP/telif → Eğitim verilerinden bağımsız çalışma; tenant verisi modele geri beslenmez.</w:t>
      </w:r>
    </w:p>
    <w:p>
      <w:pPr>
        <w:pBdr>
          <w:bottom w:val="single" w:color="2E75B6" w:sz="6" w:space="1"/>
        </w:pBdr>
      </w:pPr>
      <w:r>
        <w:t xml:space="preserve"/>
      </w:r>
    </w:p>
    <w:p>
      <w:pPr>
        <w:pStyle w:val="Heading1"/>
        <w:spacing w:after="180" w:before="360"/>
      </w:pPr>
      <w:r>
        <w:t xml:space="preserve">10. Hibe, Fonlama ve Stratejik İttifaklar</w:t>
      </w:r>
    </w:p>
    <w:p>
      <w:pPr>
        <w:pStyle w:val="Heading2"/>
        <w:spacing w:after="140" w:before="240"/>
      </w:pPr>
      <w:r>
        <w:t xml:space="preserve">10.1. Türkiye Hibe Programları</w:t>
      </w:r>
    </w:p>
    <w:p>
      <w:pPr>
        <w:pStyle w:val="ListParagraph"/>
        <w:numPr>
          <w:ilvl w:val="0"/>
          <w:numId w:val="2"/>
        </w:numPr>
        <w:spacing w:after="80"/>
      </w:pPr>
      <w:r>
        <w:t xml:space="preserve">TÜBİTAK 1507 (KOBİ Ar-Ge Başlangıç) — 600K TL'ye kadar hibe, 18 ay süre, ilk başvuru kapısı.</w:t>
      </w:r>
    </w:p>
    <w:p>
      <w:pPr>
        <w:pStyle w:val="ListParagraph"/>
        <w:numPr>
          <w:ilvl w:val="0"/>
          <w:numId w:val="2"/>
        </w:numPr>
        <w:spacing w:after="80"/>
      </w:pPr>
      <w:r>
        <w:t xml:space="preserve">TÜBİTAK 1501 (Sanayi Ar-Ge) — 2.5M TL'ye kadar, 36 ay; manifest motoru + multi-tenant olgunluğu için.</w:t>
      </w:r>
    </w:p>
    <w:p>
      <w:pPr>
        <w:pStyle w:val="ListParagraph"/>
        <w:numPr>
          <w:ilvl w:val="0"/>
          <w:numId w:val="2"/>
        </w:numPr>
        <w:spacing w:after="80"/>
      </w:pPr>
      <w:r>
        <w:t xml:space="preserve">TÜBİTAK 1505 (Üniversite-Sanayi İşbirliği) — akademik ortakla ortak proje.</w:t>
      </w:r>
    </w:p>
    <w:p>
      <w:pPr>
        <w:pStyle w:val="ListParagraph"/>
        <w:numPr>
          <w:ilvl w:val="0"/>
          <w:numId w:val="2"/>
        </w:numPr>
        <w:spacing w:after="80"/>
      </w:pPr>
      <w:r>
        <w:t xml:space="preserve">KOSGEB Ar-Ge &amp; İnovasyon Destek Programı — yardımcı kalem.</w:t>
      </w:r>
    </w:p>
    <w:p>
      <w:pPr>
        <w:pStyle w:val="ListParagraph"/>
        <w:numPr>
          <w:ilvl w:val="0"/>
          <w:numId w:val="2"/>
        </w:numPr>
        <w:spacing w:after="80"/>
      </w:pPr>
      <w:r>
        <w:t xml:space="preserve">TÜBİTAK 1711 (Yapay Zekâ Ekosistem Çağrısı) — sektörel pilot için ideal.</w:t>
      </w:r>
    </w:p>
    <w:p>
      <w:pPr>
        <w:pStyle w:val="Heading2"/>
        <w:spacing w:after="140" w:before="240"/>
      </w:pPr>
      <w:r>
        <w:t xml:space="preserve">10.2. AB ve Uluslararası</w:t>
      </w:r>
    </w:p>
    <w:p>
      <w:pPr>
        <w:pStyle w:val="ListParagraph"/>
        <w:numPr>
          <w:ilvl w:val="0"/>
          <w:numId w:val="2"/>
        </w:numPr>
        <w:spacing w:after="80"/>
      </w:pPr>
      <w:r>
        <w:t xml:space="preserve">Horizon Europe — EIC Accelerator: 2.5M€ hibe + 15M€ yatırım (en büyük ödül; başvuru karmaşık).</w:t>
      </w:r>
    </w:p>
    <w:p>
      <w:pPr>
        <w:pStyle w:val="ListParagraph"/>
        <w:numPr>
          <w:ilvl w:val="0"/>
          <w:numId w:val="2"/>
        </w:numPr>
        <w:spacing w:after="80"/>
      </w:pPr>
      <w:r>
        <w:t xml:space="preserve">Horizon Europe — EIC Pathfinder / Transition: erken aşama derin teknoloji.</w:t>
      </w:r>
    </w:p>
    <w:p>
      <w:pPr>
        <w:pStyle w:val="ListParagraph"/>
        <w:numPr>
          <w:ilvl w:val="0"/>
          <w:numId w:val="2"/>
        </w:numPr>
        <w:spacing w:after="80"/>
      </w:pPr>
      <w:r>
        <w:t xml:space="preserve">EUREKA / Eurostars: ortak Avrupa ortağıyla araştırma projesi (KOBİ dostu).</w:t>
      </w:r>
    </w:p>
    <w:p>
      <w:pPr>
        <w:pStyle w:val="ListParagraph"/>
        <w:numPr>
          <w:ilvl w:val="0"/>
          <w:numId w:val="2"/>
        </w:numPr>
        <w:spacing w:after="80"/>
      </w:pPr>
      <w:r>
        <w:t xml:space="preserve">Digital Europe Programme: AI uyum sertifikasyonu ve düzenleyici sandbox.</w:t>
      </w:r>
    </w:p>
    <w:p>
      <w:pPr>
        <w:pStyle w:val="ListParagraph"/>
        <w:numPr>
          <w:ilvl w:val="0"/>
          <w:numId w:val="2"/>
        </w:numPr>
        <w:spacing w:after="80"/>
      </w:pPr>
      <w:r>
        <w:t xml:space="preserve">UK Innovate / DFG bağlantılı: Brexit sonrası ayrı program, opsiyonel.</w:t>
      </w:r>
    </w:p>
    <w:p>
      <w:pPr>
        <w:pStyle w:val="Heading2"/>
        <w:spacing w:after="140" w:before="240"/>
      </w:pPr>
      <w:r>
        <w:t xml:space="preserve">10.3. Stratejik İttifaklar</w:t>
      </w:r>
    </w:p>
    <w:p>
      <w:pPr>
        <w:pStyle w:val="ListParagraph"/>
        <w:numPr>
          <w:ilvl w:val="0"/>
          <w:numId w:val="2"/>
        </w:numPr>
        <w:spacing w:after="80"/>
      </w:pPr>
      <w:r>
        <w:t xml:space="preserve">Akademik: Boğaziçi, Sabancı, Koç, METU, Bilkent AI/NLP grupları (TÜBİTAK 1501 ve AB başvurularında skor).</w:t>
      </w:r>
    </w:p>
    <w:p>
      <w:pPr>
        <w:pStyle w:val="ListParagraph"/>
        <w:numPr>
          <w:ilvl w:val="0"/>
          <w:numId w:val="2"/>
        </w:numPr>
        <w:spacing w:after="80"/>
      </w:pPr>
      <w:r>
        <w:t xml:space="preserve">Platform: Ideasoft, T-Soft, Ticimax (e-ticaret); HRPeak, KobiBilgi (KOBİ); Lovan Hukuk (legal-tech).</w:t>
      </w:r>
    </w:p>
    <w:p>
      <w:pPr>
        <w:pStyle w:val="ListParagraph"/>
        <w:numPr>
          <w:ilvl w:val="0"/>
          <w:numId w:val="2"/>
        </w:numPr>
        <w:spacing w:after="80"/>
      </w:pPr>
      <w:r>
        <w:t xml:space="preserve">Bulut: AWS Activate, Microsoft for Startups, Google Cloud Startups — kredi + go-to-market desteği.</w:t>
      </w:r>
    </w:p>
    <w:p>
      <w:pPr>
        <w:pStyle w:val="ListParagraph"/>
        <w:numPr>
          <w:ilvl w:val="0"/>
          <w:numId w:val="2"/>
        </w:numPr>
        <w:spacing w:after="80"/>
      </w:pPr>
      <w:r>
        <w:t xml:space="preserve">Yatırımcı: Tier-1 Türkiye fonları (212, Earlybird Digital East, Re-Pie, ScaleX); AB seed fonları.</w:t>
      </w:r>
    </w:p>
    <w:p>
      <w:pPr>
        <w:pStyle w:val="Heading2"/>
        <w:spacing w:after="140" w:before="240"/>
      </w:pPr>
      <w:r>
        <w:t xml:space="preserve">10.4. Fikri Mülkiyet Stratejisi</w:t>
      </w:r>
    </w:p>
    <w:p>
      <w:pPr>
        <w:spacing w:after="120"/>
      </w:pPr>
      <w:r>
        <w:t xml:space="preserve">Aşağıdaki bileşenler için faydalı model / patent başvurusu önerilir:</w:t>
      </w:r>
    </w:p>
    <w:p>
      <w:pPr>
        <w:pStyle w:val="ListParagraph"/>
        <w:numPr>
          <w:ilvl w:val="0"/>
          <w:numId w:val="2"/>
        </w:numPr>
        <w:spacing w:after="80"/>
      </w:pPr>
      <w:r>
        <w:t xml:space="preserve">"Çoklu ajan iş akışında rubrik-tabanlı doğrulama ve karşıt-görüş tetikleyen kalite kapısı sistemi" (Verifier + Contrarian + Rubric birleşik patent).</w:t>
      </w:r>
    </w:p>
    <w:p>
      <w:pPr>
        <w:pStyle w:val="ListParagraph"/>
        <w:numPr>
          <w:ilvl w:val="0"/>
          <w:numId w:val="2"/>
        </w:numPr>
        <w:spacing w:after="80"/>
      </w:pPr>
      <w:r>
        <w:t xml:space="preserve">"Manifest-driven AI ajan platformunda tenant-spesifik politika ve risk profili enjeksiyonu" (Manifest + Policy Engine).</w:t>
      </w:r>
    </w:p>
    <w:p>
      <w:pPr>
        <w:pStyle w:val="ListParagraph"/>
        <w:numPr>
          <w:ilvl w:val="0"/>
          <w:numId w:val="2"/>
        </w:numPr>
        <w:spacing w:after="80"/>
      </w:pPr>
      <w:r>
        <w:t xml:space="preserve">"AI ajan çıktılarında kaynak-zinciri tabanlı denetlenebilirlik ve immutable audit log üretimi" (Facts + Audit).</w:t>
      </w:r>
    </w:p>
    <w:p>
      <w:pPr>
        <w:spacing w:after="120"/>
      </w:pPr>
      <w:r>
        <w:t xml:space="preserve">Patent başvurusu, hem TÜBİTAK / AB başvurularında ekstra puan getirir hem de potansiyel exit veya yatırım turlarında değerlemeyi yükseltir.</w:t>
      </w:r>
    </w:p>
    <w:p>
      <w:pPr>
        <w:pBdr>
          <w:bottom w:val="single" w:color="2E75B6" w:sz="6" w:space="1"/>
        </w:pBdr>
      </w:pPr>
      <w:r>
        <w:t xml:space="preserve"/>
      </w:r>
    </w:p>
    <w:p>
      <w:pPr>
        <w:pStyle w:val="Heading1"/>
        <w:spacing w:after="180" w:before="360"/>
      </w:pPr>
      <w:r>
        <w:t xml:space="preserve">11. KPI ve Ölçüm Çerçevesi</w:t>
      </w:r>
    </w:p>
    <w:p>
      <w:pPr>
        <w:pStyle w:val="Heading2"/>
        <w:spacing w:after="140" w:before="240"/>
      </w:pPr>
      <w:r>
        <w:t xml:space="preserve">11.1. Ürün KPI'ları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KPI</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Hedef (Yıl 1)</w:t>
            </w:r>
          </w:p>
        </w:tc>
        <w:tc>
          <w:tcPr>
            <w:tcW w:type="dxa" w:w="47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Ölçüm Yöntemi</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Verifier FAIL oranı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&lt; %15</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Toplam Verifier çağrılarında FAIL yüzdesi</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Kaynaksız kritik iddia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&lt; %5</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Audit örnekleminde manuel sayım</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Görev başına süre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&lt; 8 dk (P50)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Run audit log'undan ortalama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Görev başına maliyet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&lt; $0.40 (P50)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Cost ledger'dan ortalama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İnsan düzeltme oranı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&lt; %20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Müşteri panelinden geri bildirim</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Hafıza yeniden kullanımı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&gt; %30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Facts deposundan injekte edilen pasaj oranı</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Çapraz-tenant sızıntı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Aylık chaos test; sıfır tolerans</w:t>
            </w:r>
          </w:p>
        </w:tc>
      </w:tr>
    </w:tbl>
    <w:p>
      <w:r>
        <w:t xml:space="preserve"/>
      </w:r>
    </w:p>
    <w:p>
      <w:pPr>
        <w:pStyle w:val="Heading2"/>
        <w:spacing w:after="140" w:before="240"/>
      </w:pPr>
      <w:r>
        <w:t xml:space="preserve">11.2. Ticari KPI'lar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KPI</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Hedef (Yıl 1)</w:t>
            </w:r>
          </w:p>
        </w:tc>
        <w:tc>
          <w:tcPr>
            <w:tcW w:type="dxa" w:w="47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Açıklama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Ödeyen tenant sayısı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Pilot + production karışımı</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MRR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₺350K+</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Aylık tekrarlayan gelir</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NRR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&gt; %110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Var olan müşteri büyümesi</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Logo retention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&gt; %80</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12 ay sonrası kalan müşteri oranı</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CAC payback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&lt; 9 ay</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Müşteri kazanma maliyetinin geri dönüş süresi</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Hibe kazanımı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 TR + 1 AB pre-pitch</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Yıl 1 hedefi</w:t>
            </w:r>
          </w:p>
        </w:tc>
      </w:tr>
    </w:tbl>
    <w:p>
      <w:r>
        <w:t xml:space="preserve"/>
      </w:r>
    </w:p>
    <w:p>
      <w:pPr>
        <w:pBdr>
          <w:bottom w:val="single" w:color="2E75B6" w:sz="6" w:space="1"/>
        </w:pBdr>
      </w:pPr>
      <w:r>
        <w:t xml:space="preserve"/>
      </w:r>
    </w:p>
    <w:p>
      <w:pPr>
        <w:pStyle w:val="Heading1"/>
        <w:spacing w:after="180" w:before="360"/>
      </w:pPr>
      <w:r>
        <w:t xml:space="preserve">12. Karar Noktaları ve Sonuç</w:t>
      </w:r>
    </w:p>
    <w:p>
      <w:pPr>
        <w:pStyle w:val="Heading2"/>
        <w:spacing w:after="140" w:before="240"/>
      </w:pPr>
      <w:r>
        <w:t xml:space="preserve">12.1. Önümüzdeki 90 Gün için Karar Listesi</w:t>
      </w:r>
    </w:p>
    <w:p>
      <w:pPr>
        <w:pStyle w:val="ListParagraph"/>
        <w:numPr>
          <w:ilvl w:val="0"/>
          <w:numId w:val="3"/>
        </w:numPr>
        <w:spacing w:after="80"/>
      </w:pPr>
      <w:r>
        <w:t xml:space="preserve">Manifest-Driven Orchestrator refactor'ı yapılacak mı? — Önerilen: Evet, ilk milestone.</w:t>
      </w:r>
    </w:p>
    <w:p>
      <w:pPr>
        <w:pStyle w:val="ListParagraph"/>
        <w:numPr>
          <w:ilvl w:val="0"/>
          <w:numId w:val="3"/>
        </w:numPr>
        <w:spacing w:after="80"/>
      </w:pPr>
      <w:r>
        <w:t xml:space="preserve">İlk iki Domain Pack hangileri olacak? — Önerilen: E-ticaret + Hibe-yazımı.</w:t>
      </w:r>
    </w:p>
    <w:p>
      <w:pPr>
        <w:pStyle w:val="ListParagraph"/>
        <w:numPr>
          <w:ilvl w:val="0"/>
          <w:numId w:val="3"/>
        </w:numPr>
        <w:spacing w:after="80"/>
      </w:pPr>
      <w:r>
        <w:t xml:space="preserve">Worker mimarisi GitHub Actions'tan çıkartılıp Kubernetes/Container Apps'a taşınacak mı? — Önerilen: 4. ayda.</w:t>
      </w:r>
    </w:p>
    <w:p>
      <w:pPr>
        <w:pStyle w:val="ListParagraph"/>
        <w:numPr>
          <w:ilvl w:val="0"/>
          <w:numId w:val="3"/>
        </w:numPr>
        <w:spacing w:after="80"/>
      </w:pPr>
      <w:r>
        <w:t xml:space="preserve">Multi-tenancy ve RLS hardening dış denetimden geçecek mi? — Önerilen: 6. ayda kısıtlı.</w:t>
      </w:r>
    </w:p>
    <w:p>
      <w:pPr>
        <w:pStyle w:val="ListParagraph"/>
        <w:numPr>
          <w:ilvl w:val="0"/>
          <w:numId w:val="3"/>
        </w:numPr>
        <w:spacing w:after="80"/>
      </w:pPr>
      <w:r>
        <w:t xml:space="preserve">Patent başvurusu yapılacak mı, hangi bileşen için? — Önerilen: 3. ayda 2 başvuru (Verifier+Contrarian, Manifest+Policy).</w:t>
      </w:r>
    </w:p>
    <w:p>
      <w:pPr>
        <w:pStyle w:val="ListParagraph"/>
        <w:numPr>
          <w:ilvl w:val="0"/>
          <w:numId w:val="3"/>
        </w:numPr>
        <w:spacing w:after="80"/>
      </w:pPr>
      <w:r>
        <w:t xml:space="preserve">Akademik ortak hangi üniversite olacak? — Önerilen: ön görüşme 1. ayda, anlaşma 3. ayda.</w:t>
      </w:r>
    </w:p>
    <w:p>
      <w:pPr>
        <w:pStyle w:val="ListParagraph"/>
        <w:numPr>
          <w:ilvl w:val="0"/>
          <w:numId w:val="3"/>
        </w:numPr>
        <w:spacing w:after="80"/>
      </w:pPr>
      <w:r>
        <w:t xml:space="preserve">Yatırım turu zaman çizelgesi? — Önerilen: pre-seed 90. günde, seed 12. ayda.</w:t>
      </w:r>
    </w:p>
    <w:p>
      <w:pPr>
        <w:pStyle w:val="Heading2"/>
        <w:spacing w:after="140" w:before="240"/>
      </w:pPr>
      <w:r>
        <w:t xml:space="preserve">12.2. Sonuç</w:t>
      </w:r>
    </w:p>
    <w:p>
      <w:pPr>
        <w:spacing w:after="120"/>
      </w:pPr>
      <w:r>
        <w:t xml:space="preserve">AgentArmy, Türkiye'den çıkacak ve Avrupa'da büyüyebilecek "vertical-ready AI iş gücü platformu" olarak doğru zamanda, doğru zeminde duruyor. Mevcut omurga güçlü ve doğru kararlarla kurulmuş; eksik olan şey, kodu yatay platforma çevirecek refactor ve sektörden bağımsız manifest mimarisidir.</w:t>
      </w:r>
    </w:p>
    <w:p>
      <w:pPr>
        <w:spacing w:after="120"/>
      </w:pPr>
      <w:r>
        <w:t xml:space="preserve">Bu doküman; mimari kararların, ticari hareketlerin ve yönetişim seçimlerinin tek bir tutarlı çerçeve içinde nasıl alınacağını gösterir. Yol haritası ve sektör genişleme oyun kitabı dokümanlarıyla birlikte okunmalıdır.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Sayfa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AgentArmy — Strateji ve Mimari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AgentArmy — Strateji, Mimari ve İş Modeli</dc:title>
  <dc:creator>Kadir Öğreten</dc:creator>
  <cp:lastModifiedBy>Un-named</cp:lastModifiedBy>
  <cp:revision>1</cp:revision>
  <dcterms:created xsi:type="dcterms:W3CDTF">2026-05-14T12:12:12.608Z</dcterms:created>
  <dcterms:modified xsi:type="dcterms:W3CDTF">2026-05-14T12:12:12.608Z</dcterms:modified>
</cp:coreProperties>
</file>

<file path=docProps/custom.xml><?xml version="1.0" encoding="utf-8"?>
<Properties xmlns="http://schemas.openxmlformats.org/officeDocument/2006/custom-properties" xmlns:vt="http://schemas.openxmlformats.org/officeDocument/2006/docPropsVTypes"/>
</file>