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8"/>
          <w:sz w:val="56"/>
          <w:szCs w:val="56"/>
        </w:rPr>
        <w:t xml:space="preserve">AGENTARMY</w:t>
      </w:r>
    </w:p>
    <w:p>
      <w:pPr>
        <w:spacing w:after="480"/>
        <w:jc w:val="center"/>
      </w:pPr>
      <w:r>
        <w:rPr>
          <w:color w:val="595959"/>
          <w:sz w:val="32"/>
          <w:szCs w:val="32"/>
        </w:rPr>
        <w:t xml:space="preserve">Mimari Diyagram Seti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Strateji ve Yol Haritası dokümanlarının görsel eki</w:t>
      </w:r>
    </w:p>
    <w:p>
      <w:pPr>
        <w:spacing w:before="2400"/>
        <w:jc w:val="center"/>
      </w:pPr>
      <w:r>
        <w:rPr>
          <w:color w:val="7F7F7F"/>
          <w:sz w:val="20"/>
          <w:szCs w:val="20"/>
        </w:rPr>
        <w:t xml:space="preserve">Sürüm 1.0  ·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Doküman Hakkında</w:t>
      </w:r>
    </w:p>
    <w:p>
      <w:pPr>
        <w:spacing w:after="120"/>
      </w:pPr>
      <w:r>
        <w:t xml:space="preserve">Bu doküman, AgentArmy mimarisinin altı temel görünümünü tek tek diyagram + açıklama formatında sunar. Diyagramlar yatay platform, manifest yaşam döngüsü, tool registry, risk akışı, multi-tenant izolasyon ve sektör onboarding pipeline'ını kapsar.</w:t>
      </w:r>
    </w:p>
    <w:p>
      <w:pPr>
        <w:spacing w:after="120"/>
      </w:pPr>
      <w:r>
        <w:t xml:space="preserve">Her diyagram için önce görsel, sonra mimari notlar ve karar gerekçeleri verilmiştir. Dokümanın metin eşi (Strateji ve Mimari ile 12 Aylık Yol Haritası) ile birlikte okunmalıdır.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Yatay Platform — Yedi Katman</w:t>
      </w:r>
    </w:p>
    <w:p>
      <w:pPr>
        <w:spacing w:after="200"/>
      </w:pPr>
      <w:r>
        <w:rPr>
          <w:i/>
          <w:iCs/>
          <w:color w:val="595959"/>
        </w:rPr>
        <w:t xml:space="preserve">Platform sektörden bağımsız olarak yedi katmandan oluşur. Her katman üstündekine kontrat üzerinden hizmet verir. Yeni bir sektör eklendiğinde sadece manifest verisi değişir; katmanlar olduğu gibi kalır.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diag-1.png" descr="diag-1.png" title="diag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Mimari Notlar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katman bir altındakine "kontrat" üzerinden bağlıdır; iç implementasyon değişebilir.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Multi-tenancy ve gözlem her katmanı yatay olarak keser; ürünün ayrı bir parçası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L5 (Governance) atlanmaz; doğrudan L4'e API ile erişim production'da yoktur.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L2'deki LLM Router, sağlayıcı bağımlılığını azaltır ve maliyet bazlı routing yapar.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L1 üzerinde inşa edildiğinden, on-prem ve bulut farklılıkları üst katmanları etkilemez.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Manifest-Driven Ajan Yaşam Döngüsü</w:t>
      </w:r>
    </w:p>
    <w:p>
      <w:pPr>
        <w:spacing w:after="200"/>
      </w:pPr>
      <w:r>
        <w:rPr>
          <w:i/>
          <w:iCs/>
          <w:color w:val="595959"/>
        </w:rPr>
        <w:t xml:space="preserve">Ajan davranışı kodda değil manifestte tanımlanır. Yeni bir ajan eklemek için kod commit'i gerekmez; manifest yayımlamak yeterlidir.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876550"/>
            <wp:effectExtent t="0" r="0" b="0" l="0"/>
            <wp:docPr id="1" name="diag-2.png" descr="diag-2.png" title="dia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Refactor Önceliği</w:t>
      </w:r>
    </w:p>
    <w:p>
      <w:pPr>
        <w:pBdr>
          <w:left w:val="single" w:color="F59E0B" w:sz="24" w:space="8"/>
        </w:pBdr>
        <w:shd w:fill="FFF8E1" w:val="clear"/>
        <w:spacing w:after="120" w:before="120"/>
      </w:pPr>
      <w:r>
        <w:rPr>
          <w:color w:val="5C4A00"/>
          <w:sz w:val="21"/>
          <w:szCs w:val="21"/>
        </w:rPr>
        <w:t xml:space="preserve">Mevcut Orchestrator hardcoded ID kontrollerini (agent.Id.Equals("Researcher") gibi) manifest behavior bayraklarına çevirmek; AgentsCatalog'u DB-driven hale getirmek — Faz 0'ın ilk iki haftası.</w:t>
      </w:r>
    </w:p>
    <w:p>
      <w:pPr>
        <w:pStyle w:val="Heading2"/>
        <w:spacing w:after="120" w:before="240"/>
      </w:pPr>
      <w:r>
        <w:t xml:space="preserve">Manifest Şeması Anahtar Alanları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id, displayName, role, description — temel kimlik bilgileri.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systemPrompt (opsiyonel) — yoksa description + capabilities'ten otomatik üretilir.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capabilities[] — ajanın yapabildiği görevlerin makine-okunabilir listesi.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required_tools[] — Tool Registry'den bağımlı olduğu kayıtlar.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risk_ceiling — ajanın çalışabileceği maksimum risk seviyesi.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behaviors — davranış bayrakları (web_search, full_context, writes_to_facts, vb.).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tenant_overridable — tenant'ın bu ajanı özelleştirip özelleştiremeyeceği.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Tool Registry — Güvenli Araç Çağrı Katmanı</w:t>
      </w:r>
    </w:p>
    <w:p>
      <w:pPr>
        <w:spacing w:after="200"/>
      </w:pPr>
      <w:r>
        <w:rPr>
          <w:i/>
          <w:iCs/>
          <w:color w:val="595959"/>
        </w:rPr>
        <w:t xml:space="preserve">Ajanlar dış sistemlere doğrudan değil; capability-scoped, audit'li, OAuth korumalı bir registry üzerinden bağlanır. Kurumsal değerin %70'i bu katmanda saklıdır.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diag-3.png" descr="diag-3.png" title="diag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Invocation Layer Kontrol Akışı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scope kontrolü — ajan bu tool'u çağırma yetkisinde mi?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izin kontrolü — bu tenant bu tool'a abone mi?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seviyesi uygunluğu — task contract risk seviyesi tool'un risk seviyesinden yüksekse bloke.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token enjekte — tenant-scoped, KMS şifreli, otomatik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+ retry + circuit breaker.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sanitize + output PII redaction.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+ cost ledger her çağrı için zorunlu.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Risk Seviyesi ve Onay Akışı</w:t>
      </w:r>
    </w:p>
    <w:p>
      <w:pPr>
        <w:spacing w:after="200"/>
      </w:pPr>
      <w:r>
        <w:rPr>
          <w:i/>
          <w:iCs/>
          <w:color w:val="595959"/>
        </w:rPr>
        <w:t xml:space="preserve">R0–R3 risk seviyesi her görev sözleşmesinde tanımlı. R2 ve üzeri için insan onayı zorunlu — bypass mümkün değil. Bu, EU AI Act ve KVKK uyumunun teknik karşılığıdır.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876550"/>
            <wp:effectExtent t="0" r="0" b="0" l="0"/>
            <wp:docPr id="1" name="diag-4.png" descr="diag-4.png" title="diag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Kural Tablosu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 (Zararsız): Tam otomatik. Log yeterli.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 (Düşük): Otomatik. Verifier zorunlu. QG1–QG4 kapıları.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 (Orta): Yarı otomatik. Verifier + Contrarian + insan denetçi onayı.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 (Yüksek): Tam insan onayı zorunlu. Geri alma planı sözleşmenin parçası.</w:t>
      </w:r>
    </w:p>
    <w:p>
      <w:pPr>
        <w:pStyle w:val="Heading2"/>
        <w:spacing w:after="120" w:before="240"/>
      </w:pPr>
      <w:r>
        <w:t xml:space="preserve">Approval Queue Davranışı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R2/R3 step'ler queue'ya yazılır, run pause edilir.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admin paneli üzerinden onay/red verilir.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Onaylananlar otomatik continue olur; reddedilenler "skipped" işaretli kaydedilir.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Queue P50 bekleme &lt; 4 saat hedefi (KPI).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Multi-Tenant Veri İzolasyonu</w:t>
      </w:r>
    </w:p>
    <w:p>
      <w:pPr>
        <w:spacing w:after="200"/>
      </w:pPr>
      <w:r>
        <w:rPr>
          <w:i/>
          <w:iCs/>
          <w:color w:val="595959"/>
        </w:rPr>
        <w:t xml:space="preserve">Her tenant kendi facts/decisions/work hafızasında izole. Postgres Row-Level Security (RLS) her sorgu için tenant_id filtresi uygular. Çapraz-tenant veri görünürlüğü teknik olarak imkansızdır.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876550"/>
            <wp:effectExtent t="0" r="0" b="0" l="0"/>
            <wp:docPr id="1" name="diag-5.png" descr="diag-5.png" title="diag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Güvenlik Prensibi</w:t>
      </w:r>
    </w:p>
    <w:p>
      <w:pPr>
        <w:pBdr>
          <w:left w:val="single" w:color="F59E0B" w:sz="24" w:space="8"/>
        </w:pBdr>
        <w:shd w:fill="FFF8E1" w:val="clear"/>
        <w:spacing w:after="120" w:before="120"/>
      </w:pPr>
      <w:r>
        <w:rPr>
          <w:color w:val="5C4A00"/>
          <w:sz w:val="21"/>
          <w:szCs w:val="21"/>
        </w:rPr>
        <w:t xml:space="preserve">RLS politikası "tenant_id = current_setting('app.current_tenant')" şeklinde her tabloda zorunlu. Aylık chaos test ile bir tenant rolüyle başka tenant verisi okumaya çalışan saldırı senaryoları otomatik koşulur.</w:t>
      </w:r>
    </w:p>
    <w:p>
      <w:pPr>
        <w:pStyle w:val="Heading2"/>
        <w:spacing w:after="120" w:before="240"/>
      </w:pPr>
      <w:r>
        <w:t xml:space="preserve">İzolasyon Boyutları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Veritabanı: Postgres RLS her sorguda tenant_id filtresi.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 Store: tenant başına ayrı bucket veya prefix; presigned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Vault: tenant-scoped şifrelenmiş; KMS key per tenant opsiyonu.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 indeksi: tenant_id filter zorunlu, ayrı namespace.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Egress: tenant'a özel allowlist; tool çağrı host'ları tenant policy ile sınırlı.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Log/audit: tenant_id ile partition'lanmış; cross-tenant query yetkili rol gerekir.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Sektör Onboarding Pipeline</w:t>
      </w:r>
    </w:p>
    <w:p>
      <w:pPr>
        <w:spacing w:after="200"/>
      </w:pPr>
      <w:r>
        <w:rPr>
          <w:i/>
          <w:iCs/>
          <w:color w:val="595959"/>
        </w:rPr>
        <w:t xml:space="preserve">Yeni bir sektör platforma 7 adımda eklenir. Her adımın somut çıktısı vardır; atlama yapılmaz. Toplam süre 8–18 hafta; tamamen yeniden kullanılabilir.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diag-6.png" descr="diag-6.png" title="diag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Sektör Paketi Tipik İçeriği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Pack: allowed-domains, glossary, regulatory_notes, bundles.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Personas: 4–8 sektör rolü; her biri için neyi yapar / neyi yapmaz.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Playbooks: 15–25 adım dizisi; her playbook Verifier ile bitmek zorunda.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3–10 sektörel tool entegrasyonu (OAuth +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Verifier Rubric: sektörel kalite eşikleri, kırmızı çizgiler.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Profili: hangi adım hangi default risk seviyesinde.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Plan: 4–8 haftalık pilot; ödeyen müşteriye dönüşüm hedefi.</w:t>
      </w:r>
    </w:p>
    <w:p>
      <w:pPr>
        <w:pStyle w:val="Heading2"/>
        <w:spacing w:after="120" w:before="240"/>
      </w:pPr>
      <w:r>
        <w:t xml:space="preserve">Sonuç</w:t>
      </w:r>
    </w:p>
    <w:p>
      <w:pPr>
        <w:spacing w:after="120"/>
      </w:pPr>
      <w:r>
        <w:t xml:space="preserve">Bu altı diyagram, AgentArmy'nin "her sektör için AI iş gücü" iddiasının teknik temelini görünür kılar. Detaylı açıklamalar için ekteki Strateji + Mimari ve 12 Aylık Yol Haritası dokümanlarına bakınız.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Sayfa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AgentArmy — Mimari Diyagram Seti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fccb7350a4d8fa081c89a3700a61021484bcd8.png"/><Relationship Id="rId10" Type="http://schemas.openxmlformats.org/officeDocument/2006/relationships/image" Target="media/c6294f5b143d2e9f959adc11e41dfb594fbcdb62.png"/><Relationship Id="rId11" Type="http://schemas.openxmlformats.org/officeDocument/2006/relationships/image" Target="media/809316ff6e6860e4ce4dbb205dd06730d79a4fd8.png"/><Relationship Id="rId12" Type="http://schemas.openxmlformats.org/officeDocument/2006/relationships/image" Target="media/45c31ca16d6909613875ec398a5d6cf9cc4378eb.png"/><Relationship Id="rId13" Type="http://schemas.openxmlformats.org/officeDocument/2006/relationships/image" Target="media/93238f2cd49867fdb964337419346029a39f662a.png"/><Relationship Id="rId14" Type="http://schemas.openxmlformats.org/officeDocument/2006/relationships/image" Target="media/4464d899b64d436662a31800063b0deb1fff49c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AgentArmy — Mimari Diyagram Seti</dc:title>
  <dc:creator>Kadir Öğreten</dc:creator>
  <cp:lastModifiedBy>Un-named</cp:lastModifiedBy>
  <cp:revision>1</cp:revision>
  <dcterms:created xsi:type="dcterms:W3CDTF">2026-05-14T12:24:31.645Z</dcterms:created>
  <dcterms:modified xsi:type="dcterms:W3CDTF">2026-05-14T12:24:31.646Z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