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POSEIDON v46.3</w:t>
      </w:r>
    </w:p>
    <w:p>
      <w:pPr>
        <w:jc w:val="center"/>
      </w:pPr>
      <w:r>
        <w:rPr>
          <w:b/>
          <w:sz w:val="40"/>
        </w:rPr>
        <w:t>MASTER PRODUCT SPECIFICATION</w:t>
      </w:r>
    </w:p>
    <w:p>
      <w:pPr>
        <w:jc w:val="center"/>
      </w:pPr>
      <w:r>
        <w:rPr>
          <w:i/>
        </w:rPr>
        <w:t>GEMİ + RÖMORKÖR • Tek platform, iki birinci sınıf operasyon modu</w:t>
      </w:r>
    </w:p>
    <w:p>
      <w:pPr>
        <w:jc w:val="center"/>
      </w:pPr>
      <w:r>
        <w:rPr>
          <w:b/>
        </w:rPr>
        <w:t>Controlled candidate • 22 Ekim 2026</w:t>
      </w:r>
    </w:p>
    <w:p>
      <w:r>
        <w:br w:type="page"/>
      </w:r>
    </w:p>
    <w:p>
      <w:pPr>
        <w:pStyle w:val="Heading1"/>
      </w:pPr>
      <w:r>
        <w:t>1. v46.3 Kontrollü Aday Kapsam</w:t>
      </w:r>
    </w:p>
    <w:p>
      <w:r>
        <w:t>POSEIDON v46.3 için ana ürün kapsamı Gemi + Römorkör olarak dondurulmuştur. Gemi ve römorkör aynı ortak çekirdeği paylaşan, ancak operasyon ritmi ve görev akışları farklı olan iki birinci sınıf çalışma modudur. Fleet/company yalnızca tenant, yönetim ve karma filo toplulaştırma bağlamıdır; ana ürün scope tanımı değildir.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Konu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Kontrollü karar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Primary scope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Gemi Yönetimi + Römorkör Operasyon ve Emniyet Yönetimi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core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Crew, certificates, PMS, safety, regulatory, evidence, assurance, AI, mobile/offline, technical supply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Mode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Voyage, departure/arrival, watchkeeping, ship/cargo profiles, tanker/bulk/container/gas/chemical as applicable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Mode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intake, job board, own tug assignment, readiness, towage plan/risk, execution, equipment/crew readiness, daily log, history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Fleet/company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Management and mixed-fleet aggregation context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Port boundary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Port/terminal/berth/port-traffic management yok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Important distinction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Römorkörün kendi iş atama ve operasyon planlaması VAR; limanın berth/traffic/resource yönetimi YOK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Tanker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Mode altındaki özel gemi/cargo paketi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Controlled inventory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196 ekran / 2.316 field-level contract</w:t>
            </w:r>
          </w:p>
        </w:tc>
      </w:tr>
    </w:tbl>
    <w:p>
      <w:pPr>
        <w:pStyle w:val="Heading1"/>
      </w:pPr>
      <w:r>
        <w:t>2. Ürün Konsepti: Tek Platform, İki Mod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Boyut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Gemi Modu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Römorkör Modu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Operasyon ritmi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Günler/haftalar süren voyage ve shipboard süreçler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Günde çok sayıda kısa, zaman hassas römorkaj işi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Ana context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Vessel + voyage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+ job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Today yüzeyi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Departure/voyage/arrival, crew, certificate, PMS, safety exceptions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Sıradaki iş, atama, readiness, towing equipment, crew, briefing, execution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Kritik karar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 departure/operational decision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Master start/suspend/abort/complete decision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Operasyon kanıtı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Voyage/readiness/checklists/evidence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times, towline, comms, readiness, briefing, photos/AIS-time evidence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systems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Crew/PMS/Certificates/Safety/Regulatory/Evidence/Offline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Aynı çekirdek</w:t>
            </w:r>
          </w:p>
        </w:tc>
      </w:tr>
    </w:tbl>
    <w:p>
      <w:pPr>
        <w:pStyle w:val="Heading1"/>
      </w:pPr>
      <w:r>
        <w:t>3. Bilgi Mimarisi</w:t>
      </w:r>
    </w:p>
    <w:p>
      <w:r>
        <w:t>Ana navigasyon capability depth yerine role + mode + asset/job context ile sadeleşir.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Ana alan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İçerik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POSEIDON Today, Safety Inbox, role dashboards, decision/recommendation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Fleet / Mixed Fleet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Gemi + römorkör envanteri, mixed-fleet control tower, management context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People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Crew, certificates, competence, training-position, safe manning, work/rest, towage competence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Operations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Departure, voyage, arrival, watch handover, cargo/special ship workspaces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Operations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Command, job intake/board/detail, assignment, readiness, towage plan/risk/execution, equipment/crew readiness, daily log/history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Events &amp; Learning, barriers, emergency, confidential reporting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PMS 2.0, equipment, WO, condition, defects, spares, drydock/reliability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Assurance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Certificate intelligence, surveys, PSC/class/ISM/MLC readiness, management review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Requirement master, applicability, control library, evidence graph, change radar, future sandbox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Intelligence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Why, Copilot, recommendations, decisions, risk clusters, learning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Mobile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Task center, QR asset, offline capture, conflict center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Administration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Identity, tenant, workflow, integration, data trust, system health, security</w:t>
            </w:r>
          </w:p>
        </w:tc>
      </w:tr>
    </w:tbl>
    <w:p>
      <w:pPr>
        <w:pStyle w:val="Heading1"/>
      </w:pPr>
      <w:r>
        <w:t>4. Rol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Rol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Gemi Modu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Römorkör Modu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Yetki sınırı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 / Kaptan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Departure/voyage/shipboard operational authority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readiness and towage execution authority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AI/workflow/shore cannot bypass onboard authority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Römorkör Operasyon Sorumlusu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Cross-mode oversight as authorized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intake, job board, tug assignment, conflict and shore coordination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Atama yapar; onboard safety kararını vermez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DPA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ISM ship-shore link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ISM tug-shore link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Safety/ISM oversight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Chief Engineer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PMS/defect/technical readiness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Machinery, winch/tow equipment, PMS readiness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Technical authority within role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 / Seafarer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Assigned shipboard work/evidence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Assigned tug work/briefing/evidence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Final critical approval yok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Crewing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Assignment/cert/competence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crew and towage competence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Eligibility input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Regulatory/Safety 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Source/applicability/control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core + tug source pack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Legal source/version governance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Fleet/Technical Manager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Mixed-fleet management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Mixed-fleet management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Onboard authority değil</w:t>
            </w:r>
          </w:p>
        </w:tc>
      </w:tr>
    </w:tbl>
    <w:p>
      <w:pPr>
        <w:pStyle w:val="Heading1"/>
      </w:pPr>
      <w:r>
        <w:t>5. Shared Core</w:t>
      </w:r>
    </w:p>
    <w:p>
      <w:pPr>
        <w:pStyle w:val="ListBullet"/>
        <w:spacing w:after="40"/>
      </w:pPr>
      <w:r>
        <w:t>Identity/RBAC/tenant/vessel-job scope</w:t>
      </w:r>
    </w:p>
    <w:p>
      <w:pPr>
        <w:pStyle w:val="ListBullet"/>
        <w:spacing w:after="40"/>
      </w:pPr>
      <w:r>
        <w:t>Crew &amp; Competence</w:t>
      </w:r>
    </w:p>
    <w:p>
      <w:pPr>
        <w:pStyle w:val="ListBullet"/>
        <w:spacing w:after="40"/>
      </w:pPr>
      <w:r>
        <w:t>Certificates &amp; Survey Intelligence</w:t>
      </w:r>
    </w:p>
    <w:p>
      <w:pPr>
        <w:pStyle w:val="ListBullet"/>
        <w:spacing w:after="40"/>
      </w:pPr>
      <w:r>
        <w:t>PMS 2.0 / Defect / Critical Equipment</w:t>
      </w:r>
    </w:p>
    <w:p>
      <w:pPr>
        <w:pStyle w:val="ListBullet"/>
        <w:spacing w:after="40"/>
      </w:pPr>
      <w:r>
        <w:t>Safety Events &amp; Learning</w:t>
      </w:r>
    </w:p>
    <w:p>
      <w:pPr>
        <w:pStyle w:val="ListBullet"/>
        <w:spacing w:after="40"/>
      </w:pPr>
      <w:r>
        <w:t>Emergency &amp; Barrier Management</w:t>
      </w:r>
    </w:p>
    <w:p>
      <w:pPr>
        <w:pStyle w:val="ListBullet"/>
        <w:spacing w:after="40"/>
      </w:pPr>
      <w:r>
        <w:t>Requirement / Applicability / Control / Evidence / Verification / Decision</w:t>
      </w:r>
    </w:p>
    <w:p>
      <w:pPr>
        <w:pStyle w:val="ListBullet"/>
        <w:spacing w:after="40"/>
      </w:pPr>
      <w:r>
        <w:t>Offline-first sync and conflict handling</w:t>
      </w:r>
    </w:p>
    <w:p>
      <w:pPr>
        <w:pStyle w:val="ListBullet"/>
        <w:spacing w:after="40"/>
      </w:pPr>
      <w:r>
        <w:t>AI: Detect → Explain → Recommend → Authorized Human Decision</w:t>
      </w:r>
    </w:p>
    <w:p>
      <w:pPr>
        <w:pStyle w:val="ListBullet"/>
        <w:spacing w:after="40"/>
      </w:pPr>
      <w:r>
        <w:t>Audit / Assurance / Management Review</w:t>
      </w:r>
    </w:p>
    <w:p>
      <w:pPr>
        <w:pStyle w:val="ListBullet"/>
        <w:spacing w:after="40"/>
      </w:pPr>
      <w:r>
        <w:t>Technical Supply / critical spares visibility</w:t>
      </w:r>
    </w:p>
    <w:p>
      <w:pPr>
        <w:pStyle w:val="Heading1"/>
      </w:pPr>
      <w:r>
        <w:t>6. Ship Mode</w:t>
      </w:r>
    </w:p>
    <w:p>
      <w:r>
        <w:t>Gemi modu v46.1 derinliğini korur. Tanker, chemical, gas, bulk, container vb. ayrı ürün değil; Ship Mode içindeki applicability-driven profil ve workspace katmanlarıdır.</w:t>
      </w:r>
    </w:p>
    <w:p>
      <w:pPr>
        <w:pStyle w:val="ListBullet"/>
        <w:spacing w:after="40"/>
      </w:pPr>
      <w:r>
        <w:t>Vessel onboarding and regulatory profile</w:t>
      </w:r>
    </w:p>
    <w:p>
      <w:pPr>
        <w:pStyle w:val="ListBullet"/>
        <w:spacing w:after="40"/>
      </w:pPr>
      <w:r>
        <w:t>Departure readiness + Master sign-off</w:t>
      </w:r>
    </w:p>
    <w:p>
      <w:pPr>
        <w:pStyle w:val="ListBullet"/>
        <w:spacing w:after="40"/>
      </w:pPr>
      <w:r>
        <w:t>Voyage Live + Noon Report + Deck/Engine Daily Logs</w:t>
      </w:r>
    </w:p>
    <w:p>
      <w:pPr>
        <w:pStyle w:val="ListBullet"/>
        <w:spacing w:after="40"/>
      </w:pPr>
      <w:r>
        <w:t>Arrival readiness</w:t>
      </w:r>
    </w:p>
    <w:p>
      <w:pPr>
        <w:pStyle w:val="ListBullet"/>
        <w:spacing w:after="40"/>
      </w:pPr>
      <w:r>
        <w:t>Watch handover and work/rest</w:t>
      </w:r>
    </w:p>
    <w:p>
      <w:pPr>
        <w:pStyle w:val="ListBullet"/>
        <w:spacing w:after="40"/>
      </w:pPr>
      <w:r>
        <w:t>Cargo/special ship profiles</w:t>
      </w:r>
    </w:p>
    <w:p>
      <w:pPr>
        <w:pStyle w:val="ListBullet"/>
        <w:spacing w:after="40"/>
      </w:pPr>
      <w:r>
        <w:t>Navigation/environmental/dangerous goods context + Fuel/Bunker/ROB/BDN evidence</w:t>
      </w:r>
    </w:p>
    <w:p>
      <w:pPr>
        <w:pStyle w:val="ListBullet"/>
        <w:spacing w:after="40"/>
      </w:pPr>
      <w:r>
        <w:t>Statutory/class/certificate readiness</w:t>
      </w:r>
    </w:p>
    <w:p>
      <w:pPr>
        <w:pStyle w:val="ListBullet"/>
        <w:spacing w:after="40"/>
      </w:pPr>
      <w:r>
        <w:t>Shipboard PMS, defects and emergency readiness</w:t>
      </w:r>
    </w:p>
    <w:p>
      <w:r>
        <w:br w:type="page"/>
      </w:r>
    </w:p>
    <w:p>
      <w:pPr>
        <w:pStyle w:val="Heading1"/>
      </w:pPr>
      <w:r>
        <w:t>7. Tug Mode — Birinci Sınıf Operasyon</w:t>
      </w:r>
    </w:p>
    <w:p>
      <w:r>
        <w:t>v46.1’deki profile-only yaklaşım kaldırılmıştır. Römorkör artık uçtan uca operasyon domainidir.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Ekran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Ana amaç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Kritik çıktı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Komuta Merkezi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günlük komuta resmi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Do-next + readiness + job exceptions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İş Talebi / Job Intake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Yeni römorkaj/assist işini kontrollü açma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 context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İş Panosu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Kısa ve sık işleri zaman/readiness ile yönetme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 queue + conflict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İş Detayı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Tek işin tüm operasyon bağlamı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Single job truth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Atama ve Çakışma Kontrolü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Kendi römorkörlerini işe atama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Assignment + overlap/readiness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Operasyon Hazırlığı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İşe çıkış öncesi tug readiness gate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READY/CONDITIONAL/NOT_READY/REVIEW_REQUIRED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Römorkaj / Çekme Operasyon Planı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Çekme konfigürasyonu ve limitleri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Approved operation plan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Römorkaj Risk ve Brifing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Risk, bariyer, stop-work ve ekip brifingi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Acknowledged safe-work basis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Römorkaj Operasyon Yürütme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Start/suspend/abort/complete + evidence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execution record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Ekipman Hazırlığı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Winch/towline/hook/release/FiFi hazırlığı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Equipment readiness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Mürettebat Hazırlığı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Manning/credential/towage competence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readiness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Günlük Operasyon Defteri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Günlük iş/runtime/fuel/defect/safety log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Daily operational record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Operasyon Geçmişi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Geçmiş tug jobs and evidence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Searchable history</w:t>
            </w:r>
          </w:p>
        </w:tc>
      </w:tr>
    </w:tbl>
    <w:p>
      <w:pPr>
        <w:pStyle w:val="Heading1"/>
      </w:pPr>
      <w:r>
        <w:t>8. Römorkör Uçtan Uca Süreç</w:t>
      </w:r>
    </w:p>
    <w:p>
      <w:r>
        <w:t>Talep → Planlama → Atama → Readiness → Towage Plan → Risk/Briefing → Master/Tug Master Release → Execution → Completion Evidence → Verification → Daily/History → Learning</w:t>
      </w:r>
    </w:p>
    <w:p>
      <w:pPr>
        <w:pStyle w:val="ListBullet"/>
        <w:spacing w:after="40"/>
      </w:pPr>
      <w:r>
        <w:t>İş atama ürün kapsamındadır; port dispatch değildir.</w:t>
      </w:r>
    </w:p>
    <w:p>
      <w:pPr>
        <w:pStyle w:val="ListBullet"/>
        <w:spacing w:after="40"/>
      </w:pPr>
      <w:r>
        <w:t>Port/berth/location değerleri yalnız operasyon context alanı olabilir.</w:t>
      </w:r>
    </w:p>
    <w:p>
      <w:pPr>
        <w:pStyle w:val="ListBullet"/>
        <w:spacing w:after="40"/>
      </w:pPr>
      <w:r>
        <w:t>Römorkör ataması crew/equipment/PMS/certificate/overlap doğrulaması yapar.</w:t>
      </w:r>
    </w:p>
    <w:p>
      <w:pPr>
        <w:pStyle w:val="ListBullet"/>
        <w:spacing w:after="40"/>
      </w:pPr>
      <w:r>
        <w:t>Shore operasyon sorumlusu atama yapabilir; onboard güvenlik kararı Master/Tug Master’dadır.</w:t>
      </w:r>
    </w:p>
    <w:p>
      <w:pPr>
        <w:pStyle w:val="ListBullet"/>
        <w:spacing w:after="40"/>
      </w:pPr>
      <w:r>
        <w:t>Critical tow equipment veya crew gap READY üretemez.</w:t>
      </w:r>
    </w:p>
    <w:p>
      <w:pPr>
        <w:pStyle w:val="ListBullet"/>
        <w:spacing w:after="40"/>
      </w:pPr>
      <w:r>
        <w:t>Incomplete briefing veya failed emergency release test operation start’ı bloklayabilir.</w:t>
      </w:r>
    </w:p>
    <w:p>
      <w:pPr>
        <w:pStyle w:val="ListBullet"/>
        <w:spacing w:after="40"/>
      </w:pPr>
      <w:r>
        <w:t>Operation start/suspend/abort/complete controlled decision lineage taşır.</w:t>
      </w:r>
    </w:p>
    <w:p>
      <w:pPr>
        <w:pStyle w:val="ListBullet"/>
        <w:spacing w:after="40"/>
      </w:pPr>
      <w:r>
        <w:t>Offline tugboard kayıtları reconnect sonrası idempotent sync edilir.</w:t>
      </w:r>
    </w:p>
    <w:p>
      <w:pPr>
        <w:pStyle w:val="Heading1"/>
      </w:pPr>
      <w:r>
        <w:t>9. Römorkör Veri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Temel alanlar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TugJob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jobId, source, assistedVessel, type, window, area, requiredTugCount/BP, priority, owner, state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TugAssignment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jobId, tugId, role, planned window, overlap, crew/equipment/PMS/certificate state, Master ack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TugReadiness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crew, equipment, PMS, certificates, towline, winch, emergency release, comms, weather, blockers, Master decision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TowagePlan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configuration, towline/SWL, BP, route/area, limits, communication, emergency release, contingency, snap-back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TowageBriefing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hazards, barriers, weather/current/visibility, stop-work, emergency actions, participants, acknowledgement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TowageExecution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state, times, positions, towline events, max load, comms, weather, suspension, Master decision, evidence, verification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TugEquipmentReadiness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winch, hook, towline, emergency release, FiFi, fender, PMS, certificates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TugCrewReadiness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Master/engineer, manning, certificates, towage competence, familiarization, rest, briefing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TugDailyLog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date/shift, meter, jobs, hours, fuel, defects, safety events, summary, Master review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TugOperationHistory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job/tug/vessel/type/time/duration/Master/outcome/evidence state</w:t>
            </w:r>
          </w:p>
        </w:tc>
      </w:tr>
    </w:tbl>
    <w:p>
      <w:pPr>
        <w:pStyle w:val="Heading1"/>
      </w:pPr>
      <w:r>
        <w:t>10. UX / Tasarım Kuralları</w:t>
      </w:r>
    </w:p>
    <w:p>
      <w:pPr>
        <w:pStyle w:val="ListBullet"/>
        <w:spacing w:after="40"/>
      </w:pPr>
      <w:r>
        <w:t>Mode-aware Today: seçili context Ship ise voyage/departure; Tug ise job/readiness.</w:t>
      </w:r>
    </w:p>
    <w:p>
      <w:pPr>
        <w:pStyle w:val="ListBullet"/>
        <w:spacing w:after="40"/>
      </w:pPr>
      <w:r>
        <w:t>Her ana yüzey tek ana soruya cevap verir.</w:t>
      </w:r>
    </w:p>
    <w:p>
      <w:pPr>
        <w:pStyle w:val="ListBullet"/>
        <w:spacing w:after="40"/>
      </w:pPr>
      <w:r>
        <w:t>Gemi ve römorkör tarafında mobile/tablet birinci sınıf yüzeydir.</w:t>
      </w:r>
    </w:p>
    <w:p>
      <w:pPr>
        <w:pStyle w:val="ListBullet"/>
        <w:spacing w:after="40"/>
      </w:pPr>
      <w:r>
        <w:t>Büyük touch target, yüksek kontrast, kısa form; ancak safety-critical doğrulama adımları sırf tıklama azaltmak için kaldırılmaz.</w:t>
      </w:r>
    </w:p>
    <w:p>
      <w:pPr>
        <w:pStyle w:val="ListBullet"/>
        <w:spacing w:after="40"/>
      </w:pPr>
      <w:r>
        <w:t>Normal/healthy durumlar geri planda; exception Why/Owner/Next Action ile görünür.</w:t>
      </w:r>
    </w:p>
    <w:p>
      <w:pPr>
        <w:pStyle w:val="ListBullet"/>
        <w:spacing w:after="40"/>
      </w:pPr>
      <w:r>
        <w:t>AI taslak/öneri sağlar; operasyonu başlatamaz, durduramaz veya final legal/safety decision veremez.</w:t>
      </w:r>
    </w:p>
    <w:p>
      <w:pPr>
        <w:pStyle w:val="Heading1"/>
      </w:pPr>
      <w:r>
        <w:t>11. Regulatory Model</w:t>
      </w:r>
    </w:p>
    <w:p>
      <w:r>
        <w:t>Shared maritime corpus korunur. Römorkör için ayrı applicability/source pack açılır; ancak exact flag/class/company/local towing requirements authoritative source ile doğrulanmadan compliance claim yapılmaz.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Örnek kullanım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ISM/SMS, crew, maintenance, safety, evidence, audit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Ship-specific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SOLAS/STCW/MLC/MARPOL/cargo codes as applicable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Tug-specific source pack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Flag/class/company SMS/local operating/towing equipment and competence rules as applicable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Industry/OEM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Manufacturer and industry operational guidance; statutory law gibi etiketlenmez</w:t>
            </w:r>
          </w:p>
        </w:tc>
      </w:tr>
    </w:tbl>
    <w:p>
      <w:pPr>
        <w:pStyle w:val="Heading1"/>
      </w:pPr>
      <w:r>
        <w:t>12. Technical Architecture</w:t>
      </w:r>
    </w:p>
    <w:p>
      <w:pPr>
        <w:pStyle w:val="ListBullet"/>
        <w:spacing w:after="40"/>
      </w:pPr>
      <w:r>
        <w:t>React + TypeScript role/mode-aware web/PWA shell</w:t>
      </w:r>
    </w:p>
    <w:p>
      <w:pPr>
        <w:pStyle w:val="ListBullet"/>
        <w:spacing w:after="40"/>
      </w:pPr>
      <w:r>
        <w:t>ASP.NET Core modular-monolith-first backend</w:t>
      </w:r>
    </w:p>
    <w:p>
      <w:pPr>
        <w:pStyle w:val="ListBullet"/>
        <w:spacing w:after="40"/>
      </w:pPr>
      <w:r>
        <w:t>PostgreSQL core persistence + object storage</w:t>
      </w:r>
    </w:p>
    <w:p>
      <w:pPr>
        <w:pStyle w:val="ListBullet"/>
        <w:spacing w:after="40"/>
      </w:pPr>
      <w:r>
        <w:t>OIDC/OAuth2 + server-side tenant/asset/job authorization</w:t>
      </w:r>
    </w:p>
    <w:p>
      <w:pPr>
        <w:pStyle w:val="ListBullet"/>
        <w:spacing w:after="40"/>
      </w:pPr>
      <w:r>
        <w:t>REST/OpenAPI + idempotency/version concurrency</w:t>
      </w:r>
    </w:p>
    <w:p>
      <w:pPr>
        <w:pStyle w:val="ListBullet"/>
        <w:spacing w:after="40"/>
      </w:pPr>
      <w:r>
        <w:t>Audit/evidence append-only or superseded strategy</w:t>
      </w:r>
    </w:p>
    <w:p>
      <w:pPr>
        <w:pStyle w:val="ListBullet"/>
        <w:spacing w:after="40"/>
      </w:pPr>
      <w:r>
        <w:t>Offline durable queue; tug job/briefing/execution/log included</w:t>
      </w:r>
    </w:p>
    <w:p>
      <w:pPr>
        <w:pStyle w:val="ListBullet"/>
        <w:spacing w:after="40"/>
      </w:pPr>
      <w:r>
        <w:t>Observability with tenant/ship-or-tug/job correlation context</w:t>
      </w:r>
    </w:p>
    <w:p>
      <w:pPr>
        <w:pStyle w:val="Heading1"/>
      </w:pPr>
      <w:r>
        <w:t>13. Controlled Inventory</w:t>
      </w:r>
    </w:p>
    <w:p>
      <w:r>
        <w:t>v46.3 controlled candidate inventory: 196 ekran / 2.316 field-level contract. v46.1’in 172 ekran / 1.900 alanı korunmuş; 13 Tug Operations ekranı ve 226 field eklenmiştir. Detaylı field sözleşmesi companion Excel’de canonicaldır.</w:t>
      </w:r>
    </w:p>
    <w:p>
      <w:r>
        <w:br w:type="page"/>
      </w:r>
    </w:p>
    <w:p>
      <w:pPr>
        <w:pStyle w:val="Heading1"/>
      </w:pPr>
      <w:r>
        <w:t>14. Pilot ve Release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Pilot proof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Zorunlu çıktı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Mode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Bir gerçek gemide onboarding/readiness/certificate/crew/PMS/safety/evidence/offline journey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Mode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Bir gerçek römorkörde job intake→assignment→readiness→plan→briefing→execution→log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Shared core proof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Aynı crew/PMS/evidence/audit/offline infrastructure her iki modda reuse edilir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Tenant/asset/job authorization + no cross-tenant leakage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+ tug pilot applicability sources reviewed; unknowns REVIEW_REQUIRED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Human authority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Master/Tug Master final operational authority preserved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Value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Task success, prep time, conflict visibility, evidence completeness, offline success, adoption</w:t>
            </w:r>
          </w:p>
        </w:tc>
      </w:tr>
    </w:tbl>
    <w:p>
      <w:pPr>
        <w:pStyle w:val="Heading1"/>
      </w:pPr>
      <w:r>
        <w:t>15. Explicit Non-Scope</w:t>
      </w:r>
    </w:p>
    <w:p>
      <w:pPr>
        <w:pStyle w:val="ListBullet"/>
        <w:spacing w:after="40"/>
      </w:pPr>
      <w:r>
        <w:t>Port Management / Port 360</w:t>
      </w:r>
    </w:p>
    <w:p>
      <w:pPr>
        <w:pStyle w:val="ListBullet"/>
        <w:spacing w:after="40"/>
      </w:pPr>
      <w:r>
        <w:t>Berth allocation</w:t>
      </w:r>
    </w:p>
    <w:p>
      <w:pPr>
        <w:pStyle w:val="ListBullet"/>
        <w:spacing w:after="40"/>
      </w:pPr>
      <w:r>
        <w:t>Terminal operating system</w:t>
      </w:r>
    </w:p>
    <w:p>
      <w:pPr>
        <w:pStyle w:val="ListBullet"/>
        <w:spacing w:after="40"/>
      </w:pPr>
      <w:r>
        <w:t>Port traffic management / VTS replacement</w:t>
      </w:r>
    </w:p>
    <w:p>
      <w:pPr>
        <w:pStyle w:val="ListBullet"/>
        <w:spacing w:after="40"/>
      </w:pPr>
      <w:r>
        <w:t>Port-wide resource scheduling</w:t>
      </w:r>
    </w:p>
    <w:p>
      <w:pPr>
        <w:pStyle w:val="ListBullet"/>
        <w:spacing w:after="40"/>
      </w:pPr>
      <w:r>
        <w:t>Full finance/accounting/payroll ERP</w:t>
      </w:r>
    </w:p>
    <w:p>
      <w:pPr>
        <w:pStyle w:val="ListBullet"/>
        <w:spacing w:after="40"/>
      </w:pPr>
      <w:r>
        <w:t>Autonomous AI safety/legal approval</w:t>
      </w:r>
    </w:p>
    <w:p>
      <w:pPr>
        <w:pStyle w:val="ListBullet"/>
        <w:spacing w:after="40"/>
      </w:pPr>
      <w:r>
        <w:t>Navigation/ECDIS replacement</w:t>
      </w:r>
    </w:p>
    <w:p>
      <w:r>
        <w:br w:type="page"/>
      </w:r>
    </w:p>
    <w:p>
      <w:pPr>
        <w:pStyle w:val="Heading1"/>
      </w:pPr>
      <w:r>
        <w:t>16. v46.3 — NOZZLE Benchmark Sonrası Kontrollü Delta</w:t>
      </w:r>
    </w:p>
    <w:p>
      <w:r>
        <w:t>v46.3, v46.2 çekirdeğini değiştirmez. Rakip benchmark sonucunda yalnız yüksek değerli Ship Operations, PMS/Assurance ve Risk derinlikleri eklenir; maritime ERP breadth kopyalanmaz.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Alan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v46.3 Kararı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Ürün Etkisi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Operations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ADD / STRENGTHEN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Noon Report, Deck Daily Log, Engine Daily Log, Fuel/Bunker/ROB/BDN, Port Activity/SOF, Operational Downtime.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PMS / Technical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STRENGTHEN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Service &amp; Engineer Report; measurement/postponement/critical-spare/drydock akışları derinleştirilir.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Certificate / Assurance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STRENGTHEN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Pre-Survey Checklist + survey planner voyage-fit yaklaşımı.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 / Risk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ADD / STRENGTHEN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General Risk Assessment, Risk Template Library, Fleet High-Risk Work; Barrier Health/Effectiveness korunur.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Operations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KEEP / DIFFERENTIATE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13 ekranlık Tug lifecycle değişmez ve ana wedge olmaya devam eder.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 / Readiness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KEEP / DIFFERENTIATE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Dynamic Applicability + REVIEW_REQUIRED + Why Engine korunur.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Finance/Payroll/Full Procurement/Warehouse/Chartering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 / INTEGRATE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POSEIDON içinde ERP yeniden yapılmaz.</w:t>
            </w:r>
          </w:p>
        </w:tc>
      </w:tr>
      <w:t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Port/Terminal/Berth/VTS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Yalnız gemi/römorkörün kendi operasyon context verisi tutulur.</w:t>
            </w:r>
          </w:p>
        </w:tc>
      </w:tr>
    </w:tbl>
    <w:p>
      <w:pPr>
        <w:pStyle w:val="Heading1"/>
      </w:pPr>
      <w:r>
        <w:t>17. Ship Operations 2.0</w:t>
      </w:r>
    </w:p>
    <w:p>
      <w:pPr>
        <w:pStyle w:val="ListBullet"/>
        <w:spacing w:after="40"/>
      </w:pPr>
      <w:r>
        <w:t>Noon Report tek girişli günlük operasyon hub’ıdır; aynı veri voyage, fuel, environmental reporting, BI ve readiness tarafından tekrar kullanılır.</w:t>
      </w:r>
    </w:p>
    <w:p>
      <w:pPr>
        <w:pStyle w:val="ListBullet"/>
        <w:spacing w:after="40"/>
      </w:pPr>
      <w:r>
        <w:t>Deck Daily Log; vardiya, navigation/port/cargo/tug/pilot aktiviteleri, safety note ve handover kaydını audit/offline ile taşır.</w:t>
      </w:r>
    </w:p>
    <w:p>
      <w:pPr>
        <w:pStyle w:val="ListBullet"/>
        <w:spacing w:after="40"/>
      </w:pPr>
      <w:r>
        <w:t>Engine Daily Log; running hours, fuel/lube, measurement, alarms, defects, work orders ve Chief Engineer review içerir.</w:t>
      </w:r>
    </w:p>
    <w:p>
      <w:pPr>
        <w:pStyle w:val="ListBullet"/>
        <w:spacing w:after="40"/>
      </w:pPr>
      <w:r>
        <w:t>Fuel/Bunker/ROB; consumption, delivery/transfer, tank ROB, BDN, sulphur/viscosity, discrepancy, requirement ve evidence/verification ile bağlıdır.</w:t>
      </w:r>
    </w:p>
    <w:p>
      <w:pPr>
        <w:pStyle w:val="ListBullet"/>
        <w:spacing w:after="40"/>
      </w:pPr>
      <w:r>
        <w:t>Port Activity &amp; SOF geminin kendi olay zaman çizelgesidir; Port OS değildir. Pilot/tug/cargo/delay/Letter of Protest kanıtları tutulabilir.</w:t>
      </w:r>
    </w:p>
    <w:p>
      <w:pPr>
        <w:pStyle w:val="ListBullet"/>
        <w:spacing w:after="40"/>
      </w:pPr>
      <w:r>
        <w:t>Operational Downtime; defect/WO/event ile nedensel ilişki kurar ve Loss-of-Hire adayı/claim evidence taşıyabilir.</w:t>
      </w:r>
    </w:p>
    <w:p>
      <w:pPr>
        <w:pStyle w:val="Heading1"/>
      </w:pPr>
      <w:r>
        <w:t>18. PMS / Assurance Güçlendirmeleri</w:t>
      </w:r>
    </w:p>
    <w:p>
      <w:pPr>
        <w:pStyle w:val="ListBullet"/>
        <w:spacing w:after="40"/>
      </w:pPr>
      <w:r>
        <w:t>Service &amp; Engineer Report doğrudan equipment + Work Order + test result + evidence + verifier ile bağlanır.</w:t>
      </w:r>
    </w:p>
    <w:p>
      <w:pPr>
        <w:pStyle w:val="ListBullet"/>
        <w:spacing w:after="40"/>
      </w:pPr>
      <w:r>
        <w:t>PMS measurement point / condition threshold / running-hours governance ayrı kayıt geçmişiyle yönetilir.</w:t>
      </w:r>
    </w:p>
    <w:p>
      <w:pPr>
        <w:pStyle w:val="ListBullet"/>
        <w:spacing w:after="40"/>
      </w:pPr>
      <w:r>
        <w:t>Work Order postponement; reason + authority + risk review + new due + readiness recalculation olmadan tamamlanmaz.</w:t>
      </w:r>
    </w:p>
    <w:p>
      <w:pPr>
        <w:pStyle w:val="ListBullet"/>
        <w:spacing w:after="40"/>
      </w:pPr>
      <w:r>
        <w:t>Critical spare low-stock, tam satınalma ERP’si açmadan teknik requisition önerisi üretebilir; insan approval zorunludur.</w:t>
      </w:r>
    </w:p>
    <w:p>
      <w:pPr>
        <w:pStyle w:val="ListBullet"/>
        <w:spacing w:after="40"/>
      </w:pPr>
      <w:r>
        <w:t>Drydock; defect, WO, survey ve certificate scope ile bağlanır; supplier/budget tarafı ERP entegrasyonunda kalır.</w:t>
      </w:r>
    </w:p>
    <w:p>
      <w:pPr>
        <w:pStyle w:val="ListBullet"/>
        <w:spacing w:after="40"/>
      </w:pPr>
      <w:r>
        <w:t>Pre-Survey Checklist; owner/due/evidence/verification/finding/voyage-fit ile certificate readiness’e bağlanır.</w:t>
      </w:r>
    </w:p>
    <w:p>
      <w:pPr>
        <w:pStyle w:val="Heading1"/>
      </w:pPr>
      <w:r>
        <w:t>19. Safety / Risk v46.3</w:t>
      </w:r>
    </w:p>
    <w:p>
      <w:pPr>
        <w:pStyle w:val="ListBullet"/>
        <w:spacing w:after="40"/>
      </w:pPr>
      <w:r>
        <w:t>General Risk Assessment; initial/residual risk + controls + owner + preventive/mitigating barriers + stop-work + acknowledgement içerir.</w:t>
      </w:r>
    </w:p>
    <w:p>
      <w:pPr>
        <w:pStyle w:val="ListBullet"/>
        <w:spacing w:after="40"/>
      </w:pPr>
      <w:r>
        <w:t>Risk Template Library controlled revision/effective-date modeliyle fleet-standard risk bilgisini yönetir.</w:t>
      </w:r>
    </w:p>
    <w:p>
      <w:pPr>
        <w:pStyle w:val="ListBullet"/>
        <w:spacing w:after="40"/>
      </w:pPr>
      <w:r>
        <w:t>Crew improvement suggestion template değişikliği için kontrollü input olabilir; doğrudan published template’i değiştiremez.</w:t>
      </w:r>
    </w:p>
    <w:p>
      <w:pPr>
        <w:pStyle w:val="ListBullet"/>
        <w:spacing w:after="40"/>
      </w:pPr>
      <w:r>
        <w:t>Fleet High-Risk Work ekranı risk/permit/barrier/crew/equipment state ve Why tree ile istisna odaklı görünüm sağlar.</w:t>
      </w:r>
    </w:p>
    <w:p>
      <w:pPr>
        <w:pStyle w:val="ListBullet"/>
        <w:spacing w:after="40"/>
      </w:pPr>
      <w:r>
        <w:t>Completed control ≠ Verified control ≠ Effective control ilkesi değişmez.</w:t>
      </w:r>
    </w:p>
    <w:p>
      <w:pPr>
        <w:pStyle w:val="Heading1"/>
      </w:pPr>
      <w:r>
        <w:t>20. v46.3 Controlled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Metrik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v46.2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v46.3 Candidate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Delta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screens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185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196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+11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Field-level contracts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2.126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2.316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+190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Operations screens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Benchmark new Ship/PMS/Assurance/Risk screens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+11</w:t>
            </w:r>
          </w:p>
        </w:tc>
      </w:tr>
    </w:tbl>
    <w:p>
      <w:r>
        <w:rPr>
          <w:b/>
        </w:rPr>
        <w:t>v46.3 final baseline ancak PO/Marine SME/Regulatory/Engineering/QA review ile traceability, backlog ve test gate’leri aynı sürümde onaylandığında CONTROLLED/FROZEN olur.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Master Product Specification • v46.3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v46.3 | Gemi + Römorkör Controlled Dual-Mode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