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POSEIDON v46.3</w:t>
      </w:r>
    </w:p>
    <w:p>
      <w:pPr>
        <w:jc w:val="center"/>
      </w:pPr>
      <w:r>
        <w:rPr>
          <w:b/>
          <w:sz w:val="40"/>
        </w:rPr>
        <w:t>Backup, Restore &amp; Disaster Recovery Runbook</w:t>
      </w:r>
    </w:p>
    <w:p>
      <w:pPr>
        <w:jc w:val="center"/>
      </w:pPr>
      <w:r>
        <w:rPr>
          <w:i/>
          <w:sz w:val="22"/>
        </w:rPr>
        <w:t>Recovery objectives • Restore proof • Incident command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Değer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Amaç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Veri kaybı/servis kesintisinde kontrollü geri dönüş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Kapsam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PostgreSQL, object/evidence storage, config/reference, integration state, audit/outbox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İlke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Backup varlığı yeterli değildir; düzenli restore testleri gerekir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RPO/RTO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Production öncesi Product/Engineering tarafından onaylanacak servis hedefleri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Legal hold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Retention/hold altında evidence restore/purge kuralları ayrıca korunur</w:t>
            </w:r>
          </w:p>
        </w:tc>
      </w:tr>
    </w:tbl>
    <w:p>
      <w:r>
        <w:br w:type="page"/>
      </w:r>
    </w:p>
    <w:p>
      <w:pPr>
        <w:pStyle w:val="Heading1"/>
      </w:pPr>
      <w:r>
        <w:t>1. Backup kapsamı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Varlık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Backup yaklaşımı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Doğrulama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PostgreSQL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Encrypted full/base + incremental/WAL/PITR-capable policy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Automated integrity + restore test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Object/Evidence storage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Versioning/replication/backup according to provider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Checksum/sample restore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Configuration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IaC/config/reference export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Version/hash compare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Secrets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Provider-managed backup/recovery; never export plaintext casually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Recovery drill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Audit/Outbox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DB backup + retention consistency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Sequence/sample validation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 imports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Original approved migration source + checksum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Reconciliation</w:t>
            </w:r>
          </w:p>
        </w:tc>
      </w:tr>
    </w:tbl>
    <w:p>
      <w:pPr>
        <w:pStyle w:val="Heading1"/>
      </w:pPr>
      <w:r>
        <w:t>2. Recovery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Tier</w:t>
            </w:r>
          </w:p>
        </w:tc>
        <w:tc>
          <w:tcPr>
            <w:tcW w:type="dxa" w:w="2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Örnek</w:t>
            </w:r>
          </w:p>
        </w:tc>
        <w:tc>
          <w:tcPr>
            <w:tcW w:type="dxa" w:w="2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Önerilen başlangıç hedefi*</w:t>
            </w:r>
          </w:p>
        </w:tc>
        <w:tc>
          <w:tcPr>
            <w:tcW w:type="dxa" w:w="2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Karar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T0 Critical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Core DB/auth/evidence availability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RPO ≤15 dk, RTO ≤4 saat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Production Council onayı gerekir</w:t>
            </w:r>
          </w:p>
        </w:tc>
      </w:tr>
      <w:tr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T1 High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Notifications/integration hub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RPO ≤1 saat, RTO ≤8 saat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Degraded mode mümkün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T2 Standard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Analytics/derived projections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Rebuildable, RTO ≤24 saat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Source-of-truth'tan rebuild</w:t>
            </w:r>
          </w:p>
        </w:tc>
      </w:tr>
    </w:tbl>
    <w:p>
      <w:r>
        <w:t>* Bunlar başlangıç tasarım hedefidir; sözleşme/SLA ve altyapı kapasitesiyle production öncesi onaylanmalıdır.</w:t>
      </w:r>
    </w:p>
    <w:p>
      <w:pPr>
        <w:pStyle w:val="Heading1"/>
      </w:pPr>
      <w:r>
        <w:t>3. DR activation</w:t>
      </w:r>
    </w:p>
    <w:p>
      <w:pPr>
        <w:pStyle w:val="ListBullet"/>
        <w:spacing w:after="40"/>
      </w:pPr>
      <w:r>
        <w:t>Incident Commander DR ilan eder; normal change freeze başlatılır.</w:t>
      </w:r>
    </w:p>
    <w:p>
      <w:pPr>
        <w:pStyle w:val="ListBullet"/>
        <w:spacing w:after="40"/>
      </w:pPr>
      <w:r>
        <w:t>Etki: tenant/vessel/data window/integrations belirlenir.</w:t>
      </w:r>
    </w:p>
    <w:p>
      <w:pPr>
        <w:pStyle w:val="ListBullet"/>
        <w:spacing w:after="40"/>
      </w:pPr>
      <w:r>
        <w:t>Son sağlıklı recovery point seçilir; evidence/data integrity riski değerlendirilir.</w:t>
      </w:r>
    </w:p>
    <w:p>
      <w:pPr>
        <w:pStyle w:val="ListBullet"/>
        <w:spacing w:after="40"/>
      </w:pPr>
      <w:r>
        <w:t>Restore isolated validation ortamında denenir; ardından approved recovery target'a uygulanır.</w:t>
      </w:r>
    </w:p>
    <w:p>
      <w:pPr>
        <w:pStyle w:val="ListBullet"/>
        <w:spacing w:after="40"/>
      </w:pPr>
      <w:r>
        <w:t>Auth/tenant/data/evidence/integration smoke testleri geçmeden kullanıcı trafiği açılmaz.</w:t>
      </w:r>
    </w:p>
    <w:p>
      <w:pPr>
        <w:pStyle w:val="ListBullet"/>
        <w:spacing w:after="40"/>
      </w:pPr>
      <w:r>
        <w:t>Recovery sonrası reconciliation ve incident report yapılır.</w:t>
      </w:r>
    </w:p>
    <w:p>
      <w:pPr>
        <w:pStyle w:val="Heading1"/>
      </w:pPr>
      <w:r>
        <w:t>4. Restore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Check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PASS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Database opens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Schema/migration version correct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 isolation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Cross-tenant sample access blocked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Selected objects available; checksum/provenance intact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history queryable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PMS/Operations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Sample authoritative records consistent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 sync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Queued/replayed command behavior validated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Integrations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Outbox/retry state does not duplicate critical events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Metrics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Recovery time and data loss measured</w:t>
            </w:r>
          </w:p>
        </w:tc>
      </w:tr>
    </w:tbl>
    <w:p>
      <w:pPr>
        <w:pStyle w:val="Heading1"/>
      </w:pPr>
      <w:r>
        <w:t>5. DR exercises</w:t>
      </w:r>
    </w:p>
    <w:p>
      <w:pPr>
        <w:pStyle w:val="ListBullet"/>
        <w:spacing w:after="40"/>
      </w:pPr>
      <w:r>
        <w:t>Quarterly/periodic restore test cadence should be approved before production.</w:t>
      </w:r>
    </w:p>
    <w:p>
      <w:pPr>
        <w:pStyle w:val="ListBullet"/>
        <w:spacing w:after="40"/>
      </w:pPr>
      <w:r>
        <w:t>At least annually/full-release-cycle: region/service loss tabletop or technical exercise.</w:t>
      </w:r>
    </w:p>
    <w:p>
      <w:pPr>
        <w:pStyle w:val="ListBullet"/>
        <w:spacing w:after="40"/>
      </w:pPr>
      <w:r>
        <w:t>Every significant storage/DB architecture change triggers restore procedure revalidation.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Backup, Restore &amp; Disaster Recovery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