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Security &amp; Privacy Operational Pack</w:t>
      </w:r>
    </w:p>
    <w:p>
      <w:pPr>
        <w:jc w:val="center"/>
      </w:pPr>
      <w:r>
        <w:rPr>
          <w:i/>
          <w:sz w:val="22"/>
        </w:rPr>
        <w:t>Identity • Authorization • KVKK/GDPR Operations • Incident • AI/Data Provider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Amaç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Security/privacy tasarım ilkelerini günlük operasyon kontrollerine dönüştürmek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OIDC/OAuth2 + MFA IdP; least privilege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Server-side tenant + vessel + object scope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minimization, purpose/retention/access controls; legal text local counsel review gerektirir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Cross-tenant isolation, redaction, model/version trace, human authority</w:t>
            </w:r>
          </w:p>
        </w:tc>
      </w:tr>
    </w:tbl>
    <w:p>
      <w:r>
        <w:br w:type="page"/>
      </w:r>
    </w:p>
    <w:p>
      <w:pPr>
        <w:pStyle w:val="Heading1"/>
      </w:pPr>
      <w:r>
        <w:t>1. Identity &amp; access operations</w:t>
      </w:r>
    </w:p>
    <w:p>
      <w:pPr>
        <w:pStyle w:val="ListBullet"/>
        <w:spacing w:after="40"/>
      </w:pPr>
      <w:r>
        <w:t>Joiner/Mover/Leaver süreçleri customer/tenant owner tarafından approved request ile yürütülür.</w:t>
      </w:r>
    </w:p>
    <w:p>
      <w:pPr>
        <w:pStyle w:val="ListBullet"/>
        <w:spacing w:after="40"/>
      </w:pPr>
      <w:r>
        <w:t>Privileged role ataması time-bound veya periyodik review ile; generic/shared admin hesabı kullanılmaz.</w:t>
      </w:r>
    </w:p>
    <w:p>
      <w:pPr>
        <w:pStyle w:val="ListBullet"/>
        <w:spacing w:after="40"/>
      </w:pPr>
      <w:r>
        <w:t>MFA policy enterprise IdP üzerinden uygulanır; break-glass hesapları ayrı korunur ve test edilir.</w:t>
      </w:r>
    </w:p>
    <w:p>
      <w:pPr>
        <w:pStyle w:val="ListBullet"/>
        <w:spacing w:after="40"/>
      </w:pPr>
      <w:r>
        <w:t>Delegation/proxy scope + start/end + actor + reason audit edilir.</w:t>
      </w:r>
    </w:p>
    <w:p>
      <w:pPr>
        <w:pStyle w:val="ListBullet"/>
        <w:spacing w:after="40"/>
      </w:pPr>
      <w:r>
        <w:t>Quarterly/approved cadence access review: inactive, excessive role, orphaned account, cross-vessel scope.</w:t>
      </w:r>
    </w:p>
    <w:p>
      <w:pPr>
        <w:pStyle w:val="Heading1"/>
      </w:pPr>
      <w:r>
        <w:t>2.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Control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Public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Published marketing docs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Standard integrity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Internal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Non-sensitive product/process docs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Authenticated access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Confidential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operations, crew business data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Tenant/object scope + encryption + audit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Restricted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Medical/minimum sensitive crew data, protected reports, secrets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Need-to-know, minimal collection, enhanced audit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 Secret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Keys/tokens/password material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Vault only; no logs/tickets/docs</w:t>
            </w:r>
          </w:p>
        </w:tc>
      </w:tr>
    </w:tbl>
    <w:p>
      <w:pPr>
        <w:pStyle w:val="Heading1"/>
      </w:pPr>
      <w:r>
        <w:t>3. Privacy operations</w:t>
      </w:r>
    </w:p>
    <w:p>
      <w:pPr>
        <w:pStyle w:val="ListBullet"/>
        <w:spacing w:after="40"/>
      </w:pPr>
      <w:r>
        <w:t>Processing inventory: data category, purpose, legal basis/contractual context, owner, recipient/provider, retention.</w:t>
      </w:r>
    </w:p>
    <w:p>
      <w:pPr>
        <w:pStyle w:val="ListBullet"/>
        <w:spacing w:after="40"/>
      </w:pPr>
      <w:r>
        <w:t>Crew medical data: software only minimum fitness/validity information needed for eligibility unless explicit lawful business need exists.</w:t>
      </w:r>
    </w:p>
    <w:p>
      <w:pPr>
        <w:pStyle w:val="ListBullet"/>
        <w:spacing w:after="40"/>
      </w:pPr>
      <w:r>
        <w:t>Data-subject/customer requests: identity verify → scope → legal/contract review → search/export/rectify/restrict/delete where applicable → audit.</w:t>
      </w:r>
    </w:p>
    <w:p>
      <w:pPr>
        <w:pStyle w:val="ListBullet"/>
        <w:spacing w:after="40"/>
      </w:pPr>
      <w:r>
        <w:t>Retention: legal/contract/evidence needs by record type; blanket indefinite retention avoided.</w:t>
      </w:r>
    </w:p>
    <w:p>
      <w:pPr>
        <w:pStyle w:val="ListBullet"/>
        <w:spacing w:after="40"/>
      </w:pPr>
      <w:r>
        <w:t>Deletion/expiry: evidence under legal hold or audit requirement is not silently purged.</w:t>
      </w:r>
    </w:p>
    <w:p>
      <w:pPr>
        <w:pStyle w:val="ListBullet"/>
        <w:spacing w:after="40"/>
      </w:pPr>
      <w:r>
        <w:t>International/provider transfer and subprocessor decisions require legal/privacy review.</w:t>
      </w:r>
    </w:p>
    <w:p>
      <w:pPr>
        <w:pStyle w:val="Heading1"/>
      </w:pPr>
      <w:r>
        <w:t>4. Secure file/evidence operations</w:t>
      </w:r>
    </w:p>
    <w:p>
      <w:pPr>
        <w:pStyle w:val="ListBullet"/>
        <w:spacing w:after="40"/>
      </w:pPr>
      <w:r>
        <w:t>Allowed file type/size; malware scan; checksum; immutable/versioned object reference.</w:t>
      </w:r>
    </w:p>
    <w:p>
      <w:pPr>
        <w:pStyle w:val="ListBullet"/>
        <w:spacing w:after="40"/>
      </w:pPr>
      <w:r>
        <w:t>Original evidence is not silently overwritten; corrected item supersedes with reason.</w:t>
      </w:r>
    </w:p>
    <w:p>
      <w:pPr>
        <w:pStyle w:val="ListBullet"/>
        <w:spacing w:after="40"/>
      </w:pPr>
      <w:r>
        <w:t>Download/print may be restricted for sensitive ISPS/protected documents.</w:t>
      </w:r>
    </w:p>
    <w:p>
      <w:pPr>
        <w:pStyle w:val="ListBullet"/>
        <w:spacing w:after="40"/>
      </w:pPr>
      <w:r>
        <w:t>Public/shared link generation disabled unless explicit controlled feature.</w:t>
      </w:r>
    </w:p>
    <w:p>
      <w:pPr>
        <w:pStyle w:val="Heading1"/>
      </w:pPr>
      <w:r>
        <w:t>5. Security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Detect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Alert/report intake; preserve logs/evidence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Triage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Scope, affected tenant/data/system, severity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Contain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Disable token/account/integration/provider route as needed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Eradicate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Patch/revoke/rotate/fix root cause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Recover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Validated restore/deploy; heightened monitoring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Customer/regulatory notification determined by authorized legal/privacy owners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Learn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RCA, control improvement, test/monitoring update</w:t>
            </w:r>
          </w:p>
        </w:tc>
      </w:tr>
    </w:tbl>
    <w:p>
      <w:pPr>
        <w:pStyle w:val="Heading1"/>
      </w:pPr>
      <w:r>
        <w:t>6. AI / provider security controls</w:t>
      </w:r>
    </w:p>
    <w:p>
      <w:pPr>
        <w:pStyle w:val="ListBullet"/>
        <w:spacing w:after="40"/>
      </w:pPr>
      <w:r>
        <w:t>Prompt/input receives only necessary data; sensitive fields redacted when not needed.</w:t>
      </w:r>
    </w:p>
    <w:p>
      <w:pPr>
        <w:pStyle w:val="ListBullet"/>
        <w:spacing w:after="40"/>
      </w:pPr>
      <w:r>
        <w:t>Provider/model/region/version and request correlation recorded per governance policy.</w:t>
      </w:r>
    </w:p>
    <w:p>
      <w:pPr>
        <w:pStyle w:val="ListBullet"/>
        <w:spacing w:after="40"/>
      </w:pPr>
      <w:r>
        <w:t>Training on customer data is not assumed/allowed without explicit contract/configuration.</w:t>
      </w:r>
    </w:p>
    <w:p>
      <w:pPr>
        <w:pStyle w:val="ListBullet"/>
        <w:spacing w:after="40"/>
      </w:pPr>
      <w:r>
        <w:t>Tool actions use scoped service identities; AI cannot publish rule, verify evidence or execute final safety/legal decision.</w:t>
      </w:r>
    </w:p>
    <w:p>
      <w:pPr>
        <w:pStyle w:val="ListBullet"/>
        <w:spacing w:after="40"/>
      </w:pPr>
      <w:r>
        <w:t>Prompt injection and malicious document content treated as untrusted input; tool/action boundary enforced.</w:t>
      </w:r>
    </w:p>
    <w:p>
      <w:pPr>
        <w:pStyle w:val="ListBullet"/>
        <w:spacing w:after="40"/>
      </w:pPr>
      <w:r>
        <w:t>Model/prompt change triggers evaluation set rerun before production.</w:t>
      </w:r>
    </w:p>
    <w:p>
      <w:pPr>
        <w:pStyle w:val="Heading1"/>
      </w:pPr>
      <w:r>
        <w:t>7. Security operational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Cadence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auth/security alerts; failed integrations; malware failures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Weekly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Privileged changes; failed backups; unresolved security defects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Monthly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Dependency/vulnerability posture; secrets/cert expiry; vendor incidents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Quarterly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 review; restore drill/selected; privacy processing review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Threat/change impact; security tests; audit/observability ready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Annual / policy-defined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Penetration test, tabletop, policy review, supplier review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Security &amp; Privacy Operational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