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POSEIDON Core sentetik restore provası</w:t>
        <w:br/>
        <w:t>doğrulama raporu</w:t>
      </w:r>
    </w:p>
    <w:p>
      <w:pPr>
        <w:widowControl/>
      </w:pPr>
      <w:r>
        <w:t>Core v0.1  |  Doküman 35.01  |  27 Ekim 2026</w:t>
      </w:r>
    </w:p>
    <w:p>
      <w:pPr>
        <w:widowControl/>
      </w:pPr>
      <w:r>
        <w:rPr>
          <w:b/>
        </w:rPr>
        <w:t>Sonuç:</w:t>
      </w:r>
      <w:r>
        <w:t xml:space="preserve"> Düzeltilmiş üretici koşusunda 7 çevrimdışı güvenlik testi ve 11 restore kontrol grubu PASS verdi. 86 araç komutu ve 202 HTTP isteği, yerel PostgreSQL üzerinde yeni veritabanlarına mantıksal restore ile gerçek .NET süreçlerinde başlatma ve yeniden başlatmayı kaydeder. Ürün kodu değişmedi. Bu kanıt, yazılar durdurulmuş aynı-host sentetik provayla sınırlıdır; üretim felaket kurtarma kabulü, RPO/RTO taahhüdü veya tam ürün kabulü değildir.</w:t>
      </w:r>
    </w:p>
    <w:p>
      <w:pPr>
        <w:widowControl/>
      </w:pPr>
      <w:r>
        <w:t>Durum REVIEW CANDIDATE’dır. Esra UAT’si PENDING, özel kullanıcı uygulama erişimi NOT_ESTABLISHED kalır. Karantina, yetki ve içerik kullanım yasakları restore sonrasında da korunur. Bu rapor hazırlanırken restore betiği veya ürün runtime testleri yeniden çalıştırılmadı.</w:t>
      </w:r>
    </w:p>
    <w:p>
      <w:pPr>
        <w:pStyle w:val="Heading1"/>
        <w:widowControl/>
      </w:pPr>
      <w:r>
        <w:t>1 Kaynak ve yayın kaydı</w:t>
      </w:r>
    </w:p>
    <w:p>
      <w:pPr>
        <w:widowControl/>
      </w:pPr>
      <w:r>
        <w:t>Temel, feature/quarantined-evidence-intake dalındaki 253a5d3a96542cfde65118898abfe90b358c1943 commit’idir; main tabanı değildir. Üretici işlem öncesi ve sonrası 112 mevcut ürün dosyasını byte düzeyinde aynı buldu. Yalnız docs/RESTORE_REHEARSAL_2026-10-27.md, tests/Backend/restore-rehearsal.py ve tests/Backend/test_restore_rehearsal.py eklendi. Birleşik kaynak envanteri 115 dosyadır; ürün davranışı veya migration değiştirilmedi.</w:t>
      </w:r>
    </w:p>
    <w:p>
      <w:pPr>
        <w:widowControl/>
      </w:pPr>
      <w:r>
        <w:t>Aynı feature/quarantined-evidence-intake dalı 916b6906d1dcaf9541aa8756dbbec49bb3e73c7e commit’ine ilerletildi; tree 97bb3cb4e454bd2ef8a044f5d8a071e9f6b0b99c. 115 remote blob teslim kaynağıyla birebir eşleşir; 112 ürün dosyası değişmeden kalır. Bu yayın yalnız üç belge/test dosyası ekler.</w:t>
      </w:r>
    </w:p>
    <w:p>
      <w:pPr>
        <w:widowControl/>
      </w:pPr>
      <w:r>
        <w:t>Draft PR 3 başı bu dalı izler; hedef feature/administrative-certificates ve temel f20a083b2031f988f63862f0dcd5eb6b758e2e15’tir. PR açıklaması güncellenmedi. main, 008b6105b1d964373bd7a92ee032b51b4a7ae00f commit’inde değişmeden kaldı; merge veya deployment yapılmadı.</w:t>
      </w:r>
    </w:p>
    <w:p>
      <w:pPr>
        <w:widowControl/>
      </w:pPr>
      <w:r>
        <w:t>Prova ve güvenlik testi kanıtları yayın öncesinde üretildi. Commit sonrasında runtime tekrar koşusu veya yeni CI kanıtı yoktur. Depo yayını üretim, DR veya kullanıcı kabulü değildir.</w:t>
      </w:r>
    </w:p>
    <w:p>
      <w:pPr>
        <w:widowControl/>
      </w:pPr>
      <w:r/>
      <w:r>
        <w:t xml:space="preserve">Depo kayıtları: </w:t>
      </w:r>
      <w:hyperlink r:id="rId10">
        <w:r>
          <w:rPr>
            <w:color w:val="000000"/>
            <w:u w:val="single"/>
          </w:rPr>
          <w:t>Yayın commit kaydı</w:t>
        </w:r>
      </w:hyperlink>
      <w:r>
        <w:t xml:space="preserve">  |  </w:t>
      </w:r>
      <w:hyperlink r:id="rId11">
        <w:r>
          <w:rPr>
            <w:color w:val="000000"/>
            <w:u w:val="single"/>
          </w:rPr>
          <w:t>Draft PR 3</w:t>
        </w:r>
      </w:hyperlink>
    </w:p>
    <w:p>
      <w:pPr>
        <w:widowControl/>
      </w:pPr>
      <w:r>
        <w:t>Arşivdeki commit/push yapılmadı ve remoteWrites=false beyanları kanıt üretim aşamasına aittir; sonraki depo yayını ayrı kaydedilir. Kanıt ZIP’i geriye dönük değiştirilmez. 34.01 ve önceki kontrollü raporlar ile tarihsel kanıtlar korunur.</w:t>
      </w:r>
    </w:p>
    <w:p>
      <w:pPr>
        <w:pStyle w:val="Heading1"/>
        <w:widowControl/>
      </w:pPr>
      <w:r>
        <w:t>2 Yerellik iddiasının düzeltilmesi</w:t>
      </w:r>
    </w:p>
    <w:p>
      <w:pPr>
        <w:widowControl/>
      </w:pPr>
      <w:r>
        <w:t>Önceki paketin sameHostOnly=true alanı koşulsuzdu; etkin DB uç noktası ve sunucu gözlemi kaydedilmediğinden önceki aynı-host iddiası UNPROVEN_IN_PRIOR_BUNDLE durumundadır. Önceki 10 kontrol grubu, 85 komut ve 202 istek yeni koşunun kanıtı olarak kullanılmaz. Düzeltilmiş koşu kimliği ba442f81839c4c1f’tir.</w:t>
      </w:r>
    </w:p>
    <w:p>
      <w:pPr>
        <w:widowControl/>
      </w:pPr>
      <w:r>
        <w:t>Betik herhangi bir subprocess/DB komutu veya geçici kaynak oluşturmadan önce açık Host, Port, Username ve test DB adını doğrular. DNS adı, uzak adres, çoklu host, eksik port, tekrarlı/izin dışı bağlantı anahtarı ve çelişen libpq ortam seçenekleri reddedilir. Kabul edilen açık değerlerden temiz PG ortamı kurulur; hedef yalnız literal loopback veya denetlenmiş yerel Unix socket olabilir.</w:t>
      </w:r>
    </w:p>
    <w:p>
      <w:pPr>
        <w:widowControl/>
      </w:pPr>
      <w:r>
        <w:t>Gerçek yeni koşu LOCAL_UNIX_SOCKET kullanır. DDL öncesinde serverAddress=null, clientAddress=null ve port=55432 gözlenmiştir; directoryVerified, socketOwnerVerified ve verifiedBeforeDdl true’dur. Socket yolunun bileşenleri symlink olmayan, grup/diğer yazma izni taşımayan dizinlerdir; kök dışındaki sahiplik mevcut kullanıcı/root ile sınırlandırılır. Namespace kökü güven çıpasıdır; UID eşlemesi 65534 istisnası belgelenmiştir. İlk sıkı UID denemesi kaynak oluşturmadan reddedilmiş, OS izinleri değiştirilmemiştir.</w:t>
      </w:r>
    </w:p>
    <w:p>
      <w:pPr>
        <w:widowControl/>
      </w:pPr>
      <w:r>
        <w:t>Çocuk uygulamalar yalnız açık loopback HTTP kullanır. Boş ProxyHandler ortam proxy keşfini kapatır; bütün redirect’ler reddedilir. Yedi güvenlik testi geçersiz bağlantılarda subprocess ve geçici kaynak çağrısının sıfır olduğunu mock ile denetler; uzak HTTP, proxy ve redirect kontrolleri de çevrimdışıdır. Uzak sunucuya istek gönderildiği veya off-site erişim sınandığı anlamına gelmez.</w:t>
      </w:r>
    </w:p>
    <w:p>
      <w:pPr>
        <w:pStyle w:val="Heading1"/>
        <w:widowControl/>
      </w:pPr>
      <w:r>
        <w:t>3 Provanın yürütülmesi ve korunan kaynaklar</w:t>
      </w:r>
    </w:p>
    <w:p>
      <w:pPr>
        <w:widowControl/>
      </w:pPr>
      <w:r>
        <w:t>Üretici kurulu PostgreSQL 17.11 sunucu, psql, pg_dump ve pg_restore araçlarını kullandı; yeni araç, servis, hesap veya anahtar kurmadı. Mevcut test bağlantısı yalnız ortamdan okundu. Bilinen mevcut DB’de yalnız yerellik/sürüm ve yeni adın kullanılmadığı kontrol edildi; mevcut veriler veya nesne kökü değiştirilmedi.</w:t>
      </w:r>
    </w:p>
    <w:p>
      <w:pPr>
        <w:widowControl/>
      </w:pPr>
      <w:r>
        <w:t>Yeni, rastgele poseidon_test_restore_&lt;run-id&gt;_&lt;amaç&gt; adları ve özel nesne kökleri oluşturuldu. Son koşu source, restored, missing, corrupt ve quota için 5 yeni DB kullanır. Önceki iki koşunun 9 DB’siyle toplam 14 görev-sahipli sentetik DB korunur. Özel dump ve nesne kopyaları da saklanır; otomatik DROP veya cleanup yoktur. Görevin açtığı uygulama süreçleri kapatıldı; diğer geliştirme servisleri durdurulmadı.</w:t>
      </w:r>
    </w:p>
    <w:p>
      <w:pPr>
        <w:widowControl/>
      </w:pPr>
      <w:r>
        <w:t>API üzerinden gemi/römorkör oluşturma, idari kayda alma, gerekçeli yeniden açma ve tekrar kaydetme; sertifika oluşturma ve kayda alma yürütüldü. Gemi ve sertifika dosya alımları, eski nesneyi koruyan gerekçeli düzeltme ve kontrollü kesilmiş yükleme üretildi. Bunlar sentetik idari metadata ve karantina kayıtlarıdır; hukuki geçerlilik veya operasyonel hazır olma değildir.</w:t>
      </w:r>
    </w:p>
    <w:p>
      <w:pPr>
        <w:widowControl/>
      </w:pPr>
      <w:r>
        <w:t>Uygulama yazıları durdurulduktan sonra DB özel biçimli pg_dump ile, nesne baytları ayrıca kopyalanarak yedeklendi. pg_restore --exit-on-error --single-transaction --no-owner --no-acl yalnız yeni ve boş hedef DB’ye uygulandı; --clean, --create ve DROP kullanılmadı. Restore edilmiş DB/kök yeni gerçek .NET sürecinde açıldı, durduruldu ve başka yeni süreçte yeniden açıldı. In-process TestServer veya browser provası değildir; BFF kapalı, taşıma loopback HTTP’dir.</w:t>
      </w:r>
    </w:p>
    <w:p>
      <w:pPr>
        <w:pStyle w:val="Heading1"/>
        <w:widowControl/>
      </w:pPr>
      <w:r>
        <w:t>4 Karşılaştırma ve negatif kontroller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920"/>
      </w:tblGrid>
      <w:tr>
        <w:trPr>
          <w:cantSplit/>
          <w:tblHeader/>
        </w:trPr>
        <w:tc>
          <w:tcPr>
            <w:tcW w:type="dxa" w:w="2304"/>
            <w:vAlign w:val="center"/>
            <w:shd w:fill="E8EDF2"/>
            <w:tcMar>
              <w:top w:w="90" w:type="dxa"/>
              <w:bottom w:w="90" w:type="dxa"/>
              <w:left w:w="90" w:type="dxa"/>
              <w:right w:w="90" w:type="dxa"/>
            </w:tcMar>
          </w:tcPr>
          <w:p>
            <w:pPr>
              <w:widowControl/>
              <w:spacing w:after="40" w:line="247" w:lineRule="auto"/>
            </w:pPr>
            <w:r>
              <w:rPr>
                <w:rFonts w:ascii="Calibri" w:hAnsi="Calibri"/>
                <w:b/>
                <w:sz w:val="20"/>
              </w:rPr>
              <w:t>Kontrol</w:t>
            </w:r>
          </w:p>
        </w:tc>
        <w:tc>
          <w:tcPr>
            <w:tcW w:type="dxa" w:w="7920"/>
            <w:vAlign w:val="center"/>
            <w:shd w:fill="E8EDF2"/>
            <w:tcMar>
              <w:top w:w="90" w:type="dxa"/>
              <w:bottom w:w="90" w:type="dxa"/>
              <w:left w:w="90" w:type="dxa"/>
              <w:right w:w="90" w:type="dxa"/>
            </w:tcMar>
          </w:tcPr>
          <w:p>
            <w:pPr>
              <w:widowControl/>
              <w:spacing w:after="40" w:line="247" w:lineRule="auto"/>
            </w:pPr>
            <w:r>
              <w:rPr>
                <w:rFonts w:ascii="Calibri" w:hAnsi="Calibri"/>
                <w:b/>
                <w:sz w:val="20"/>
              </w:rPr>
              <w:t>Üretici sonucu ve sınırı</w:t>
            </w:r>
          </w:p>
        </w:tc>
      </w:tr>
      <w:tr>
        <w:trPr>
          <w:cantSplit/>
        </w:trPr>
        <w:tc>
          <w:tcPr>
            <w:tcW w:type="dxa" w:w="2304"/>
            <w:vAlign w:val="center"/>
            <w:shd w:fill="FFFFFF"/>
            <w:tcMar>
              <w:top w:w="90" w:type="dxa"/>
              <w:bottom w:w="90" w:type="dxa"/>
              <w:left w:w="90" w:type="dxa"/>
              <w:right w:w="90" w:type="dxa"/>
            </w:tcMar>
          </w:tcPr>
          <w:p>
            <w:pPr>
              <w:widowControl/>
              <w:spacing w:after="40" w:line="247" w:lineRule="auto"/>
            </w:pPr>
            <w:r>
              <w:rPr>
                <w:rFonts w:ascii="Calibri" w:hAnsi="Calibri"/>
                <w:b w:val="0"/>
                <w:sz w:val="20"/>
              </w:rPr>
              <w:t>Satır bütünlüğü</w:t>
            </w:r>
          </w:p>
        </w:tc>
        <w:tc>
          <w:tcPr>
            <w:tcW w:type="dxa" w:w="7920"/>
            <w:vAlign w:val="center"/>
            <w:shd w:fill="FFFFFF"/>
            <w:tcMar>
              <w:top w:w="90" w:type="dxa"/>
              <w:bottom w:w="90" w:type="dxa"/>
              <w:left w:w="90" w:type="dxa"/>
              <w:right w:w="90" w:type="dxa"/>
            </w:tcMar>
          </w:tcPr>
          <w:p>
            <w:pPr>
              <w:widowControl/>
              <w:spacing w:after="40" w:line="247" w:lineRule="auto"/>
            </w:pPr>
            <w:r>
              <w:rPr>
                <w:rFonts w:ascii="Calibri" w:hAnsi="Calibri"/>
                <w:b w:val="0"/>
                <w:sz w:val="20"/>
              </w:rPr>
              <w:t>6 tablonun sıralanmış satır SHA256 ve sayıları kaynak = restore. companies 3; drafts 2 aggregate; audit_events 18; idempotency 14; poseidon_migrations 4; evidence_intakes 4.</w:t>
            </w:r>
          </w:p>
        </w:tc>
      </w:tr>
      <w:tr>
        <w:trPr>
          <w:cantSplit/>
        </w:trPr>
        <w:tc>
          <w:tcPr>
            <w:tcW w:type="dxa" w:w="2304"/>
            <w:vAlign w:val="center"/>
            <w:shd w:fill="F6F7F9"/>
            <w:tcMar>
              <w:top w:w="90" w:type="dxa"/>
              <w:bottom w:w="90" w:type="dxa"/>
              <w:left w:w="90" w:type="dxa"/>
              <w:right w:w="90" w:type="dxa"/>
            </w:tcMar>
          </w:tcPr>
          <w:p>
            <w:pPr>
              <w:widowControl/>
              <w:spacing w:after="40" w:line="247" w:lineRule="auto"/>
            </w:pPr>
            <w:r>
              <w:rPr>
                <w:rFonts w:ascii="Calibri" w:hAnsi="Calibri"/>
                <w:b w:val="0"/>
                <w:sz w:val="20"/>
              </w:rPr>
              <w:t>Nesne bütünlüğü</w:t>
            </w:r>
          </w:p>
        </w:tc>
        <w:tc>
          <w:tcPr>
            <w:tcW w:type="dxa" w:w="7920"/>
            <w:vAlign w:val="center"/>
            <w:shd w:fill="F6F7F9"/>
            <w:tcMar>
              <w:top w:w="90" w:type="dxa"/>
              <w:bottom w:w="90" w:type="dxa"/>
              <w:left w:w="90" w:type="dxa"/>
              <w:right w:w="90" w:type="dxa"/>
            </w:tcMar>
          </w:tcPr>
          <w:p>
            <w:pPr>
              <w:widowControl/>
              <w:spacing w:after="40" w:line="247" w:lineRule="auto"/>
            </w:pPr>
            <w:r>
              <w:rPr>
                <w:rFonts w:ascii="Calibri" w:hAnsi="Calibri"/>
                <w:b w:val="0"/>
                <w:sz w:val="20"/>
              </w:rPr>
              <w:t>3 kabul edilmiş karantina nesnesi ve 1 sıfır bayt kesinti nesnesinin boyut/hash eşitliği PASS. Fiziksel toplam 245 bayt.</w:t>
            </w:r>
          </w:p>
        </w:tc>
      </w:tr>
      <w:tr>
        <w:trPr>
          <w:cantSplit/>
        </w:trPr>
        <w:tc>
          <w:tcPr>
            <w:tcW w:type="dxa" w:w="2304"/>
            <w:vAlign w:val="center"/>
            <w:shd w:fill="FFFFFF"/>
            <w:tcMar>
              <w:top w:w="90" w:type="dxa"/>
              <w:bottom w:w="90" w:type="dxa"/>
              <w:left w:w="90" w:type="dxa"/>
              <w:right w:w="90" w:type="dxa"/>
            </w:tcMar>
          </w:tcPr>
          <w:p>
            <w:pPr>
              <w:widowControl/>
              <w:spacing w:after="40" w:line="247" w:lineRule="auto"/>
            </w:pPr>
            <w:r>
              <w:rPr>
                <w:rFonts w:ascii="Calibri" w:hAnsi="Calibri"/>
                <w:b w:val="0"/>
                <w:sz w:val="20"/>
              </w:rPr>
              <w:t>Kayıt ve yetki</w:t>
            </w:r>
          </w:p>
        </w:tc>
        <w:tc>
          <w:tcPr>
            <w:tcW w:type="dxa" w:w="7920"/>
            <w:vAlign w:val="center"/>
            <w:shd w:fill="FFFFFF"/>
            <w:tcMar>
              <w:top w:w="90" w:type="dxa"/>
              <w:bottom w:w="90" w:type="dxa"/>
              <w:left w:w="90" w:type="dxa"/>
              <w:right w:w="90" w:type="dxa"/>
            </w:tcMar>
          </w:tcPr>
          <w:p>
            <w:pPr>
              <w:widowControl/>
              <w:spacing w:after="40" w:line="247" w:lineRule="auto"/>
            </w:pPr>
            <w:r>
              <w:rPr>
                <w:rFonts w:ascii="Calibri" w:hAnsi="Calibri"/>
                <w:b w:val="0"/>
                <w:sz w:val="20"/>
              </w:rPr>
              <w:t>UUID, sürüm, idari durum ve ebeveyn bağı restore/restart sonrası korundu. Aynı şirkette yetkisiz aktör, başka şirket ve tenant erişimleri reddedildi.</w:t>
            </w:r>
          </w:p>
        </w:tc>
      </w:tr>
      <w:tr>
        <w:trPr>
          <w:cantSplit/>
        </w:trPr>
        <w:tc>
          <w:tcPr>
            <w:tcW w:type="dxa" w:w="2304"/>
            <w:vAlign w:val="center"/>
            <w:shd w:fill="F6F7F9"/>
            <w:tcMar>
              <w:top w:w="90" w:type="dxa"/>
              <w:bottom w:w="90" w:type="dxa"/>
              <w:left w:w="90" w:type="dxa"/>
              <w:right w:w="90" w:type="dxa"/>
            </w:tcMar>
          </w:tcPr>
          <w:p>
            <w:pPr>
              <w:widowControl/>
              <w:spacing w:after="40" w:line="247" w:lineRule="auto"/>
            </w:pPr>
            <w:r>
              <w:rPr>
                <w:rFonts w:ascii="Calibri" w:hAnsi="Calibri"/>
                <w:b w:val="0"/>
                <w:sz w:val="20"/>
              </w:rPr>
              <w:t>Audit ve replay</w:t>
            </w:r>
          </w:p>
        </w:tc>
        <w:tc>
          <w:tcPr>
            <w:tcW w:type="dxa" w:w="7920"/>
            <w:vAlign w:val="center"/>
            <w:shd w:fill="F6F7F9"/>
            <w:tcMar>
              <w:top w:w="90" w:type="dxa"/>
              <w:bottom w:w="90" w:type="dxa"/>
              <w:left w:w="90" w:type="dxa"/>
              <w:right w:w="90" w:type="dxa"/>
            </w:tcMar>
          </w:tcPr>
          <w:p>
            <w:pPr>
              <w:widowControl/>
              <w:spacing w:after="40" w:line="247" w:lineRule="auto"/>
            </w:pPr>
            <w:r>
              <w:rPr>
                <w:rFonts w:ascii="Calibri" w:hAnsi="Calibri"/>
                <w:b w:val="0"/>
                <w:sz w:val="20"/>
              </w:rPr>
              <w:t>Aynı olaylar ve altı alanlı güvenli history; ham aktör/gerekçe yok. Aynı idempotency anahtarı aynı nesneyi döndürdü; olay/sürüm/kota/dosya değişmedi.</w:t>
            </w:r>
          </w:p>
        </w:tc>
      </w:tr>
      <w:tr>
        <w:trPr>
          <w:cantSplit/>
        </w:trPr>
        <w:tc>
          <w:tcPr>
            <w:tcW w:type="dxa" w:w="2304"/>
            <w:vAlign w:val="center"/>
            <w:shd w:fill="FFFFFF"/>
            <w:tcMar>
              <w:top w:w="90" w:type="dxa"/>
              <w:bottom w:w="90" w:type="dxa"/>
              <w:left w:w="90" w:type="dxa"/>
              <w:right w:w="90" w:type="dxa"/>
            </w:tcMar>
          </w:tcPr>
          <w:p>
            <w:pPr>
              <w:widowControl/>
              <w:spacing w:after="40" w:line="247" w:lineRule="auto"/>
            </w:pPr>
            <w:r>
              <w:rPr>
                <w:rFonts w:ascii="Calibri" w:hAnsi="Calibri"/>
                <w:b w:val="0"/>
                <w:sz w:val="20"/>
              </w:rPr>
              <w:t>Karantina ve kesinti</w:t>
            </w:r>
          </w:p>
        </w:tc>
        <w:tc>
          <w:tcPr>
            <w:tcW w:type="dxa" w:w="7920"/>
            <w:vAlign w:val="center"/>
            <w:shd w:fill="FFFFFF"/>
            <w:tcMar>
              <w:top w:w="90" w:type="dxa"/>
              <w:bottom w:w="90" w:type="dxa"/>
              <w:left w:w="90" w:type="dxa"/>
              <w:right w:w="90" w:type="dxa"/>
            </w:tcMar>
          </w:tcPr>
          <w:p>
            <w:pPr>
              <w:widowControl/>
              <w:spacing w:after="40" w:line="247" w:lineRule="auto"/>
            </w:pPr>
            <w:r>
              <w:rPr>
                <w:rFonts w:ascii="Calibri" w:hAnsi="Calibri"/>
                <w:b w:val="0"/>
                <w:sz w:val="20"/>
              </w:rPr>
              <w:t>Scanner UNAVAILABLE; değerlendirmeler NOT_PERFORMED; canDownload=false ve content GET engelli. Kesilmiş alım otomatik tamamlanmadı veya yeniden yazılmadı.</w:t>
            </w:r>
          </w:p>
        </w:tc>
      </w:tr>
      <w:tr>
        <w:trPr>
          <w:cantSplit/>
        </w:trPr>
        <w:tc>
          <w:tcPr>
            <w:tcW w:type="dxa" w:w="2304"/>
            <w:vAlign w:val="center"/>
            <w:shd w:fill="F6F7F9"/>
            <w:tcMar>
              <w:top w:w="90" w:type="dxa"/>
              <w:bottom w:w="90" w:type="dxa"/>
              <w:left w:w="90" w:type="dxa"/>
              <w:right w:w="90" w:type="dxa"/>
            </w:tcMar>
          </w:tcPr>
          <w:p>
            <w:pPr>
              <w:widowControl/>
              <w:spacing w:after="40" w:line="247" w:lineRule="auto"/>
            </w:pPr>
            <w:r>
              <w:rPr>
                <w:rFonts w:ascii="Calibri" w:hAnsi="Calibri"/>
                <w:b w:val="0"/>
                <w:sz w:val="20"/>
              </w:rPr>
              <w:t>Kota korunması</w:t>
            </w:r>
          </w:p>
        </w:tc>
        <w:tc>
          <w:tcPr>
            <w:tcW w:type="dxa" w:w="7920"/>
            <w:vAlign w:val="center"/>
            <w:shd w:fill="F6F7F9"/>
            <w:tcMar>
              <w:top w:w="90" w:type="dxa"/>
              <w:bottom w:w="90" w:type="dxa"/>
              <w:left w:w="90" w:type="dxa"/>
              <w:right w:w="90" w:type="dxa"/>
            </w:tcMar>
          </w:tcPr>
          <w:p>
            <w:pPr>
              <w:widowControl/>
              <w:spacing w:after="40" w:line="247" w:lineRule="auto"/>
            </w:pPr>
            <w:r>
              <w:rPr>
                <w:rFonts w:ascii="Calibri" w:hAnsi="Calibri"/>
                <w:b w:val="0"/>
                <w:sz w:val="20"/>
              </w:rPr>
              <w:t>322 bayt rezervasyon, 245 fiziksel bayt. Kesintinin 77 bayt rezervasyonu ve 1 açık slotu restore sonrası korundu.</w:t>
            </w:r>
          </w:p>
        </w:tc>
      </w:tr>
      <w:tr>
        <w:trPr>
          <w:cantSplit/>
        </w:trPr>
        <w:tc>
          <w:tcPr>
            <w:tcW w:type="dxa" w:w="2304"/>
            <w:vAlign w:val="center"/>
            <w:shd w:fill="FFFFFF"/>
            <w:tcMar>
              <w:top w:w="90" w:type="dxa"/>
              <w:bottom w:w="90" w:type="dxa"/>
              <w:left w:w="90" w:type="dxa"/>
              <w:right w:w="90" w:type="dxa"/>
            </w:tcMar>
          </w:tcPr>
          <w:p>
            <w:pPr>
              <w:widowControl/>
              <w:spacing w:after="40" w:line="247" w:lineRule="auto"/>
            </w:pPr>
            <w:r>
              <w:rPr>
                <w:rFonts w:ascii="Calibri" w:hAnsi="Calibri"/>
                <w:b w:val="0"/>
                <w:sz w:val="20"/>
              </w:rPr>
              <w:t>Kota reddi</w:t>
            </w:r>
          </w:p>
        </w:tc>
        <w:tc>
          <w:tcPr>
            <w:tcW w:type="dxa" w:w="7920"/>
            <w:vAlign w:val="center"/>
            <w:shd w:fill="FFFFFF"/>
            <w:tcMar>
              <w:top w:w="90" w:type="dxa"/>
              <w:bottom w:w="90" w:type="dxa"/>
              <w:left w:w="90" w:type="dxa"/>
              <w:right w:w="90" w:type="dxa"/>
            </w:tcMar>
          </w:tcPr>
          <w:p>
            <w:pPr>
              <w:widowControl/>
              <w:spacing w:after="40" w:line="247" w:lineRule="auto"/>
            </w:pPr>
            <w:r>
              <w:rPr>
                <w:rFonts w:ascii="Calibri" w:hAnsi="Calibri"/>
                <w:b w:val="0"/>
                <w:sz w:val="20"/>
              </w:rPr>
              <w:t>Ayrı quota kopyasında 9 yeni rezervasyonla 10 açık slot ve 331 rezerve bayta ulaşıldı. Sonraki istek 409; yetkili replay ek slot tüketmedi.</w:t>
            </w:r>
          </w:p>
        </w:tc>
      </w:tr>
      <w:tr>
        <w:trPr>
          <w:cantSplit/>
        </w:trPr>
        <w:tc>
          <w:tcPr>
            <w:tcW w:type="dxa" w:w="2304"/>
            <w:vAlign w:val="center"/>
            <w:shd w:fill="F6F7F9"/>
            <w:tcMar>
              <w:top w:w="90" w:type="dxa"/>
              <w:bottom w:w="90" w:type="dxa"/>
              <w:left w:w="90" w:type="dxa"/>
              <w:right w:w="90" w:type="dxa"/>
            </w:tcMar>
          </w:tcPr>
          <w:p>
            <w:pPr>
              <w:widowControl/>
              <w:spacing w:after="40" w:line="247" w:lineRule="auto"/>
            </w:pPr>
            <w:r>
              <w:rPr>
                <w:rFonts w:ascii="Calibri" w:hAnsi="Calibri"/>
                <w:b w:val="0"/>
                <w:sz w:val="20"/>
              </w:rPr>
              <w:t>Eksik dosyalı kopya</w:t>
            </w:r>
          </w:p>
        </w:tc>
        <w:tc>
          <w:tcPr>
            <w:tcW w:type="dxa" w:w="7920"/>
            <w:vAlign w:val="center"/>
            <w:shd w:fill="F6F7F9"/>
            <w:tcMar>
              <w:top w:w="90" w:type="dxa"/>
              <w:bottom w:w="90" w:type="dxa"/>
              <w:left w:w="90" w:type="dxa"/>
              <w:right w:w="90" w:type="dxa"/>
            </w:tcMar>
          </w:tcPr>
          <w:p>
            <w:pPr>
              <w:widowControl/>
              <w:spacing w:after="40" w:line="247" w:lineRule="auto"/>
            </w:pPr>
            <w:r>
              <w:rPr>
                <w:rFonts w:ascii="Calibri" w:hAnsi="Calibri"/>
                <w:b w:val="0"/>
                <w:sz w:val="20"/>
              </w:rPr>
              <w:t>Dinleme/readiness öncesi Stored quarantine object unavailable. ile başlangıç reddi; HTTP okuma servisi açılmadı.</w:t>
            </w:r>
          </w:p>
        </w:tc>
      </w:tr>
      <w:tr>
        <w:trPr>
          <w:cantSplit/>
        </w:trPr>
        <w:tc>
          <w:tcPr>
            <w:tcW w:type="dxa" w:w="2304"/>
            <w:vAlign w:val="center"/>
            <w:shd w:fill="FFFFFF"/>
            <w:tcMar>
              <w:top w:w="90" w:type="dxa"/>
              <w:bottom w:w="90" w:type="dxa"/>
              <w:left w:w="90" w:type="dxa"/>
              <w:right w:w="90" w:type="dxa"/>
            </w:tcMar>
          </w:tcPr>
          <w:p>
            <w:pPr>
              <w:widowControl/>
              <w:spacing w:after="40" w:line="247" w:lineRule="auto"/>
            </w:pPr>
            <w:r>
              <w:rPr>
                <w:rFonts w:ascii="Calibri" w:hAnsi="Calibri"/>
                <w:b w:val="0"/>
                <w:sz w:val="20"/>
              </w:rPr>
              <w:t>Bozuk dosyalı kopya</w:t>
            </w:r>
          </w:p>
        </w:tc>
        <w:tc>
          <w:tcPr>
            <w:tcW w:type="dxa" w:w="7920"/>
            <w:vAlign w:val="center"/>
            <w:shd w:fill="FFFFFF"/>
            <w:tcMar>
              <w:top w:w="90" w:type="dxa"/>
              <w:bottom w:w="90" w:type="dxa"/>
              <w:left w:w="90" w:type="dxa"/>
              <w:right w:w="90" w:type="dxa"/>
            </w:tcMar>
          </w:tcPr>
          <w:p>
            <w:pPr>
              <w:widowControl/>
              <w:spacing w:after="40" w:line="247" w:lineRule="auto"/>
            </w:pPr>
            <w:r>
              <w:rPr>
                <w:rFonts w:ascii="Calibri" w:hAnsi="Calibri"/>
                <w:b w:val="0"/>
                <w:sz w:val="20"/>
              </w:rPr>
              <w:t>Dinleme/readiness öncesi Stored quarantine integrity reconciliation failed. ile başlangıç reddi; HTTP okuma servisi açılmadı.</w:t>
            </w:r>
          </w:p>
        </w:tc>
      </w:tr>
      <w:tr>
        <w:trPr>
          <w:cantSplit/>
        </w:trPr>
        <w:tc>
          <w:tcPr>
            <w:tcW w:type="dxa" w:w="2304"/>
            <w:vAlign w:val="center"/>
            <w:shd w:fill="F6F7F9"/>
            <w:tcMar>
              <w:top w:w="90" w:type="dxa"/>
              <w:bottom w:w="90" w:type="dxa"/>
              <w:left w:w="90" w:type="dxa"/>
              <w:right w:w="90" w:type="dxa"/>
            </w:tcMar>
          </w:tcPr>
          <w:p>
            <w:pPr>
              <w:widowControl/>
              <w:spacing w:after="40" w:line="247" w:lineRule="auto"/>
            </w:pPr>
            <w:r>
              <w:rPr>
                <w:rFonts w:ascii="Calibri" w:hAnsi="Calibri"/>
                <w:b w:val="0"/>
                <w:sz w:val="20"/>
              </w:rPr>
              <w:t>Asıl kopyalar</w:t>
            </w:r>
          </w:p>
        </w:tc>
        <w:tc>
          <w:tcPr>
            <w:tcW w:type="dxa" w:w="7920"/>
            <w:vAlign w:val="center"/>
            <w:shd w:fill="F6F7F9"/>
            <w:tcMar>
              <w:top w:w="90" w:type="dxa"/>
              <w:bottom w:w="90" w:type="dxa"/>
              <w:left w:w="90" w:type="dxa"/>
              <w:right w:w="90" w:type="dxa"/>
            </w:tcMar>
          </w:tcPr>
          <w:p>
            <w:pPr>
              <w:widowControl/>
              <w:spacing w:after="40" w:line="247" w:lineRule="auto"/>
            </w:pPr>
            <w:r>
              <w:rPr>
                <w:rFonts w:ascii="Calibri" w:hAnsi="Calibri"/>
                <w:b w:val="0"/>
                <w:sz w:val="20"/>
              </w:rPr>
              <w:t>Negatif deneylerden sonra orijinal ve başarılı restore DB/dosya hashleri değişmedi; kaynak nesne silinmedi.</w:t>
            </w:r>
          </w:p>
        </w:tc>
      </w:tr>
    </w:tbl>
    <w:p>
      <w:pPr>
        <w:widowControl/>
        <w:spacing w:line="240" w:lineRule="auto" w:after="80"/>
      </w:pPr>
      <w:r>
        <w:rPr>
          <w:sz w:val="2"/>
        </w:rPr>
        <w:t xml:space="preserve"> </w:t>
      </w:r>
    </w:p>
    <w:p>
      <w:pPr>
        <w:widowControl/>
      </w:pPr>
      <w:r>
        <w:t>Eksiltme ve bayt değiştirme yalnız durdurulmuş, ayrı negatif kopyalarda yapıldı. Bu, başarılı başlangıçtan sonra çalışan uygulamanın dosyasını OS üzerinden değiştirmenin her okumada yakalandığını kanıtlamaz; runtimeTamperAfterSuccessfulStartup NOT_RUN_STARTUP_CHECK_ONLY’dır. DB ve dosya sistemi ortak transaction değildir; bu prova canlı yazı eşgüdümünü değil, yazıları durdurulmuş tutarlı sabit durumu sınar.</w:t>
      </w:r>
    </w:p>
    <w:p>
      <w:pPr>
        <w:pStyle w:val="Heading1"/>
        <w:widowControl/>
      </w:pPr>
      <w:r>
        <w:t>5 Kanıt katmanları ve bağımsız inceleme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872"/>
        <w:gridCol w:w="5976"/>
      </w:tblGrid>
      <w:tr>
        <w:trPr>
          <w:cantSplit/>
          <w:tblHeader/>
        </w:trPr>
        <w:tc>
          <w:tcPr>
            <w:tcW w:type="dxa" w:w="2376"/>
            <w:vAlign w:val="center"/>
            <w:shd w:fill="E8EDF2"/>
            <w:tcMar>
              <w:top w:w="90" w:type="dxa"/>
              <w:bottom w:w="90" w:type="dxa"/>
              <w:left w:w="90" w:type="dxa"/>
              <w:right w:w="90" w:type="dxa"/>
            </w:tcMar>
          </w:tcPr>
          <w:p>
            <w:pPr>
              <w:widowControl/>
              <w:spacing w:after="40" w:line="247" w:lineRule="auto"/>
            </w:pPr>
            <w:r>
              <w:rPr>
                <w:rFonts w:ascii="Calibri" w:hAnsi="Calibri"/>
                <w:b/>
                <w:sz w:val="20"/>
              </w:rPr>
              <w:t>Kanıt</w:t>
            </w:r>
          </w:p>
        </w:tc>
        <w:tc>
          <w:tcPr>
            <w:tcW w:type="dxa" w:w="1872"/>
            <w:vAlign w:val="center"/>
            <w:shd w:fill="E8EDF2"/>
            <w:tcMar>
              <w:top w:w="90" w:type="dxa"/>
              <w:bottom w:w="90" w:type="dxa"/>
              <w:left w:w="90" w:type="dxa"/>
              <w:right w:w="90" w:type="dxa"/>
            </w:tcMar>
          </w:tcPr>
          <w:p>
            <w:pPr>
              <w:widowControl/>
              <w:spacing w:after="40" w:line="247" w:lineRule="auto"/>
            </w:pPr>
            <w:r>
              <w:rPr>
                <w:rFonts w:ascii="Calibri" w:hAnsi="Calibri"/>
                <w:b/>
                <w:sz w:val="20"/>
              </w:rPr>
              <w:t>Durum</w:t>
            </w:r>
          </w:p>
        </w:tc>
        <w:tc>
          <w:tcPr>
            <w:tcW w:type="dxa" w:w="5976"/>
            <w:vAlign w:val="center"/>
            <w:shd w:fill="E8EDF2"/>
            <w:tcMar>
              <w:top w:w="90" w:type="dxa"/>
              <w:bottom w:w="90" w:type="dxa"/>
              <w:left w:w="90" w:type="dxa"/>
              <w:right w:w="90" w:type="dxa"/>
            </w:tcMar>
          </w:tcPr>
          <w:p>
            <w:pPr>
              <w:widowControl/>
              <w:spacing w:after="40" w:line="247" w:lineRule="auto"/>
            </w:pPr>
            <w:r>
              <w:rPr>
                <w:rFonts w:ascii="Calibri" w:hAnsi="Calibri"/>
                <w:b/>
                <w:sz w:val="20"/>
              </w:rPr>
              <w:t>Yorum</w:t>
            </w:r>
          </w:p>
        </w:tc>
      </w:tr>
      <w:tr>
        <w:trPr>
          <w:cantSplit/>
        </w:trPr>
        <w:tc>
          <w:tcPr>
            <w:tcW w:type="dxa" w:w="2376"/>
            <w:vAlign w:val="center"/>
            <w:shd w:fill="FFFFFF"/>
            <w:tcMar>
              <w:top w:w="90" w:type="dxa"/>
              <w:bottom w:w="90" w:type="dxa"/>
              <w:left w:w="90" w:type="dxa"/>
              <w:right w:w="90" w:type="dxa"/>
            </w:tcMar>
          </w:tcPr>
          <w:p>
            <w:pPr>
              <w:widowControl/>
              <w:spacing w:after="40" w:line="247" w:lineRule="auto"/>
            </w:pPr>
            <w:r>
              <w:rPr>
                <w:rFonts w:ascii="Calibri" w:hAnsi="Calibri"/>
                <w:b w:val="0"/>
                <w:sz w:val="20"/>
              </w:rPr>
              <w:t>Çevrimdışı güvenlik</w:t>
            </w:r>
          </w:p>
        </w:tc>
        <w:tc>
          <w:tcPr>
            <w:tcW w:type="dxa" w:w="1872"/>
            <w:vAlign w:val="center"/>
            <w:shd w:fill="FFFFFF"/>
            <w:tcMar>
              <w:top w:w="90" w:type="dxa"/>
              <w:bottom w:w="90" w:type="dxa"/>
              <w:left w:w="90" w:type="dxa"/>
              <w:right w:w="90" w:type="dxa"/>
            </w:tcMar>
          </w:tcPr>
          <w:p>
            <w:pPr>
              <w:widowControl/>
              <w:spacing w:after="40" w:line="247" w:lineRule="auto"/>
            </w:pPr>
            <w:r>
              <w:rPr>
                <w:rFonts w:ascii="Calibri" w:hAnsi="Calibri"/>
                <w:b w:val="0"/>
                <w:sz w:val="20"/>
              </w:rPr>
              <w:t>7 PASS</w:t>
            </w:r>
          </w:p>
        </w:tc>
        <w:tc>
          <w:tcPr>
            <w:tcW w:type="dxa" w:w="5976"/>
            <w:vAlign w:val="center"/>
            <w:shd w:fill="FFFFFF"/>
            <w:tcMar>
              <w:top w:w="90" w:type="dxa"/>
              <w:bottom w:w="90" w:type="dxa"/>
              <w:left w:w="90" w:type="dxa"/>
              <w:right w:w="90" w:type="dxa"/>
            </w:tcMar>
          </w:tcPr>
          <w:p>
            <w:pPr>
              <w:widowControl/>
              <w:spacing w:after="40" w:line="247" w:lineRule="auto"/>
            </w:pPr>
            <w:r>
              <w:rPr>
                <w:rFonts w:ascii="Calibri" w:hAnsi="Calibri"/>
                <w:b w:val="0"/>
                <w:sz w:val="20"/>
              </w:rPr>
              <w:t>Yerel uç nokta, ortam ve HTTP sınırları; DB/ağ işlemi olmayan testler.</w:t>
            </w:r>
          </w:p>
        </w:tc>
      </w:tr>
      <w:tr>
        <w:trPr>
          <w:cantSplit/>
        </w:trPr>
        <w:tc>
          <w:tcPr>
            <w:tcW w:type="dxa" w:w="2376"/>
            <w:vAlign w:val="center"/>
            <w:shd w:fill="F6F7F9"/>
            <w:tcMar>
              <w:top w:w="90" w:type="dxa"/>
              <w:bottom w:w="90" w:type="dxa"/>
              <w:left w:w="90" w:type="dxa"/>
              <w:right w:w="90" w:type="dxa"/>
            </w:tcMar>
          </w:tcPr>
          <w:p>
            <w:pPr>
              <w:widowControl/>
              <w:spacing w:after="40" w:line="247" w:lineRule="auto"/>
            </w:pPr>
            <w:r>
              <w:rPr>
                <w:rFonts w:ascii="Calibri" w:hAnsi="Calibri"/>
                <w:b w:val="0"/>
                <w:sz w:val="20"/>
              </w:rPr>
              <w:t>Restore provası</w:t>
            </w:r>
          </w:p>
        </w:tc>
        <w:tc>
          <w:tcPr>
            <w:tcW w:type="dxa" w:w="1872"/>
            <w:vAlign w:val="center"/>
            <w:shd w:fill="F6F7F9"/>
            <w:tcMar>
              <w:top w:w="90" w:type="dxa"/>
              <w:bottom w:w="90" w:type="dxa"/>
              <w:left w:w="90" w:type="dxa"/>
              <w:right w:w="90" w:type="dxa"/>
            </w:tcMar>
          </w:tcPr>
          <w:p>
            <w:pPr>
              <w:widowControl/>
              <w:spacing w:after="40" w:line="247" w:lineRule="auto"/>
            </w:pPr>
            <w:r>
              <w:rPr>
                <w:rFonts w:ascii="Calibri" w:hAnsi="Calibri"/>
                <w:b w:val="0"/>
                <w:sz w:val="20"/>
              </w:rPr>
              <w:t>11 PASS grup</w:t>
            </w:r>
          </w:p>
        </w:tc>
        <w:tc>
          <w:tcPr>
            <w:tcW w:type="dxa" w:w="5976"/>
            <w:vAlign w:val="center"/>
            <w:shd w:fill="F6F7F9"/>
            <w:tcMar>
              <w:top w:w="90" w:type="dxa"/>
              <w:bottom w:w="90" w:type="dxa"/>
              <w:left w:w="90" w:type="dxa"/>
              <w:right w:w="90" w:type="dxa"/>
            </w:tcMar>
          </w:tcPr>
          <w:p>
            <w:pPr>
              <w:widowControl/>
              <w:spacing w:after="40" w:line="247" w:lineRule="auto"/>
            </w:pPr>
            <w:r>
              <w:rPr>
                <w:rFonts w:ascii="Calibri" w:hAnsi="Calibri"/>
                <w:b w:val="0"/>
                <w:sz w:val="20"/>
              </w:rPr>
              <w:t>86 araç komutu ve 202 HTTP isteği aynı koşunun izidir; birbirine eklenip bağımsız test toplamı yapılmaz.</w:t>
            </w:r>
          </w:p>
        </w:tc>
      </w:tr>
      <w:tr>
        <w:trPr>
          <w:cantSplit/>
        </w:trPr>
        <w:tc>
          <w:tcPr>
            <w:tcW w:type="dxa" w:w="2376"/>
            <w:vAlign w:val="center"/>
            <w:shd w:fill="FFFFFF"/>
            <w:tcMar>
              <w:top w:w="90" w:type="dxa"/>
              <w:bottom w:w="90" w:type="dxa"/>
              <w:left w:w="90" w:type="dxa"/>
              <w:right w:w="90" w:type="dxa"/>
            </w:tcMar>
          </w:tcPr>
          <w:p>
            <w:pPr>
              <w:widowControl/>
              <w:spacing w:after="40" w:line="247" w:lineRule="auto"/>
            </w:pPr>
            <w:r>
              <w:rPr>
                <w:rFonts w:ascii="Calibri" w:hAnsi="Calibri"/>
                <w:b w:val="0"/>
                <w:sz w:val="20"/>
              </w:rPr>
              <w:t>Build</w:t>
            </w:r>
          </w:p>
        </w:tc>
        <w:tc>
          <w:tcPr>
            <w:tcW w:type="dxa" w:w="1872"/>
            <w:vAlign w:val="center"/>
            <w:shd w:fill="FFFFFF"/>
            <w:tcMar>
              <w:top w:w="90" w:type="dxa"/>
              <w:bottom w:w="90" w:type="dxa"/>
              <w:left w:w="90" w:type="dxa"/>
              <w:right w:w="90" w:type="dxa"/>
            </w:tcMar>
          </w:tcPr>
          <w:p>
            <w:pPr>
              <w:widowControl/>
              <w:spacing w:after="40" w:line="247" w:lineRule="auto"/>
            </w:pPr>
            <w:r>
              <w:rPr>
                <w:rFonts w:ascii="Calibri" w:hAnsi="Calibri"/>
                <w:b w:val="0"/>
                <w:sz w:val="20"/>
              </w:rPr>
              <w:t>PASS</w:t>
            </w:r>
          </w:p>
        </w:tc>
        <w:tc>
          <w:tcPr>
            <w:tcW w:type="dxa" w:w="5976"/>
            <w:vAlign w:val="center"/>
            <w:shd w:fill="FFFFFF"/>
            <w:tcMar>
              <w:top w:w="90" w:type="dxa"/>
              <w:bottom w:w="90" w:type="dxa"/>
              <w:left w:w="90" w:type="dxa"/>
              <w:right w:w="90" w:type="dxa"/>
            </w:tcMar>
          </w:tcPr>
          <w:p>
            <w:pPr>
              <w:widowControl/>
              <w:spacing w:after="40" w:line="247" w:lineRule="auto"/>
            </w:pPr>
            <w:r>
              <w:rPr>
                <w:rFonts w:ascii="Calibri" w:hAnsi="Calibri"/>
                <w:b w:val="0"/>
                <w:sz w:val="20"/>
              </w:rPr>
              <w:t>0 uyarı ve 0 hata; pg_dump/pg_restore uyarısı görülmedi.</w:t>
            </w:r>
          </w:p>
        </w:tc>
      </w:tr>
      <w:tr>
        <w:trPr>
          <w:cantSplit/>
        </w:trPr>
        <w:tc>
          <w:tcPr>
            <w:tcW w:type="dxa" w:w="2376"/>
            <w:vAlign w:val="center"/>
            <w:shd w:fill="F6F7F9"/>
            <w:tcMar>
              <w:top w:w="90" w:type="dxa"/>
              <w:bottom w:w="90" w:type="dxa"/>
              <w:left w:w="90" w:type="dxa"/>
              <w:right w:w="90" w:type="dxa"/>
            </w:tcMar>
          </w:tcPr>
          <w:p>
            <w:pPr>
              <w:widowControl/>
              <w:spacing w:after="40" w:line="247" w:lineRule="auto"/>
            </w:pPr>
            <w:r>
              <w:rPr>
                <w:rFonts w:ascii="Calibri" w:hAnsi="Calibri"/>
                <w:b w:val="0"/>
                <w:sz w:val="20"/>
              </w:rPr>
              <w:t>Tam unit ve browser</w:t>
            </w:r>
          </w:p>
        </w:tc>
        <w:tc>
          <w:tcPr>
            <w:tcW w:type="dxa" w:w="1872"/>
            <w:vAlign w:val="center"/>
            <w:shd w:fill="F6F7F9"/>
            <w:tcMar>
              <w:top w:w="90" w:type="dxa"/>
              <w:bottom w:w="90" w:type="dxa"/>
              <w:left w:w="90" w:type="dxa"/>
              <w:right w:w="90" w:type="dxa"/>
            </w:tcMar>
          </w:tcPr>
          <w:p>
            <w:pPr>
              <w:widowControl/>
              <w:spacing w:after="40" w:line="247" w:lineRule="auto"/>
            </w:pPr>
            <w:r>
              <w:rPr>
                <w:rFonts w:ascii="Calibri" w:hAnsi="Calibri"/>
                <w:b w:val="0"/>
                <w:sz w:val="20"/>
              </w:rPr>
              <w:t>NOT_RERUN</w:t>
            </w:r>
          </w:p>
        </w:tc>
        <w:tc>
          <w:tcPr>
            <w:tcW w:type="dxa" w:w="5976"/>
            <w:vAlign w:val="center"/>
            <w:shd w:fill="F6F7F9"/>
            <w:tcMar>
              <w:top w:w="90" w:type="dxa"/>
              <w:bottom w:w="90" w:type="dxa"/>
              <w:left w:w="90" w:type="dxa"/>
              <w:right w:w="90" w:type="dxa"/>
            </w:tcMar>
          </w:tcPr>
          <w:p>
            <w:pPr>
              <w:widowControl/>
              <w:spacing w:after="40" w:line="247" w:lineRule="auto"/>
            </w:pPr>
            <w:r>
              <w:rPr>
                <w:rFonts w:ascii="Calibri" w:hAnsi="Calibri"/>
                <w:b w:val="0"/>
                <w:sz w:val="20"/>
              </w:rPr>
              <w:t>112 ürün dosyası değişmedi. Önceki 161/103 ve 6+6 sonuçları tarihsel kanıttır; bu görevin yeniden koşusu değildir.</w:t>
            </w:r>
          </w:p>
        </w:tc>
      </w:tr>
    </w:tbl>
    <w:p>
      <w:pPr>
        <w:widowControl/>
        <w:spacing w:line="240" w:lineRule="auto" w:after="80"/>
      </w:pPr>
      <w:r>
        <w:rPr>
          <w:sz w:val="2"/>
        </w:rPr>
        <w:t xml:space="preserve"> </w:t>
      </w:r>
    </w:p>
    <w:p>
      <w:pPr>
        <w:widowControl/>
      </w:pPr>
      <w:r>
        <w:t>Bağımsız yeniden inceleme P2 bağlantı sınırı kusurunu kapalı buldu: kaynak oluşturmadan önce açık yerel uç nokta ve temiz PG ortamı, CREATE DATABASE öncesi Unix socket/sunucu gözlemi, proxy kullanmayan loopback HTTP ve redirect reddi uygulanır. Yedi çevrimdışı güvenlik testi geçersiz yapılandırmada subprocess/geçici kaynak çağrılarının sıfır olduğunu denetler. 12 payload manifest kaydı, 112 değişmeyen taban kaynak hash’i ve ters yama doğrulandı. Yeni üretici kanıtı 11 kontrol grubu, 86 komut ve 202 HTTP isteğini destekler; ek somut teknik engel bulunmadı. İnceleyen runtime provayı yerelde yeniden çalıştırmadı. Bu üretim DR veya Esra kabulü değildir.</w:t>
      </w:r>
    </w:p>
    <w:p>
      <w:pPr>
        <w:widowControl/>
      </w:pPr>
      <w:r>
        <w:t>Bu raporun hazırlanması yalnız yerel belge ve kayıt incelemesidir; restore betiği, DB komutu veya uzak işlem çalıştırılmadı. Üreticinin fiilî süreç/DB provası bağımsız runtime tekrarına dönüştürülmez. HTTP kanıtı yalnız yöntem/yol/status taşır; token/gövde yoktur. Komut kayıtlarında bağlantı ortamı yayımlanmaz, özel yollar TASK_PRIVATE ile maskelenir.</w:t>
      </w:r>
    </w:p>
    <w:p>
      <w:pPr>
        <w:pStyle w:val="Heading1"/>
        <w:widowControl/>
      </w:pPr>
      <w:r>
        <w:t>6 Açık kabul kapıları</w:t>
      </w:r>
    </w:p>
    <w:p>
      <w:pPr>
        <w:widowControl/>
      </w:pPr>
      <w:r>
        <w:t>Tekrar çalıştırma sınırı: restore-rehearsal.py, HEAD’in 253a5d3a96542cfde65118898abfe90b358c1943 olmasını zorunlu kılar. Yayımlanan yeni 916b6906d1dcaf9541aa8756dbbec49bb3e73c7e başında doğrudan çalıştırma bu guard’da reddedilir. Yardımcı, sabitlenmiş temel kaynak içindir; güncel başta yalnız komutu çalıştırarak tekrarlanabilir bir prova değildir. Guard gevşetilmedi ve yeni baş üzerinde prova yapılmadı. Önkoşul, 253a5d3 temelindeki ayrı Git checkout’a üç ek dosyanın 112 ürün dosyası değiştirilmeden kopyalanmasıdır. Git içermeyen ZIP’i çıkarmak tek başına yeterli değildir. Bu açıklama yeni çalıştırılmış bir prova değildir.</w:t>
      </w:r>
    </w:p>
    <w:p>
      <w:pPr>
        <w:widowControl/>
      </w:pPr>
      <w:r>
        <w:t>Off-site yedek erişimi, kaybedilmiş host, gerçek disk/power arızası, fiziksel yedek, WAL/PITR, production RPO/RTO/SLA, encryption/key recovery ve rol/ACL/tablespace restore doğrulanmadı. --no-owner --no-acl seçeneği üretim yetkilerinin geri yüklendiği anlamına gelmez; ayrı role/grant değişikliği yapılmadı.</w:t>
      </w:r>
    </w:p>
    <w:p>
      <w:pPr>
        <w:widowControl/>
      </w:pPr>
      <w:r>
        <w:t>Canlı yazılar sırasında DB/nesne backup eşgüdümü, otomatik kesilmiş alım recovery ve cleanup uygulanmış sayılmaz. Native TLS, gerçek IdP, üretim storage/DR, scanner ve gerçek müşteri verisi bu provanın dışındadır. Download/preview/OCR/AI/export, insan doğrulama ve kontrollü yayın kapıları kapalı kalır. Çalışan özel kullanıcı URL’si kurulmadı; localhost veya Library bağlantısı erişim kanıtı değildir. Esra onayı olmadan USER_ACCEPTED yazılmaz.</w:t>
      </w:r>
    </w:p>
    <w:p>
      <w:pPr>
        <w:pStyle w:val="Heading1"/>
        <w:widowControl/>
      </w:pPr>
      <w:r>
        <w:t>7 Kanıt paketi ve izlenebilirlik</w:t>
      </w:r>
    </w:p>
    <w:p>
      <w:pPr>
        <w:widowControl/>
      </w:pPr>
      <w:r/>
      <w:hyperlink r:id="rId12">
        <w:r>
          <w:rPr>
            <w:color w:val="000000"/>
            <w:u w:val="single"/>
          </w:rPr>
          <w:t>35.02 Sentetik restore provası kanıtları</w:t>
        </w:r>
      </w:hyperlink>
    </w:p>
    <w:p>
      <w:pPr>
        <w:widowControl/>
      </w:pPr>
      <w:r>
        <w:t>Kanıt ZIP SHA256</w:t>
        <w:br/>
        <w:t>7b5dd158e5f11c5aa53676464436c18d62fdf5a88125c29d4872b52411b25005</w:t>
        <w:br/>
        <w:t>Yama SHA256</w:t>
        <w:br/>
        <w:t>8679cee691ddb05e56aa3be659d3db4d5ae1950e6743f0d43f31ff894f9c52d2</w:t>
      </w:r>
    </w:p>
    <w:p>
      <w:pPr>
        <w:widowControl/>
      </w:pPr>
      <w:r>
        <w:t>Arşiv 13 dosya içerir; manifest.json kendisi dışındaki 12 dosyayı listeler. 112 temel dosyanın manifesti, 3 ek kaynak, yama, teslim sonucu ve sanitize kanıtlar vardır; bu ZIP 115 dosyalık tam ürün kaynağı değildir. Dump ve nesne baytları özel yerel çalışma dizinlerinde kalır, teslim arşivine konmaz. Temel kaynak üzerine üç ek dosya birleştirilince 115 dosyalık kaynak oluşur.</w:t>
      </w:r>
    </w:p>
    <w:p>
      <w:pPr>
        <w:widowControl/>
      </w:pPr>
      <w:r/>
      <w:r>
        <w:t xml:space="preserve">Tarihsel kapsam: </w:t>
      </w:r>
      <w:hyperlink r:id="rId13">
        <w:r>
          <w:rPr>
            <w:color w:val="000000"/>
            <w:u w:val="single"/>
          </w:rPr>
          <w:t>34.01 Karantinalı ek alımı raporu</w:t>
        </w:r>
      </w:hyperlink>
      <w:r>
        <w:t xml:space="preserve">  |  </w:t>
      </w:r>
      <w:hyperlink r:id="rId14">
        <w:r>
          <w:rPr>
            <w:color w:val="000000"/>
            <w:u w:val="single"/>
          </w:rPr>
          <w:t>30.01 Tam ürün yol haritası</w:t>
        </w:r>
      </w:hyperlink>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POSEIDON Core v0.1  |  35.01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emgt41/Poseidon/commit/916b6906d1dcaf9541aa8756dbbec49bb3e73c7e" TargetMode="External"/><Relationship Id="rId11" Type="http://schemas.openxmlformats.org/officeDocument/2006/relationships/hyperlink" Target="https://github.com/emgt41/Poseidon/pull/3" TargetMode="External"/><Relationship Id="rId12" Type="http://schemas.openxmlformats.org/officeDocument/2006/relationships/hyperlink" Target="35.02_POSEIDON_Core_v0.1_Sentetik_Restore_Provasi_Kanitlari_2026-10-27.zip" TargetMode="External"/><Relationship Id="rId13" Type="http://schemas.openxmlformats.org/officeDocument/2006/relationships/hyperlink" Target="34.01_POSEIDON_Core_v0.1_Karantinali_Ek_Alimi_Dogrulama_Raporu_2026-10-27_TR.docx" TargetMode="External"/><Relationship Id="rId14" Type="http://schemas.openxmlformats.org/officeDocument/2006/relationships/hyperlink" Target="../08_MANAGEMENT_CONTROL/30.01_POSEIDON_v46.3_Tam_Urun_2027_Q3_Q4_Teslim_Yol_Haritasi_TR.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POSEIDON Core sentetik restore provası doğrulama raporu</dc:title>
  <dc:subject>Aynı host üzerinde sentetik mantıksal restore ve gerçek uygulama yeniden başlatma kanıtı</dc:subject>
  <dc:creator>POSEIDON</dc:creator>
  <cp:keywords>POSEIDON, Core v0.1, restore, sentetik prova, kanıt, UAT</cp:keywords>
  <dc:description>generated by python-docx</dc:description>
  <cp:lastModifiedBy/>
  <cp:revision>1</cp:revision>
  <dcterms:created xsi:type="dcterms:W3CDTF">2013-12-23T23:15:00Z</dcterms:created>
  <dcterms:modified xsi:type="dcterms:W3CDTF">2013-12-23T23:15:00Z</dcterms:modified>
  <cp:category/>
</cp:coreProperties>
</file>