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POSEIDON Core salt okunur tanılama</w:t>
        <w:br/>
        <w:t>doğrulama raporu</w:t>
      </w:r>
    </w:p>
    <w:p>
      <w:pPr>
        <w:widowControl/>
      </w:pPr>
      <w:r>
        <w:t>Core v0.1  |  Doküman 40.01  |  28 Ekim 2026  |  REVIEW CANDIDATE</w:t>
      </w:r>
    </w:p>
    <w:p>
      <w:pPr>
        <w:widowControl/>
      </w:pPr>
      <w:r>
        <w:rPr>
          <w:b/>
        </w:rPr>
        <w:t>Sonuç:</w:t>
      </w:r>
      <w:r>
        <w:t xml:space="preserve"> Kümülatif v7/v8 dilimi, asıl başlatma hatasını cleanup hatasıyla birlikte korur ve salt okunur veritabanı kimlik tanılaması ekler. Üretici 52 test PASS bildirdi; bağımsız incelemede 36 test PASS, 15 test ortam engeli nedeniyle BLOCKED’dır. Gerçek kullanıcıdaki PID uyuşmazlığı, tarayıcı 400 hatası ve Esra UAT’si çözülmüş değildir. Tanılama sonucu hiçbir koşulda durdurma veya kurtarma yetkisi vermez.</w:t>
      </w:r>
    </w:p>
    <w:p>
      <w:pPr>
        <w:pStyle w:val="Heading1"/>
        <w:widowControl/>
      </w:pPr>
      <w:r>
        <w:t>1 Kümülatif kaynak ve asıl hatanın korunması</w:t>
      </w:r>
    </w:p>
    <w:p>
      <w:pPr>
        <w:widowControl/>
      </w:pPr>
      <w:r>
        <w:t>Taban aa51a7d59c8e93ee25e2bb2e38c67c26dfe3b3de’dir. scripts/uat.py ile hazırlık belgesi değişti; scripts/uat-diagnose.py, test_startup_diagnostics.py ve test_uat_diagnose.py eklendi. Son kaynak 135 dosyadır: 2 değişiklik, 3 ek, 130 aynı; silinen yoktur. Ürün/backend/frontend baytları ve tarihsel restore pini değişmedi.</w:t>
      </w:r>
    </w:p>
    <w:p>
      <w:pPr>
        <w:widowControl/>
      </w:pPr>
      <w:r>
        <w:t>v7’de cleanup hatasının asıl başlatma hatasını örtmesi giderildi; v8 bu değişikliği aynen taşır. İki hata birlikte oluşursa yeni Original failure satırı yalnız sabit aşama, hata sınıfı ve OSError için errno içerir. Argüman, bağlantı bilgisi, ortam veya ham exception içeriği bu satırda gösterilmez. PID uyuşmazlığında ret, mevcut süreci benimsememe, eldeki child handle üzerinden sinyalleme, lock ömrü ve cleanup nonzero/ikinci sinyal korumaları gevşetilmedi.</w:t>
      </w:r>
    </w:p>
    <w:p>
      <w:pPr>
        <w:pStyle w:val="Heading1"/>
        <w:widowControl/>
      </w:pPr>
      <w:r>
        <w:t>2 Salt okunur tanılama ve sonuç sınırı</w:t>
      </w:r>
    </w:p>
    <w:p>
      <w:pPr>
        <w:widowControl/>
      </w:pPr>
      <w:r>
        <w:t>uat-diagnose.py argüman, kullanıcı yolu veya start/stop/recovery modu almaz. Yalnız tanımlı HOME görev dizini ve yerel Unix soketi 55433 incelenir. Owner marker, özel dizin/symlink sınırı, PID ve socket lock eşleşmesi, executable, süreç başlangıç tick’i ve server başlangıç zamanı karşılaştırılır. SQL sonrasında süreç/dosya/socket kimliği tekrar denetlenir; PID namespace dönüşümü tahmin edilmez.</w:t>
      </w:r>
    </w:p>
    <w:p>
      <w:pPr>
        <w:widowControl/>
      </w:pPr>
      <w:r>
        <w:t>psql açık yerel socket/port, mevcut kullanıcı ve postgres DB’siyle çalışır: -X, ON_ERROR_STOP, no-password, read-only transaction ve 5 saniye timeout. Ambient libpq/service/password/proxy ayarları aktarılmaz; parola dosyası /dev/null’dır. SQL yalnız server settings ve postmaster başlangıç zamanını okur, kullanıcı tablolarını okumaz. Betik signal göndermez, flock almaz, dosya veya SQL yazmaz; otomatik kurtarma yapmaz.</w:t>
      </w:r>
    </w:p>
    <w:p>
      <w:pPr>
        <w:widowControl/>
      </w:pPr>
      <w:r>
        <w:t>TASK_DB_IDENTITY_MATCH, kontrollerin o anda eşleştiğini bildirir; önceki launcher’ın sahipliğini veya process parent ilişkisini kanıtlamaz, shutdown izni değildir. CHECK_INCONCLUSIVE; namespace farkı, değişen/kaybolan süreç, kimlik uyuşmazlığı, symlink, bozuk dosya, araç/izin/SQL/timeout sorununda verilir. Belirsizlik ne sahiplik onayıdır ne de süreç durmuştur kanıtıdır. Çıktı yalnız bu iki sabit sınıftan biridir.</w:t>
      </w:r>
    </w:p>
    <w:p>
      <w:pPr>
        <w:pStyle w:val="Heading1"/>
        <w:widowControl/>
      </w:pPr>
      <w:r>
        <w:t>3 Üretici ve bağımsız kanıt ayrımı</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8064"/>
      </w:tblGrid>
      <w:tr>
        <w:trPr>
          <w:cantSplit/>
          <w:tblHeader/>
        </w:trPr>
        <w:tc>
          <w:tcPr>
            <w:tcW w:type="dxa" w:w="2160"/>
            <w:vAlign w:val="center"/>
            <w:shd w:fill="E8EDF2"/>
            <w:tcMar>
              <w:top w:w="90" w:type="dxa"/>
              <w:bottom w:w="90" w:type="dxa"/>
              <w:left w:w="90" w:type="dxa"/>
              <w:right w:w="90" w:type="dxa"/>
            </w:tcMar>
          </w:tcPr>
          <w:p>
            <w:pPr>
              <w:widowControl/>
              <w:spacing w:after="40" w:line="247" w:lineRule="auto"/>
            </w:pPr>
            <w:r>
              <w:rPr>
                <w:rFonts w:ascii="Calibri" w:hAnsi="Calibri"/>
                <w:b/>
                <w:sz w:val="20"/>
              </w:rPr>
              <w:t>Kanıt</w:t>
            </w:r>
          </w:p>
        </w:tc>
        <w:tc>
          <w:tcPr>
            <w:tcW w:type="dxa" w:w="8064"/>
            <w:vAlign w:val="center"/>
            <w:shd w:fill="E8EDF2"/>
            <w:tcMar>
              <w:top w:w="90" w:type="dxa"/>
              <w:bottom w:w="90" w:type="dxa"/>
              <w:left w:w="90" w:type="dxa"/>
              <w:right w:w="90" w:type="dxa"/>
            </w:tcMar>
          </w:tcPr>
          <w:p>
            <w:pPr>
              <w:widowControl/>
              <w:spacing w:after="40" w:line="247" w:lineRule="auto"/>
            </w:pPr>
            <w:r>
              <w:rPr>
                <w:rFonts w:ascii="Calibri" w:hAnsi="Calibri"/>
                <w:b/>
                <w:sz w:val="20"/>
              </w:rPr>
              <w:t>Sonuç ve sınır</w:t>
            </w:r>
          </w:p>
        </w:tc>
      </w:tr>
      <w:tr>
        <w:trPr>
          <w:cantSplit/>
        </w:trPr>
        <w:tc>
          <w:tcPr>
            <w:tcW w:type="dxa" w:w="2160"/>
            <w:vAlign w:val="center"/>
            <w:shd w:fill="FFFFFF"/>
            <w:tcMar>
              <w:top w:w="90" w:type="dxa"/>
              <w:bottom w:w="90" w:type="dxa"/>
              <w:left w:w="90" w:type="dxa"/>
              <w:right w:w="90" w:type="dxa"/>
            </w:tcMar>
          </w:tcPr>
          <w:p>
            <w:pPr>
              <w:widowControl/>
              <w:spacing w:after="40" w:line="247" w:lineRule="auto"/>
            </w:pPr>
            <w:r>
              <w:rPr>
                <w:rFonts w:ascii="Calibri" w:hAnsi="Calibri"/>
                <w:b w:val="0"/>
                <w:sz w:val="20"/>
              </w:rPr>
              <w:t>v7 üretici</w:t>
            </w:r>
          </w:p>
        </w:tc>
        <w:tc>
          <w:tcPr>
            <w:tcW w:type="dxa" w:w="8064"/>
            <w:vAlign w:val="center"/>
            <w:shd w:fill="FFFFFF"/>
            <w:tcMar>
              <w:top w:w="90" w:type="dxa"/>
              <w:bottom w:w="90" w:type="dxa"/>
              <w:left w:w="90" w:type="dxa"/>
              <w:right w:w="90" w:type="dxa"/>
            </w:tcMar>
          </w:tcPr>
          <w:p>
            <w:pPr>
              <w:widowControl/>
              <w:spacing w:after="40" w:line="247" w:lineRule="auto"/>
            </w:pPr>
            <w:r>
              <w:rPr>
                <w:rFonts w:ascii="Calibri" w:hAnsi="Calibri"/>
                <w:b w:val="0"/>
                <w:sz w:val="20"/>
              </w:rPr>
              <w:t>37 başlangıç testi PASS. Yeni sentetik PostgreSQL 17.11 kümesinde 4 kontrol: owned ani kapanış/WAL recovery, olmayan PID marker’ıyla restart, başka canlı owned PID’de benimsememe/sinyal vermeme, temiz restart/stop.</w:t>
            </w:r>
          </w:p>
        </w:tc>
      </w:tr>
      <w:tr>
        <w:trPr>
          <w:cantSplit/>
        </w:trPr>
        <w:tc>
          <w:tcPr>
            <w:tcW w:type="dxa" w:w="2160"/>
            <w:vAlign w:val="center"/>
            <w:shd w:fill="F6F7F9"/>
            <w:tcMar>
              <w:top w:w="90" w:type="dxa"/>
              <w:bottom w:w="90" w:type="dxa"/>
              <w:left w:w="90" w:type="dxa"/>
              <w:right w:w="90" w:type="dxa"/>
            </w:tcMar>
          </w:tcPr>
          <w:p>
            <w:pPr>
              <w:widowControl/>
              <w:spacing w:after="40" w:line="247" w:lineRule="auto"/>
            </w:pPr>
            <w:r>
              <w:rPr>
                <w:rFonts w:ascii="Calibri" w:hAnsi="Calibri"/>
                <w:b w:val="0"/>
                <w:sz w:val="20"/>
              </w:rPr>
              <w:t>v8 üretici</w:t>
            </w:r>
          </w:p>
        </w:tc>
        <w:tc>
          <w:tcPr>
            <w:tcW w:type="dxa" w:w="8064"/>
            <w:vAlign w:val="center"/>
            <w:shd w:fill="F6F7F9"/>
            <w:tcMar>
              <w:top w:w="90" w:type="dxa"/>
              <w:bottom w:w="90" w:type="dxa"/>
              <w:left w:w="90" w:type="dxa"/>
              <w:right w:w="90" w:type="dxa"/>
            </w:tcMar>
          </w:tcPr>
          <w:p>
            <w:pPr>
              <w:widowControl/>
              <w:spacing w:after="40" w:line="247" w:lineRule="auto"/>
            </w:pPr>
            <w:r>
              <w:rPr>
                <w:rFonts w:ascii="Calibri" w:hAnsi="Calibri"/>
                <w:b w:val="0"/>
                <w:sz w:val="20"/>
              </w:rPr>
              <w:t>52 başlangıç/tanılama testi PASS. Gerçek görev PostgreSQL fixture’ında çalışırken MATCH; temiz duruştan sonra INCONCLUSIVE. Sentetik PGHOST/PGSERVICE/PGPASSWORD değerleri yerel SQL hedefini değiştirmedi.</w:t>
            </w:r>
          </w:p>
        </w:tc>
      </w:tr>
      <w:tr>
        <w:trPr>
          <w:cantSplit/>
        </w:trPr>
        <w:tc>
          <w:tcPr>
            <w:tcW w:type="dxa" w:w="2160"/>
            <w:vAlign w:val="center"/>
            <w:shd w:fill="FFFFFF"/>
            <w:tcMar>
              <w:top w:w="90" w:type="dxa"/>
              <w:bottom w:w="90" w:type="dxa"/>
              <w:left w:w="90" w:type="dxa"/>
              <w:right w:w="90" w:type="dxa"/>
            </w:tcMar>
          </w:tcPr>
          <w:p>
            <w:pPr>
              <w:widowControl/>
              <w:spacing w:after="40" w:line="247" w:lineRule="auto"/>
            </w:pPr>
            <w:r>
              <w:rPr>
                <w:rFonts w:ascii="Calibri" w:hAnsi="Calibri"/>
                <w:b w:val="0"/>
                <w:sz w:val="20"/>
              </w:rPr>
              <w:t>Bağımsız koşu</w:t>
            </w:r>
          </w:p>
        </w:tc>
        <w:tc>
          <w:tcPr>
            <w:tcW w:type="dxa" w:w="8064"/>
            <w:vAlign w:val="center"/>
            <w:shd w:fill="FFFFFF"/>
            <w:tcMar>
              <w:top w:w="90" w:type="dxa"/>
              <w:bottom w:w="90" w:type="dxa"/>
              <w:left w:w="90" w:type="dxa"/>
              <w:right w:w="90" w:type="dxa"/>
            </w:tcMar>
          </w:tcPr>
          <w:p>
            <w:pPr>
              <w:widowControl/>
              <w:spacing w:after="40" w:line="247" w:lineRule="auto"/>
            </w:pPr>
            <w:r>
              <w:rPr>
                <w:rFonts w:ascii="Calibri" w:hAnsi="Calibri"/>
                <w:b w:val="0"/>
                <w:sz w:val="20"/>
              </w:rPr>
              <w:t>36 çevrimdışı test PASS. 15 yeni tanı testi AF_UNIX fixture oluştururken EPERM nedeniyle setup’ta BLOCKED; assertion başarısızlığı veya PASS değildir. Bypass yapılmadı.</w:t>
            </w:r>
          </w:p>
        </w:tc>
      </w:tr>
      <w:tr>
        <w:trPr>
          <w:cantSplit/>
        </w:trPr>
        <w:tc>
          <w:tcPr>
            <w:tcW w:type="dxa" w:w="2160"/>
            <w:vAlign w:val="center"/>
            <w:shd w:fill="F6F7F9"/>
            <w:tcMar>
              <w:top w:w="90" w:type="dxa"/>
              <w:bottom w:w="90" w:type="dxa"/>
              <w:left w:w="90" w:type="dxa"/>
              <w:right w:w="90" w:type="dxa"/>
            </w:tcMar>
          </w:tcPr>
          <w:p>
            <w:pPr>
              <w:widowControl/>
              <w:spacing w:after="40" w:line="247" w:lineRule="auto"/>
            </w:pPr>
            <w:r>
              <w:rPr>
                <w:rFonts w:ascii="Calibri" w:hAnsi="Calibri"/>
                <w:b w:val="0"/>
                <w:sz w:val="20"/>
              </w:rPr>
              <w:t>Yeniden koşulmayanlar</w:t>
            </w:r>
          </w:p>
        </w:tc>
        <w:tc>
          <w:tcPr>
            <w:tcW w:type="dxa" w:w="8064"/>
            <w:vAlign w:val="center"/>
            <w:shd w:fill="F6F7F9"/>
            <w:tcMar>
              <w:top w:w="90" w:type="dxa"/>
              <w:bottom w:w="90" w:type="dxa"/>
              <w:left w:w="90" w:type="dxa"/>
              <w:right w:w="90" w:type="dxa"/>
            </w:tcMar>
          </w:tcPr>
          <w:p>
            <w:pPr>
              <w:widowControl/>
              <w:spacing w:after="40" w:line="247" w:lineRule="auto"/>
            </w:pPr>
            <w:r>
              <w:rPr>
                <w:rFonts w:ascii="Calibri" w:hAnsi="Calibri"/>
                <w:b w:val="0"/>
                <w:sz w:val="20"/>
              </w:rPr>
              <w:t>1 npm kurulum fixture’ı kurulum yapmama sınırı nedeniyle hariç. Üreticinin gerçek PostgreSQL fixture’ı bağımsız tekrarlanmadı; 52 bağımsız PASS denemez.</w:t>
            </w:r>
          </w:p>
        </w:tc>
      </w:tr>
      <w:tr>
        <w:trPr>
          <w:cantSplit/>
        </w:trPr>
        <w:tc>
          <w:tcPr>
            <w:tcW w:type="dxa" w:w="2160"/>
            <w:vAlign w:val="center"/>
            <w:shd w:fill="FFFFFF"/>
            <w:tcMar>
              <w:top w:w="90" w:type="dxa"/>
              <w:bottom w:w="90" w:type="dxa"/>
              <w:left w:w="90" w:type="dxa"/>
              <w:right w:w="90" w:type="dxa"/>
            </w:tcMar>
          </w:tcPr>
          <w:p>
            <w:pPr>
              <w:widowControl/>
              <w:spacing w:after="40" w:line="247" w:lineRule="auto"/>
            </w:pPr>
            <w:r>
              <w:rPr>
                <w:rFonts w:ascii="Calibri" w:hAnsi="Calibri"/>
                <w:b w:val="0"/>
                <w:sz w:val="20"/>
              </w:rPr>
              <w:t>Taşınan ürün kanıtı</w:t>
            </w:r>
          </w:p>
        </w:tc>
        <w:tc>
          <w:tcPr>
            <w:tcW w:type="dxa" w:w="8064"/>
            <w:vAlign w:val="center"/>
            <w:shd w:fill="FFFFFF"/>
            <w:tcMar>
              <w:top w:w="90" w:type="dxa"/>
              <w:bottom w:w="90" w:type="dxa"/>
              <w:left w:w="90" w:type="dxa"/>
              <w:right w:w="90" w:type="dxa"/>
            </w:tcMar>
          </w:tcPr>
          <w:p>
            <w:pPr>
              <w:widowControl/>
              <w:spacing w:after="40" w:line="247" w:lineRule="auto"/>
            </w:pPr>
            <w:r>
              <w:rPr>
                <w:rFonts w:ascii="Calibri" w:hAnsi="Calibri"/>
                <w:b w:val="0"/>
                <w:sz w:val="20"/>
              </w:rPr>
              <w:t>187 backend, 103 frontend ve iki 6/6 browser matrisi v5 kanıtıdır; v7/v8’de NOT_RERUN. 37/52 veya ayrı tekrarlar toplanmaz.</w:t>
            </w:r>
          </w:p>
        </w:tc>
      </w:tr>
    </w:tbl>
    <w:p>
      <w:pPr>
        <w:widowControl/>
        <w:spacing w:line="240" w:lineRule="auto" w:after="80"/>
      </w:pPr>
      <w:r>
        <w:rPr>
          <w:sz w:val="2"/>
        </w:rPr>
        <w:t xml:space="preserve"> </w:t>
      </w:r>
    </w:p>
    <w:p>
      <w:pPr>
        <w:widowControl/>
      </w:pPr>
      <w:r>
        <w:t>Bağımsız dar statik inceleme P1/P2 bulmadı; v8’in 144 payload hash’i, 135 kaynak, taban farkı ve kümülatif ters yama doğrulandı. Üretici fixture çocuklarını durdurdu; kullanıcı runtime’ına dokunmadı. Yerel sentetik kontroller gerçek Codespaces container restart/PID namespace yeniden üretimi değildir. Rapor hazırlanırken tanılama, ürün/test veya kurulum çalıştırılmadı.</w:t>
      </w:r>
    </w:p>
    <w:p>
      <w:pPr>
        <w:pStyle w:val="Heading1"/>
        <w:widowControl/>
      </w:pPr>
      <w:r>
        <w:t>4 Yayın ve kullanıcıdaki açık durum</w:t>
      </w:r>
    </w:p>
    <w:p>
      <w:pPr>
        <w:widowControl/>
      </w:pPr>
      <w:r>
        <w:t>feature/private-codespaces-uat, beklenen aa51 başından f3d689f15ae5f20e8f490775412581e2965dc8d0 commit’ine ilerledi. Tree d517eabadb8796a713e0078b31dd66c8ebe08a95; 135 uzak blob incelenen kaynakla aynıdır. main 008b6105b1d964373bd7a92ee032b51b4a7ae00f değişmedi. Yeni PR/PR açıklaması, merge veya deployment yoktur; commit sonrası ürün testleri yeniden koşulmadı, CI PASS beyan edilmez.</w:t>
      </w:r>
    </w:p>
    <w:p>
      <w:pPr>
        <w:widowControl/>
      </w:pPr>
      <w:r/>
      <w:hyperlink r:id="rId10">
        <w:r>
          <w:rPr>
            <w:color w:val="000000"/>
            <w:u w:val="single"/>
          </w:rPr>
          <w:t>İncelenen kaynak commit kaydı</w:t>
        </w:r>
      </w:hyperlink>
    </w:p>
    <w:p>
      <w:pPr>
        <w:widowControl/>
      </w:pPr>
      <w:r>
        <w:t>Son teyitli kullanıcı başı aa51; önceki başlangıç hatası: Cleanup failed: Cluster PID differs from owned child; cleanup refused. Salt okunur gözlemde comm postgres ve DB_ACCEPTING görüldü; sahiplik UNKNOWN’dur. Bunlar önceki launcher ilişkisini veya durdurma yetkisini göstermez.</w:t>
      </w:r>
    </w:p>
    <w:p>
      <w:pPr>
        <w:widowControl/>
      </w:pPr>
      <w:r>
        <w:t>28 Ekim 2026 20.05 UTC’de temiz ağaç kontrolü, fast-forward ve yalnız python3 scripts/uat-diagnose.py istendi. 20.11 UTC’de kullanıcı çıktısı CHECK_INCONCLUSIVE olarak doğrulandı; yeni HEAD ayrıca teyit edilmedi. MATCH, sahiplik veya kurtarma kanıtı yoktur. Runtime/browser engeli açık; özel erişim ve 400 çözümü NOT_VERIFIED, Esra UAT’si PENDING’dir.</w:t>
      </w:r>
    </w:p>
    <w:p>
      <w:pPr>
        <w:widowControl/>
      </w:pPr>
      <w:r>
        <w:t>Temiz container/cold-start, native TLS, gerçek IdP, gerçek proxy peer ve Windows/Android fiziksel cihaz kabulü kapanmadı. Taşınan browser kanıtı HTTPS/redirect emülasyonu ve --no-sandbox sınırındadır. Engelli Docker/NuGet işlemleri yeniden denenmedi. Ücretsiz, sentetik Development, default-off ve tek Private 8080 sınırları korunur; üretim veya tam ürün kabulü verilmez.</w:t>
      </w:r>
    </w:p>
    <w:p>
      <w:pPr>
        <w:pStyle w:val="Heading1"/>
        <w:widowControl/>
      </w:pPr>
      <w:r>
        <w:t>5 Özgün kanıtların korunması</w:t>
      </w:r>
    </w:p>
    <w:p>
      <w:pPr>
        <w:widowControl/>
      </w:pPr>
      <w:r/>
      <w:hyperlink r:id="rId11">
        <w:r>
          <w:rPr>
            <w:color w:val="000000"/>
            <w:u w:val="single"/>
          </w:rPr>
          <w:t>40.02 Salt okunur tanılama kanıtları</w:t>
        </w:r>
      </w:hyperlink>
    </w:p>
    <w:p>
      <w:pPr>
        <w:widowControl/>
      </w:pPr>
      <w:r>
        <w:t>Dış paket 4 giriş içerir: özgün v7 ZIP’i, özgün v8 ZIP’i, README ve manifest. v7 arşivi 141 giriş/140 payload; v8 arşivi 145 giriş/144 payload içerir. v8 son kümülatif kaynaktır; v7 ayrı önceki kanıttır. Arşivlerin yayın yapılmadı/bekleniyor alanları üretim anını anlatır; sonraki yayın ayrı kaydedilir. DB, payload, secret ve ekran görüntüsü teslim edilmez.</w:t>
      </w:r>
    </w:p>
    <w:p>
      <w:pPr>
        <w:widowControl/>
      </w:pPr>
      <w:r>
        <w:t>40.02 SHA256 b889216bcacfff8704bb193182fb1a0c1e398b142f57a723871f54f8fb66beb7</w:t>
        <w:br/>
        <w:t>V7 SHA256 1117556608cd0d663ee13878b06990480362f177de26878c0f23bb604bd7362a</w:t>
        <w:br/>
        <w:t>V8 SHA256 3b588302b3d3b2f7dc55f2774f44344017dc358d93bc44773dce071a4906fdef</w:t>
      </w:r>
    </w:p>
    <w:p>
      <w:pPr>
        <w:widowControl/>
      </w:pPr>
      <w:r/>
      <w:r>
        <w:t xml:space="preserve">Tarihsel kayıt: </w:t>
      </w:r>
      <w:hyperlink r:id="rId12">
        <w:r>
          <w:rPr>
            <w:color w:val="000000"/>
            <w:u w:val="single"/>
          </w:rPr>
          <w:t>39.01 Supervisor kilit yaşam döngüsü raporu</w:t>
        </w:r>
      </w:hyperlink>
      <w:r>
        <w:t xml:space="preserve"> ve 38.01 dahil önceki raporlar değişmedi.</w:t>
      </w:r>
    </w:p>
    <w:sectPr w:rsidR="00FC693F" w:rsidRPr="0006063C" w:rsidSect="00034616">
      <w:footerReference w:type="default" r:id="rId9"/>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POSEIDON Core v0.1  |  40.01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lang w:val="tr-T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Calibri" w:hAnsi="Calibri"/>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Calibri" w:hAnsi="Calibri"/>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59" w:lineRule="auto"/>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emgt41/Poseidon/commit/f3d689f15ae5f20e8f490775412581e2965dc8d0" TargetMode="External"/><Relationship Id="rId11" Type="http://schemas.openxmlformats.org/officeDocument/2006/relationships/hyperlink" Target="40.02_POSEIDON_Core_v0.1_Salt_Okunur_Tanilama_Kanitlari_2026-10-28.zip" TargetMode="External"/><Relationship Id="rId12" Type="http://schemas.openxmlformats.org/officeDocument/2006/relationships/hyperlink" Target="39.01_POSEIDON_Core_v0.1_Supervisor_Kilit_Yasam_Dongusu_Dogrulama_Raporu_2026-10-28_TR.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POSEIDON Core salt okunur tanılama doğrulama raporu</dc:title>
  <dc:subject>Asıl hata kaydı ve salt okunur görev veritabanı kimlik tanılaması</dc:subject>
  <dc:creator>POSEIDON</dc:creator>
  <cp:keywords>POSEIDON, Core v0.1, salt okunur tanılama, Codespaces, kanıt, UAT</cp:keywords>
  <dc:description>generated by python-docx</dc:description>
  <cp:lastModifiedBy/>
  <cp:revision>1</cp:revision>
  <dcterms:created xsi:type="dcterms:W3CDTF">2013-12-23T23:15:00Z</dcterms:created>
  <dcterms:modified xsi:type="dcterms:W3CDTF">2013-12-23T23:15:00Z</dcterms:modified>
  <cp:category/>
</cp:coreProperties>
</file>