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POSEIDON Core PostgreSQL hazırlık</w:t>
        <w:br/>
        <w:t>zaman aşımı düzeltmesi doğrulama raporu</w:t>
      </w:r>
    </w:p>
    <w:p>
      <w:pPr>
        <w:widowControl/>
      </w:pPr>
      <w:r>
        <w:t>Core v0.1  |  Doküman 45.01  |  29 Ekim 2026  |  REVIEW CANDIDATE</w:t>
      </w:r>
    </w:p>
    <w:p>
      <w:pPr>
        <w:widowControl/>
      </w:pPr>
      <w:r>
        <w:rPr>
          <w:b/>
        </w:rPr>
        <w:t>Sonuç:</w:t>
      </w:r>
      <w:r>
        <w:t xml:space="preserve"> Tek geçici PostgreSQL hazırlık kontrolü zaman aşımının başlangıcı hemen kesmesi düzeltildi. Üretici 86 test ve yerel gecikme provası, bağımsız inceleme 34 çevrimdışı test için PASS kaydetti. Dar değişiklikte engelleyici bulgu yoktur; gerçek Codespaces tekrar denemesi ve login HTTP 400 çözümü henüz doğrulanmadı.</w:t>
      </w:r>
    </w:p>
    <w:p>
      <w:pPr>
        <w:pStyle w:val="Heading1"/>
        <w:widowControl/>
      </w:pPr>
      <w:r>
        <w:t>1 Gerçek kullanıcı durumu</w:t>
      </w:r>
    </w:p>
    <w:p>
      <w:pPr>
        <w:widowControl/>
      </w:pPr>
      <w:r>
        <w:t>28 Ekim’de 21.48.57 UTC normal başlangıç, 21.49.59 UTC açılış sayfası görünümü başarılıydı; login HTTP 400 kaldı. 29 Ekim’de kullanıcı Stop/resume ve a27cb4fd kaynağını çekme sonrası build adımlarının geçtiğini, ardından POSTGRES_START / SUBPROCESS_TIMEOUT ve “Cluster PID differs from owned child; cleanup refused.” hatalarını bildirdi. Önceki başarı bugünkü yeniden başlangıcın başarısı değildir.</w:t>
      </w:r>
    </w:p>
    <w:p>
      <w:pPr>
        <w:widowControl/>
      </w:pPr>
      <w:r>
        <w:t>29 Ekim 18.32.49 UTC’de TASK_DB_IDENTITY_MATCH bildirildi. Bu yalnız o andaki DB kimliğini doğrular; önceki launcher sahipliğini veya durdurma yetkisini kanıtlamaz. 18.44.28 UTC’de mevcut ayrı kontrollü helper için --graceful işlemi istendi; sonuç bekleniyor. Yeni 1e904a1d kaynağının kullanıcıda çalıştığı doğrulanmadı. Gerçek Origin, tarihsel PID uyuşmazlığı nedeni ve UAT kabulü açık; ekran görüntüleri bu pakete alınmadı.</w:t>
      </w:r>
    </w:p>
    <w:p>
      <w:pPr>
        <w:pStyle w:val="Heading1"/>
        <w:widowControl/>
      </w:pPr>
      <w:r>
        <w:t>2 Düzeltilen hata ve korunan sınırlar</w:t>
      </w:r>
    </w:p>
    <w:p>
      <w:pPr>
        <w:widowControl/>
      </w:pPr>
      <w:r>
        <w:t>Önceki pg_isready varsayılan bağlantı süresi 3 saniyeyken launcher dış sınırı 2 saniyeydi; ilk TimeoutExpired başlangıcı sonlandırıyordu. Yeni çağrı açık -t 1 kullanır. Her dış bekleme min(2 saniye, kalan süre), toplam hazırlık bütçesi monoton saatle 30 saniyedir. Bekleme araları da kalan bütçeye kırpılır; geçici probe zaman aşımı bütçe içinde yeniden denenir. Bu sınır, işletim sistemi süreç oluşturma veya zamanlama gecikmelerine karşı sert gerçek zaman garantisi değildir.</w:t>
      </w:r>
    </w:p>
    <w:p>
      <w:pPr>
        <w:widowControl/>
      </w:pPr>
      <w:r>
        <w:t>Hazır yanıtı tek başına yeterli değildir. Sahiplik işareti, özel dizin/yol izinleri, dizin inode kimliği ve postmaster.pid’in elde tutulan doğrudan çocuk PID’siyle eşitliği tekrar denetlenir; çocuk hâlâ canlı olmalıdır. Çocuk çıkışı, geçersiz kontrol sonucu veya kimlik uyuşmazlığı güvenli ret üretir. Çalışan başka sunucu benimsenmez; mevcut lock, yalnız izlenen çocuğa sinyal ve cleanup PID uyuşmazlığında ret davranışı korunur. Auth/CSRF, Private erişim ve ücretsiz kullanım koşulları gevşetilmedi.</w:t>
      </w:r>
    </w:p>
    <w:p>
      <w:pPr>
        <w:pStyle w:val="Heading1"/>
        <w:widowControl/>
      </w:pPr>
      <w:r>
        <w:t>3 Kaynak değişikliğinin kapsamı</w:t>
      </w:r>
    </w:p>
    <w:p>
      <w:pPr>
        <w:widowControl/>
      </w:pPr>
      <w:r>
        <w:t>Taban a27cb4fd8df3bf3d0072b130aea4f47c1ee50f81’dir. 141 kaynak dosyasında üç mevcut dosya değişti: hazırlık belgesi, scripts/uat.py ve tests/Codespaces/test_postgres_lifecycle.py. tests/Codespaces/test_readiness_deadline.py eklendi; 137 dosya aynı, silinen yoktur. Ürün backend/frontend baytları ve tarihsel restore pini değişmedi. 44.01 dahil önceki raporlar ve kanıtlar aynen korunur.</w:t>
      </w:r>
    </w:p>
    <w:p>
      <w:pPr>
        <w:pStyle w:val="Heading1"/>
        <w:pageBreakBefore/>
        <w:widowControl/>
      </w:pPr>
      <w:r>
        <w:t>4 Üretici ve bağımsız kanıt ayrımı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E8EDF2"/>
            <w:tcMar>
              <w:top w:w="90" w:type="dxa"/>
              <w:left w:w="90" w:type="dxa"/>
              <w:bottom w:w="90" w:type="dxa"/>
              <w:right w:w="90" w:type="dxa"/>
            </w:tcMar>
          </w:tcPr>
          <w:p>
            <w:pPr>
              <w:spacing w:line="247" w:lineRule="auto" w:after="40"/>
            </w:pPr>
            <w:r>
              <w:rPr>
                <w:b/>
                <w:sz w:val="20"/>
              </w:rPr>
              <w:t>Kanıt</w:t>
            </w:r>
          </w:p>
        </w:tc>
        <w:tc>
          <w:tcPr>
            <w:tcW w:type="dxa" w:w="8064"/>
            <w:vAlign w:val="center"/>
            <w:shd w:fill="E8EDF2"/>
            <w:tcMar>
              <w:top w:w="90" w:type="dxa"/>
              <w:left w:w="90" w:type="dxa"/>
              <w:bottom w:w="90" w:type="dxa"/>
              <w:right w:w="90" w:type="dxa"/>
            </w:tcMar>
          </w:tcPr>
          <w:p>
            <w:pPr>
              <w:spacing w:line="247" w:lineRule="auto" w:after="40"/>
            </w:pPr>
            <w:r>
              <w:rPr>
                <w:b/>
                <w:sz w:val="20"/>
              </w:rPr>
              <w:t>Sonuç ve sınır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Üretici testleri</w:t>
            </w:r>
          </w:p>
        </w:tc>
        <w:tc>
          <w:tcPr>
            <w:tcW w:type="dxa" w:w="8064"/>
            <w:vAlign w:val="center"/>
            <w:shd w:fill="FFFFFF"/>
            <w:tcMar>
              <w:top w:w="90" w:type="dxa"/>
              <w:left w:w="90" w:type="dxa"/>
              <w:bottom w:w="90" w:type="dxa"/>
              <w:right w:w="90" w:type="dxa"/>
            </w:tcMar>
          </w:tcPr>
          <w:p>
            <w:pPr>
              <w:spacing w:line="247" w:lineRule="auto" w:after="40"/>
            </w:pPr>
            <w:r>
              <w:rPr>
                <w:b w:val="0"/>
                <w:sz w:val="20"/>
              </w:rPr>
              <w:t>86 başlangıç/yaşam döngüsü testi PASS. Bu sayı tam ürün veya gerçek kullanıcı kabul testleri değildir.</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Gerçek yerel prova</w:t>
            </w:r>
          </w:p>
        </w:tc>
        <w:tc>
          <w:tcPr>
            <w:tcW w:type="dxa" w:w="8064"/>
            <w:vAlign w:val="center"/>
            <w:shd w:fill="FFFFFF"/>
            <w:tcMar>
              <w:top w:w="90" w:type="dxa"/>
              <w:left w:w="90" w:type="dxa"/>
              <w:bottom w:w="90" w:type="dxa"/>
              <w:right w:w="90" w:type="dxa"/>
            </w:tcMar>
          </w:tcPr>
          <w:p>
            <w:pPr>
              <w:spacing w:line="247" w:lineRule="auto" w:after="40"/>
            </w:pPr>
            <w:r>
              <w:rPr>
                <w:b w:val="0"/>
                <w:sz w:val="20"/>
              </w:rPr>
              <w:t>Üreticinin kendi PostgreSQL çocuğu SIGSTOP/SIGCONT ile geciktirildi: eski 2 saniyelik hata tekrarlandı, yeni akış 3 kontrolde hazır oldu. PID başta/sonda aynıydı; görev çocukları durduruldu, yeni DB oluşturulmadı. Gerçek Codespaces cold-start/PID farkı yeniden üretilmedi.</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Bağımsız inceleme</w:t>
            </w:r>
          </w:p>
        </w:tc>
        <w:tc>
          <w:tcPr>
            <w:tcW w:type="dxa" w:w="8064"/>
            <w:vAlign w:val="center"/>
            <w:shd w:fill="FFFFFF"/>
            <w:tcMar>
              <w:top w:w="90" w:type="dxa"/>
              <w:left w:w="90" w:type="dxa"/>
              <w:bottom w:w="90" w:type="dxa"/>
              <w:right w:w="90" w:type="dxa"/>
            </w:tcMar>
          </w:tcPr>
          <w:p>
            <w:pPr>
              <w:spacing w:line="247" w:lineRule="auto" w:after="40"/>
            </w:pPr>
            <w:r>
              <w:rPr>
                <w:b w:val="0"/>
                <w:sz w:val="20"/>
              </w:rPr>
              <w:t>34 PASS: 4 hazırlık, 14 yaşam döngüsü, 12 lock/sinyal/tanı ve 4 ek kontrol. Eski fatal/yeni retry, kalan bütçe, değişmiş sahiplik işareti ve hazır yanıtından sonra çocuk ölümü sınandı. Mock, geçici dosya ve test sürecinin kendi sinyalleri kullanıldı; DB/ağ/kurulum yok.</w:t>
            </w:r>
          </w:p>
        </w:tc>
      </w:tr>
      <w:tr>
        <w:trPr>
          <w:cantSplit/>
        </w:trPr>
        <w:tc>
          <w:tcPr>
            <w:tcW w:type="dxa" w:w="2160"/>
            <w:vAlign w:val="center"/>
            <w:shd w:fill="FFFFFF"/>
            <w:tcMar>
              <w:top w:w="90" w:type="dxa"/>
              <w:left w:w="90" w:type="dxa"/>
              <w:bottom w:w="90" w:type="dxa"/>
              <w:right w:w="90" w:type="dxa"/>
            </w:tcMar>
          </w:tcPr>
          <w:p>
            <w:pPr>
              <w:spacing w:line="247" w:lineRule="auto" w:after="40"/>
            </w:pPr>
            <w:r>
              <w:rPr>
                <w:b w:val="0"/>
                <w:sz w:val="20"/>
              </w:rPr>
              <w:t>Koşulmayan kapsam</w:t>
            </w:r>
          </w:p>
        </w:tc>
        <w:tc>
          <w:tcPr>
            <w:tcW w:type="dxa" w:w="8064"/>
            <w:vAlign w:val="center"/>
            <w:shd w:fill="FFFFFF"/>
            <w:tcMar>
              <w:top w:w="90" w:type="dxa"/>
              <w:left w:w="90" w:type="dxa"/>
              <w:bottom w:w="90" w:type="dxa"/>
              <w:right w:w="90" w:type="dxa"/>
            </w:tcMar>
          </w:tcPr>
          <w:p>
            <w:pPr>
              <w:spacing w:line="247" w:lineRule="auto" w:after="40"/>
            </w:pPr>
            <w:r>
              <w:rPr>
                <w:b w:val="0"/>
                <w:sz w:val="20"/>
              </w:rPr>
              <w:t>Gerçek PostgreSQL provası bağımsız tekrar edilmedi; önceki AF_UNIX reddi yeniden denenmedi. Tarihsel 187 backend, 103 frontend, iki 6/6 browser matrisi ve v13’ün 35 backend testi NOT_RERUN; bu kaynak için yeni runtime kanıtı değildir.</w:t>
            </w:r>
          </w:p>
        </w:tc>
      </w:tr>
    </w:tbl>
    <w:p>
      <w:pPr>
        <w:widowControl/>
        <w:spacing w:after="60" w:line="240" w:lineRule="auto"/>
      </w:pPr>
      <w:r>
        <w:rPr>
          <w:sz w:val="2"/>
        </w:rPr>
        <w:t xml:space="preserve"> </w:t>
      </w:r>
    </w:p>
    <w:p>
      <w:pPr>
        <w:widowControl/>
      </w:pPr>
      <w:r>
        <w:t>141 kaynak ve 147 arşiv payload kaydı, tam envanter ve ters yama doğrulandı; 140 taban ön-imajı uzak Git ağacıyla karşılaştırıldı. Teknik inceleme CLEAR’dır, UAT onayı değildir. Bu rapor hazırlanırken helper, test, DB veya uygulama çalıştırılmadı.</w:t>
      </w:r>
    </w:p>
    <w:p>
      <w:pPr>
        <w:pStyle w:val="Heading1"/>
        <w:widowControl/>
      </w:pPr>
      <w:r>
        <w:t>5 Yayın ve izlenebilirlik</w:t>
      </w:r>
    </w:p>
    <w:p>
      <w:pPr>
        <w:widowControl/>
      </w:pPr>
      <w:r>
        <w:t>feature/private-codespaces-uat, beklenen a27cb4fd başından 1e904a1dfb0f964e20477a65ad4dc7facbae188f commit’ine ilerledi. Tree 8cd1fc9b088efa0e4762a861ba0ba08b2dc7ae1e; 141 uzak blob incelenen kaynakla aynı. main 008b6105b1d964373bd7a92ee032b51b4a7ae00f değişmedi. Yeni PR/PR metni değişikliği, merge, deployment veya yayın sonrası runtime tekrarı yok; CI PASS beyan edilmez.</w:t>
      </w:r>
    </w:p>
    <w:p>
      <w:pPr>
        <w:widowControl/>
      </w:pPr>
      <w:r/>
      <w:hyperlink r:id="rId10">
        <w:r>
          <w:rPr>
            <w:color w:val="000000"/>
            <w:u w:val="single"/>
          </w:rPr>
          <w:t>Doğrulanan kaynak commit kaydı</w:t>
        </w:r>
      </w:hyperlink>
      <w:r>
        <w:t xml:space="preserve">  |  </w:t>
      </w:r>
      <w:hyperlink r:id="rId11">
        <w:r>
          <w:rPr>
            <w:color w:val="000000"/>
            <w:u w:val="single"/>
          </w:rPr>
          <w:t>45.02 Hazırlık zaman aşımı kanıtları</w:t>
        </w:r>
      </w:hyperlink>
    </w:p>
    <w:p>
      <w:pPr>
        <w:widowControl/>
      </w:pPr>
      <w:r>
        <w:t>45.02, özgün v15 ZIP’inin değişmemiş kopyasıdır: 148 giriş, manifest dışındaki 147 payload kaydı. Wrapper değildir. Arşivdeki yayın yapılmadı beyanı kanıt üretim anına aittir; sonraki doğrulanmış yayın ayrı kaydedilir.</w:t>
      </w:r>
    </w:p>
    <w:p>
      <w:pPr>
        <w:widowControl/>
      </w:pPr>
      <w:r>
        <w:rPr>
          <w:sz w:val="18"/>
        </w:rPr>
        <w:t>ZIP SHA256 06020149eebfaabd200f99eae72a423fdb4821bcd2ad15268d79f015f4bfcae3</w:t>
        <w:br/>
        <w:t>Yama SHA256 95eb98e57095e11764bd981caf412da5f9817fd1d53ae7434f2e0d8ec5b2520e</w:t>
      </w:r>
    </w:p>
    <w:p>
      <w:pPr>
        <w:widowControl/>
      </w:pPr>
      <w:r>
        <w:t>Login 400/gerçek Origin, ilk PID uyuşmazlığı, native TLS/gerçek IdP, temiz cold-start ve Windows/Android fiziksel kabulü açık kalır. Önceki Docker/NuGet soğuk kurulum başarısızlıkları bu değişiklikle giderilmiş sayılmaz. Sentetik Development, default-off ve tek Private 8080 koşulları korunur; Esra UAT’si ve kimliği doğrulanmış özel uygulama erişimi onaylanmadı.</w:t>
      </w:r>
    </w:p>
    <w:p>
      <w:pPr>
        <w:widowControl/>
      </w:pPr>
      <w:r/>
      <w:r>
        <w:t xml:space="preserve">Tarihsel rapor: </w:t>
      </w:r>
      <w:hyperlink r:id="rId12">
        <w:r>
          <w:rPr>
            <w:color w:val="000000"/>
            <w:u w:val="single"/>
          </w:rPr>
          <w:t>44.01 Login ret tanılama raporu</w:t>
        </w:r>
      </w:hyperlink>
      <w:r>
        <w:t xml:space="preserve"> değişmedi.</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POSEIDON Core v0.1  |  45.01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mgt41/Poseidon/commit/1e904a1dfb0f964e20477a65ad4dc7facbae188f" TargetMode="External"/><Relationship Id="rId11" Type="http://schemas.openxmlformats.org/officeDocument/2006/relationships/hyperlink" Target="45.02_POSEIDON_Core_v0.1_PostgreSQL_Hazirlik_Zaman_Asimi_Duzeltmesi_Kanitlari_2026-10-29.zip" TargetMode="External"/><Relationship Id="rId12" Type="http://schemas.openxmlformats.org/officeDocument/2006/relationships/hyperlink" Target="44.01_POSEIDON_Core_v0.1_Login_Ret_Tanilama_Dogrulama_Raporu_2026-10-28_TR.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POSEIDON Core PostgreSQL hazırlık zaman aşımı düzeltmesi doğrulama raporu</dc:title>
  <dc:subject>Sınırlandırılmış hazırlık kontrolü ve izlenen çocuk süreç kimliğinin korunması</dc:subject>
  <dc:creator>POSEIDON</dc:creator>
  <cp:keywords>POSEIDON, Core v0.1, PostgreSQL, readiness, zaman aşımı, 45.01</cp:keywords>
  <dc:description>generated by python-docx</dc:description>
  <cp:lastModifiedBy/>
  <cp:revision>1</cp:revision>
  <dcterms:created xsi:type="dcterms:W3CDTF">2013-12-23T23:15:00Z</dcterms:created>
  <dcterms:modified xsi:type="dcterms:W3CDTF">2013-12-23T23:15:00Z</dcterms:modified>
  <cp:category/>
</cp:coreProperties>
</file>