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left"/>
        <w:widowControl/>
      </w:pPr>
      <w:r>
        <w:rPr>
          <w:rFonts w:ascii="Aptos Display" w:hAnsi="Aptos Display"/>
          <w:b/>
          <w:color w:val="17365D"/>
          <w:sz w:val="72"/>
        </w:rPr>
        <w:t>ISM CODE</w:t>
      </w:r>
    </w:p>
    <w:p>
      <w:pPr>
        <w:spacing w:after="240"/>
        <w:widowControl/>
      </w:pPr>
      <w:r>
        <w:rPr>
          <w:b/>
          <w:color w:val="0F6B78"/>
          <w:sz w:val="42"/>
        </w:rPr>
        <w:t>Baştan Sona Özet ve Uygulama Rehberi</w:t>
      </w:r>
    </w:p>
    <w:p>
      <w:pPr>
        <w:pStyle w:val="Subtitle"/>
        <w:widowControl/>
      </w:pPr>
      <w:r>
        <w:t>International Safety Management Code (Uluslararası Emniyetli Yönetim Kodu)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922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Amaç</w:t>
            </w:r>
          </w:p>
          <w:p>
            <w:pPr>
              <w:spacing w:after="0"/>
            </w:pPr>
            <w:r>
              <w:t>ISM Code’un tamamını ezberlemek yerine; hangi hükmün neyi zorunlu kıldığını, hangi rolün neden sorumlu olduğunu, hangi kanıtların denetimde aranacağını ve gemi + römorkör odaklı bir dijital sistemin bunları nasıl karşılaması gerektiğini tek dokümanda anlatır.</w:t>
            </w:r>
          </w:p>
        </w:tc>
      </w:tr>
    </w:tbl>
    <w:p>
      <w:pPr>
        <w:pStyle w:val="Small"/>
        <w:widowControl/>
      </w:pPr>
      <w:r>
        <w:t>Hazırlanma tarihi: 6 Ekim 2026</w:t>
      </w:r>
    </w:p>
    <w:p>
      <w:pPr>
        <w:pStyle w:val="Small"/>
        <w:widowControl/>
      </w:pPr>
      <w:r>
        <w:t>Odak: Gemi + Römorkör • SMS • DPA • Master/Tug Master • DOC/SMC • Denetim • Kanıt • Dijitalleştirme</w:t>
      </w:r>
    </w:p>
    <w:p>
      <w:pPr>
        <w:spacing w:before="1300"/>
        <w:widowControl/>
      </w:pPr>
      <w:r>
        <w:rPr>
          <w:b/>
          <w:color w:val="2F75B5"/>
          <w:sz w:val="18"/>
        </w:rPr>
        <w:t>OKUMA NOTU</w:t>
      </w:r>
    </w:p>
    <w:p>
      <w:pPr>
        <w:pStyle w:val="Small"/>
        <w:widowControl/>
      </w:pPr>
      <w:r>
        <w:t>Bu metin ISM Code’un tam metni değildir; karar destek ve ürün analizi için yapılandırılmış bir özet/referans dokümanıdır. Bayrak devleti, yetkilendirilmiş kuruluş (RO), klas kuralları ve gemiye özgü uygulanabilirlik her zaman ayrıca doğrulanmalıdır.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İçindekiler</w:t>
      </w:r>
    </w:p>
    <w:p>
      <w:pPr>
        <w:pStyle w:val="TOCItem"/>
        <w:widowControl/>
      </w:pPr>
      <w:r>
        <w:t>1. Önce bunu bil: ISM Code’un özü</w:t>
      </w:r>
    </w:p>
    <w:p>
      <w:pPr>
        <w:pStyle w:val="TOCItem"/>
        <w:widowControl/>
      </w:pPr>
      <w:r>
        <w:t>2. Hukuki konum ve 2026 itibarıyla güncel durum</w:t>
      </w:r>
    </w:p>
    <w:p>
      <w:pPr>
        <w:pStyle w:val="TOCItem"/>
        <w:widowControl/>
      </w:pPr>
      <w:r>
        <w:t>3. Kapsam: Hangi gemilere / işletmecilere uygulanır?</w:t>
      </w:r>
    </w:p>
    <w:p>
      <w:pPr>
        <w:pStyle w:val="TOCItem"/>
        <w:widowControl/>
      </w:pPr>
      <w:r>
        <w:t>4. Temel kavramlar ve roller</w:t>
      </w:r>
    </w:p>
    <w:p>
      <w:pPr>
        <w:pStyle w:val="TOCItem"/>
        <w:widowControl/>
      </w:pPr>
      <w:r>
        <w:t>5. Part A — Bölüm 1–12 baştan sona</w:t>
      </w:r>
    </w:p>
    <w:p>
      <w:pPr>
        <w:pStyle w:val="TOCItem"/>
        <w:widowControl/>
      </w:pPr>
      <w:r>
        <w:t>6. Part B — DOC / SMC ve belgelendirme</w:t>
      </w:r>
    </w:p>
    <w:p>
      <w:pPr>
        <w:pStyle w:val="TOCItem"/>
        <w:widowControl/>
      </w:pPr>
      <w:r>
        <w:t>7. Denetim mantığı: objektif kanıt, etkinlik ve uygunsuzluk</w:t>
      </w:r>
    </w:p>
    <w:p>
      <w:pPr>
        <w:pStyle w:val="TOCItem"/>
        <w:widowControl/>
      </w:pPr>
      <w:r>
        <w:t>8. Denetimde hazır bulunması gereken kayıt/kanıtlar</w:t>
      </w:r>
    </w:p>
    <w:p>
      <w:pPr>
        <w:pStyle w:val="TOCItem"/>
        <w:widowControl/>
      </w:pPr>
      <w:r>
        <w:t>9. En kritik kırmızı bayraklar</w:t>
      </w:r>
    </w:p>
    <w:p>
      <w:pPr>
        <w:pStyle w:val="TOCItem"/>
        <w:widowControl/>
      </w:pPr>
      <w:r>
        <w:t>10. Türkiye uygulaması ve römorkör açısından kritik notlar</w:t>
      </w:r>
    </w:p>
    <w:p>
      <w:pPr>
        <w:pStyle w:val="TOCItem"/>
        <w:widowControl/>
      </w:pPr>
      <w:r>
        <w:t>11. Dijital SMS / yazılım için zorunlu tasarım ilkeleri</w:t>
      </w:r>
    </w:p>
    <w:p>
      <w:pPr>
        <w:pStyle w:val="TOCItem"/>
        <w:widowControl/>
      </w:pPr>
      <w:r>
        <w:t>12. POSEIDON için ISM → ekran / süreç / kanıt eşleştirmesi</w:t>
      </w:r>
    </w:p>
    <w:p>
      <w:pPr>
        <w:pStyle w:val="TOCItem"/>
        <w:widowControl/>
      </w:pPr>
      <w:r>
        <w:t>13. Bilmen gereken 20 cümle — hızlı tekrar</w:t>
      </w:r>
    </w:p>
    <w:p>
      <w:pPr>
        <w:pStyle w:val="TOCItem"/>
        <w:widowControl/>
      </w:pPr>
      <w:r>
        <w:t>14. Kaynaklar ve versiyon kontrolü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468"/>
      </w:tblGrid>
      <w:tr>
        <w:tc>
          <w:tcPr>
            <w:tcW w:type="dxa" w:w="4961"/>
            <w:shd w:fill="0F6B7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E2F0D9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alloutTitle"/>
            </w:pPr>
            <w:r>
              <w:t>Bu dokümanı nasıl kullan?</w:t>
            </w:r>
          </w:p>
          <w:p>
            <w:pPr>
              <w:spacing w:after="0"/>
            </w:pPr>
            <w:r>
              <w:t>İlk okumada Bölüm 1, 3, 4, 5 ve 6’yı oku. Ürün geliştirme / analiz sırasında Bölüm 11–12’yi referans al. Denetim veya müşteri sunumu öncesinde Bölüm 7–9 ve “20 cümle” bölümünü tekrar et.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1. Önce bunu bil: ISM Code’un özü</w:t>
      </w:r>
    </w:p>
    <w:p>
      <w:pPr>
        <w:pStyle w:val="Lead"/>
        <w:widowControl/>
      </w:pPr>
      <w:r>
        <w:t>ISM Code, gemide “emniyet dokümanları bulunsun” diyen bir doküman yönetimi standardı değildir. Esas beklenti; şirketin ve geminin emniyeti sistematik biçimde yönetmesi, riskleri belirlemesi, sorumlulukları netleştirmesi, gerekli kaynakları sağlaması, operasyonu kontrol etmesi, olaylardan öğrenmesi ve sistemin gerçekten çalıştığını kanıtlamasıdır.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468"/>
      </w:tblGrid>
      <w:tr>
        <w:tc>
          <w:tcPr>
            <w:tcW w:type="dxa" w:w="4961"/>
            <w:shd w:fill="2F75B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EAF2F8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alloutTitle"/>
            </w:pPr>
            <w:r>
              <w:t>Tek cümlelik tanım</w:t>
            </w:r>
          </w:p>
          <w:p>
            <w:pPr>
              <w:spacing w:after="0"/>
            </w:pPr>
            <w:r>
              <w:t>ISM = Emniyet ve çevre koruma politikasını günlük gemi işletimine dönüştüren, şirket + gemi birlikte çalışan, denetlenebilir bir Safety Management System (SMS/EYS) kurma ve işletme çerçevesidir.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12 temel mesaj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Üst yönetimin taahhüdü “olsa iyi olur” değil, sistemin başlangıç noktasıdır.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“Company/İşletmeci” her zaman geminin hukuki sahibi değildir; işletme sorumluluğunu ve ISM yükümlülüklerini üstlenen tüzel/gerçek kişidir.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DPA (Atanmış Kişi) gemi ile şirket yönetimi arasındaki emniyet köprüsüdür ve en üst yönetime doğrudan erişebilmelidir.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Kaptanın emniyet ve kirliliğin önlenmesi konusunda nihai/üstün yetkisi korunmalıdır; yazılım veya ticari baskı bu yetkiyi zayıflatamaz.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Şirket bütün tanımlanmış riskleri değerlendirmeli ve uygun koruyucu tedbirleri oluşturmalıdır.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Gemiye özgü operasyonlar için prosedür, plan, talimat ve gerektiğinde checklist bulunmalıdır; “tek tip genel prosedür” yeterli olmayabilir.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Acil durumlar önceden belirlenir; tatbikatla test edilir; şirket karadan müdahaleye hazır tutulur.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Kaza, uygunsuzluk ve tehlikeli olaylar raporlanır, incelenir, kök neden ve düzeltici faaliyet mantığıyla tekrarını önleyici aksiyon üretilir.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Bakım yalnızca PMS takvimi değildir; kritik ekipman, ani arızası tehlike yaratacak sistemler ve yedek/standby düzenekler özel olarak yönetilir.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Doküman kontrolü; doğru versiyonun doğru yerde olması, değişikliklerin yetkili onaydan geçmesi ve eski nüshaların kaldırılması anlamına gelir.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İç denetim, yönetimin gözden geçirmesi ve etkinlik değerlendirmesi ile sistem sürekli doğrulanır ve iyileştirilir.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DOC/SMC bir defalık belge değildir; periyodik doğrulama, audit, uygunsuzluk takibi ve sürdürülebilir etkinlik gerektirir.</w:t>
      </w:r>
    </w:p>
    <w:p>
      <w:pPr>
        <w:pStyle w:val="Source"/>
        <w:spacing w:before="40" w:after="100"/>
        <w:widowControl/>
      </w:pPr>
      <w:r>
        <w:rPr>
          <w:b/>
        </w:rPr>
        <w:t xml:space="preserve">Kaynak notu: </w:t>
      </w:r>
      <w:r>
        <w:t>IMO, ISM Code sayfası ve A.1188(33) 2023 uygulama rehberi; ISM’in emniyet kültürü, etkinlik ve risk temelli yaklaşımını vurgular.</w:t>
      </w:r>
    </w:p>
    <w:p>
      <w:pPr>
        <w:pStyle w:val="Heading1"/>
        <w:keepNext/>
        <w:widowControl/>
      </w:pPr>
      <w:r>
        <w:t>2. Hukuki konum ve 2026 itibarıyla güncel durum</w:t>
      </w:r>
    </w:p>
    <w:p>
      <w:pPr>
        <w:pStyle w:val="Lead"/>
        <w:widowControl/>
      </w:pPr>
      <w:r>
        <w:t>ISM Code, IMO tarafından A.741(18) kararıyla 1993’te kabul edildi; SOLAS Bölüm IX üzerinden 1 Temmuz 1998’de zorunlu hale geldi. IMO’nun güncel ISM sayfası, Kod’un son metin değişikliğinin MSC.353(92) ile yapıldığını ve bu değişikliğin 1 Ocak 2015’te yürürlüğe girdiğini belirtir.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30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Tarih</w:t>
            </w:r>
          </w:p>
        </w:tc>
        <w:tc>
          <w:tcPr>
            <w:tcW w:type="dxa" w:w="181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Kaynak</w:t>
            </w:r>
          </w:p>
        </w:tc>
        <w:tc>
          <w:tcPr>
            <w:tcW w:type="dxa" w:w="635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Ne değişti / ne anlama geliyor?</w:t>
            </w:r>
          </w:p>
        </w:tc>
      </w:tr>
      <w:tr>
        <w:trPr>
          <w:cantSplit/>
        </w:trPr>
        <w:tc>
          <w:tcPr>
            <w:tcW w:type="dxa" w:w="1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1993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A.741(18)</w:t>
            </w:r>
          </w:p>
        </w:tc>
        <w:tc>
          <w:tcPr>
            <w:tcW w:type="dxa" w:w="635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ISM Code kabul edildi.</w:t>
            </w:r>
          </w:p>
        </w:tc>
      </w:tr>
      <w:tr>
        <w:trPr>
          <w:cantSplit/>
        </w:trPr>
        <w:tc>
          <w:tcPr>
            <w:tcW w:type="dxa" w:w="1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1 Tem 1998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SOLAS Chapter IX</w:t>
            </w:r>
          </w:p>
        </w:tc>
        <w:tc>
          <w:tcPr>
            <w:tcW w:type="dxa" w:w="635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Belirli gemi/şirketler için zorunlu uygulama başladı.</w:t>
            </w:r>
          </w:p>
        </w:tc>
      </w:tr>
      <w:tr>
        <w:trPr>
          <w:cantSplit/>
        </w:trPr>
        <w:tc>
          <w:tcPr>
            <w:tcW w:type="dxa" w:w="1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2002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MSC.104(73)</w:t>
            </w:r>
          </w:p>
        </w:tc>
        <w:tc>
          <w:tcPr>
            <w:tcW w:type="dxa" w:w="635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Kod değişiklikleri yürürlüğe girdi.</w:t>
            </w:r>
          </w:p>
        </w:tc>
      </w:tr>
      <w:tr>
        <w:trPr>
          <w:cantSplit/>
        </w:trPr>
        <w:tc>
          <w:tcPr>
            <w:tcW w:type="dxa" w:w="1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2006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MSC.179(79)</w:t>
            </w:r>
          </w:p>
        </w:tc>
        <w:tc>
          <w:tcPr>
            <w:tcW w:type="dxa" w:w="635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Kod değişiklikleri yürürlüğe girdi.</w:t>
            </w:r>
          </w:p>
        </w:tc>
      </w:tr>
      <w:tr>
        <w:trPr>
          <w:cantSplit/>
        </w:trPr>
        <w:tc>
          <w:tcPr>
            <w:tcW w:type="dxa" w:w="1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2009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MSC.195(80)</w:t>
            </w:r>
          </w:p>
        </w:tc>
        <w:tc>
          <w:tcPr>
            <w:tcW w:type="dxa" w:w="635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Kod değişiklikleri yürürlüğe girdi.</w:t>
            </w:r>
          </w:p>
        </w:tc>
      </w:tr>
      <w:tr>
        <w:trPr>
          <w:cantSplit/>
        </w:trPr>
        <w:tc>
          <w:tcPr>
            <w:tcW w:type="dxa" w:w="1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2010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MSC.273(85)</w:t>
            </w:r>
          </w:p>
        </w:tc>
        <w:tc>
          <w:tcPr>
            <w:tcW w:type="dxa" w:w="635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Risk değerlendirme, audit aralığı, sertifika süreleri vb. önemli güncellemeler.</w:t>
            </w:r>
          </w:p>
        </w:tc>
      </w:tr>
      <w:tr>
        <w:trPr>
          <w:cantSplit/>
        </w:trPr>
        <w:tc>
          <w:tcPr>
            <w:tcW w:type="dxa" w:w="1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2015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MSC.353(92)</w:t>
            </w:r>
          </w:p>
        </w:tc>
        <w:tc>
          <w:tcPr>
            <w:tcW w:type="dxa" w:w="635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Uygun personel sayısı / manning ve delege ISM görevlerinin doğrulanması gibi güncellemeler.</w:t>
            </w:r>
          </w:p>
        </w:tc>
      </w:tr>
      <w:tr>
        <w:trPr>
          <w:cantSplit/>
        </w:trPr>
        <w:tc>
          <w:tcPr>
            <w:tcW w:type="dxa" w:w="1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2023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A.1188(33)</w:t>
            </w:r>
          </w:p>
        </w:tc>
        <w:tc>
          <w:tcPr>
            <w:tcW w:type="dxa" w:w="635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İdareler için güncel uygulama rehberi; A.1118(30) açıkça yürürlükten kaldırıldı.</w:t>
            </w:r>
          </w:p>
        </w:tc>
      </w:tr>
      <w:tr>
        <w:trPr>
          <w:cantSplit/>
        </w:trPr>
        <w:tc>
          <w:tcPr>
            <w:tcW w:type="dxa" w:w="1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2026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IMO III 12</w:t>
            </w:r>
          </w:p>
        </w:tc>
        <w:tc>
          <w:tcPr>
            <w:tcW w:type="dxa" w:w="635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Uygulama rehberlerinin kapsamlı revizyonu başladı; dijital SMS, risk bazlı yaklaşım ve idari yükün azaltılması gündemde.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468"/>
      </w:tblGrid>
      <w:tr>
        <w:tc>
          <w:tcPr>
            <w:tcW w:type="dxa" w:w="4961"/>
            <w:shd w:fill="C78B0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FFF2C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alloutTitle"/>
            </w:pPr>
            <w:r>
              <w:t>Çok önemli versiyon notu</w:t>
            </w:r>
          </w:p>
          <w:p>
            <w:pPr>
              <w:spacing w:after="0"/>
            </w:pPr>
            <w:r>
              <w:t>2023 tarihli A.1188(33), A.1118(30)’u açıkça yürürlükten kaldırır. Bu nedenle “güncel İdare uygulama rehberi = A.1118” şeklindeki eski kayıtlar versiyon kontrolünde düzeltilmelidir.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t>2026’daki çalışma, Kod’un bugün geçersiz olduğu anlamına gelmez. Mevcut Kod ve A.1188(33) yürürlüktedir; IMO, gelecekteki uygulama rehberini daha etkili, dijital sistemlerle uyumlu ve risk bazlı hale getirmek için revizyon yürütmektedir.</w:t>
      </w:r>
    </w:p>
    <w:p>
      <w:pPr>
        <w:pStyle w:val="Source"/>
        <w:spacing w:before="40" w:after="100"/>
        <w:widowControl/>
      </w:pPr>
      <w:r>
        <w:rPr>
          <w:b/>
        </w:rPr>
        <w:t xml:space="preserve">Kaynak notu: </w:t>
      </w:r>
      <w:r>
        <w:t>IMO ISM Code; A.1188(33); III 12 toplantı özeti (20–24 Temmuz 2026).</w:t>
      </w:r>
    </w:p>
    <w:p>
      <w:pPr>
        <w:pStyle w:val="Heading1"/>
        <w:keepNext/>
        <w:widowControl/>
      </w:pPr>
      <w:r>
        <w:t>3. Kapsam: Hangi gemilere / işletmecilere uygulanır?</w:t>
      </w:r>
    </w:p>
    <w:p>
      <w:pPr>
        <w:pStyle w:val="Lead"/>
        <w:widowControl/>
      </w:pPr>
      <w:r>
        <w:t>Kodun 1.3 maddesi “gereklilikler tüm gemilere uygulanabilir” der; ancak hukuki zorunluluk SOLAS Chapter IX, bayrak devleti mevzuatı ve bazı ulusal genişletmeler üzerinden belirlenir. Dolayısıyla “ISM her gemide zorunludur” veya “römorkör ISM dışıdır” şeklinde iki uç genelleme de hatalıdır.</w:t>
      </w:r>
    </w:p>
    <w:p>
      <w:pPr>
        <w:pStyle w:val="Heading2"/>
        <w:keepNext/>
        <w:widowControl/>
      </w:pPr>
      <w:r>
        <w:t>Uluslararası zorunluluğun ana mantığı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Uluslararası sefer yapan yolcu gemileri (yüksek süratli yolcu gemileri dahil) ISM kapsamındadır.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Belirli yük gemisi tipleri ve 500 GT ve üzeri diğer yük gemileri ile mekanik tahrikli MODU’lar SOLAS IX kapsamına göre zorunlu hale gelir.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Şirketin DOC kapsamı gemi tipi bazında tanımlanır; yeni gemi tipi ancak şirketin o tipte SMS işletme kabiliyeti doğrulandıktan sonra eklenir.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Bayrak devleti ulusal seferler için ISM benzeri veya doğrudan ISM yükümlülüğünü daha geniş uygulayabilir.</w:t>
      </w:r>
    </w:p>
    <w:p>
      <w:pPr>
        <w:pStyle w:val="Heading2"/>
        <w:keepNext/>
        <w:widowControl/>
      </w:pPr>
      <w:r>
        <w:t>Römorkör için doğru yaklaşım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468"/>
      </w:tblGrid>
      <w:tr>
        <w:tc>
          <w:tcPr>
            <w:tcW w:type="dxa" w:w="4961"/>
            <w:shd w:fill="C78B0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FFF2C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alloutTitle"/>
            </w:pPr>
            <w:r>
              <w:t>Römorkör = otomatik “evet/hayır” değil</w:t>
            </w:r>
          </w:p>
          <w:p>
            <w:pPr>
              <w:spacing w:after="0"/>
            </w:pPr>
            <w:r>
              <w:t>Römorkörün ISM zorunluluğu; gemi tipi / resmi sınıflandırma, GT, uluslararası veya ulusal sefer, bayrak, ticari kullanım, yerel mevzuat ve İdare uygulamasına göre belirlenmelidir. Üründe tek bir “tug = ISM mandatory” kuralı kurmak doğru değildir.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Uygulanabilirlik girdisi</w:t>
            </w:r>
          </w:p>
        </w:tc>
        <w:tc>
          <w:tcPr>
            <w:tcW w:type="dxa" w:w="3458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Neden önemli?</w:t>
            </w:r>
          </w:p>
        </w:tc>
        <w:tc>
          <w:tcPr>
            <w:tcW w:type="dxa" w:w="3742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Sistemde tutulması gereken veri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Bayrak</w:t>
            </w:r>
          </w:p>
        </w:tc>
        <w:tc>
          <w:tcPr>
            <w:tcW w:type="dxa" w:w="345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SOLAS ve ulusal uygulama bayrak devletince yürütülür.</w:t>
            </w:r>
          </w:p>
        </w:tc>
        <w:tc>
          <w:tcPr>
            <w:tcW w:type="dxa" w:w="374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Flag State + kaynak/versiyon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Gemi tipi / statutory type</w:t>
            </w:r>
          </w:p>
        </w:tc>
        <w:tc>
          <w:tcPr>
            <w:tcW w:type="dxa" w:w="345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DOC ship type ve SOLAS kategori değerlendirmesini etkiler.</w:t>
            </w:r>
          </w:p>
        </w:tc>
        <w:tc>
          <w:tcPr>
            <w:tcW w:type="dxa" w:w="374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Ship type + class/statutory mapping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GT</w:t>
            </w:r>
          </w:p>
        </w:tc>
        <w:tc>
          <w:tcPr>
            <w:tcW w:type="dxa" w:w="345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500 GT eşiği birçok ISM/SOLAS kapsam kararında kritiktir.</w:t>
            </w:r>
          </w:p>
        </w:tc>
        <w:tc>
          <w:tcPr>
            <w:tcW w:type="dxa" w:w="374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Gross tonnage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Sefer tipi</w:t>
            </w:r>
          </w:p>
        </w:tc>
        <w:tc>
          <w:tcPr>
            <w:tcW w:type="dxa" w:w="345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Uluslararası / ulusal sefer farklı yükümlülük doğurabilir.</w:t>
            </w:r>
          </w:p>
        </w:tc>
        <w:tc>
          <w:tcPr>
            <w:tcW w:type="dxa" w:w="374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Voyage regime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Kullanım</w:t>
            </w:r>
          </w:p>
        </w:tc>
        <w:tc>
          <w:tcPr>
            <w:tcW w:type="dxa" w:w="345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Ticari / devlet / diğer statüler istisna veya farklı rejim yaratabilir.</w:t>
            </w:r>
          </w:p>
        </w:tc>
        <w:tc>
          <w:tcPr>
            <w:tcW w:type="dxa" w:w="374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Operating status / purpose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Ulusal kural</w:t>
            </w:r>
          </w:p>
        </w:tc>
        <w:tc>
          <w:tcPr>
            <w:tcW w:type="dxa" w:w="345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Bayrak devleti kapsamı SOLAS minimumunun ötesine taşıyabilir.</w:t>
            </w:r>
          </w:p>
        </w:tc>
        <w:tc>
          <w:tcPr>
            <w:tcW w:type="dxa" w:w="374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National rule pack + effective date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DOC kapsamı</w:t>
            </w:r>
          </w:p>
        </w:tc>
        <w:tc>
          <w:tcPr>
            <w:tcW w:type="dxa" w:w="345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Şirketin uygunluk belgesinin gemi tipini kapsaması gerekir.</w:t>
            </w:r>
          </w:p>
        </w:tc>
        <w:tc>
          <w:tcPr>
            <w:tcW w:type="dxa" w:w="374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DOC ship type scope</w:t>
            </w:r>
          </w:p>
        </w:tc>
      </w:tr>
    </w:tbl>
    <w:p>
      <w:pPr>
        <w:spacing w:after="0"/>
        <w:widowControl/>
      </w:pPr>
    </w:p>
    <w:p>
      <w:pPr>
        <w:pStyle w:val="Source"/>
        <w:spacing w:before="40" w:after="100"/>
        <w:widowControl/>
      </w:pPr>
      <w:r>
        <w:rPr>
          <w:b/>
        </w:rPr>
        <w:t xml:space="preserve">Kaynak notu: </w:t>
      </w:r>
      <w:r>
        <w:t>SOLAS IX/IMO uygulama kaynakları ve Türk Bayraklı Gemiler için ISM Yönetmeliği Madde 2.</w:t>
      </w:r>
    </w:p>
    <w:p>
      <w:pPr>
        <w:pStyle w:val="Heading1"/>
        <w:keepNext/>
        <w:widowControl/>
      </w:pPr>
      <w:r>
        <w:t>4. Temel kavramlar ve roller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Terim</w:t>
            </w:r>
          </w:p>
        </w:tc>
        <w:tc>
          <w:tcPr>
            <w:tcW w:type="dxa" w:w="289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Kısa anlam</w:t>
            </w:r>
          </w:p>
        </w:tc>
        <w:tc>
          <w:tcPr>
            <w:tcW w:type="dxa" w:w="487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Bilmen gereken kritik nokta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SMS / EYS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Safety Management System / Emniyet Yönetimi Sistemi</w:t>
            </w:r>
          </w:p>
        </w:tc>
        <w:tc>
          <w:tcPr>
            <w:tcW w:type="dxa" w:w="48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Politika + prosedür + rol + kayıt + kanıt + audit + öğrenme mekanizmasının tamamıdır.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Company / İşletmeci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Operasyon sorumluluğunu ve Kod yükümlülüklerini üstlenen kuruluş/kişi</w:t>
            </w:r>
          </w:p>
        </w:tc>
        <w:tc>
          <w:tcPr>
            <w:tcW w:type="dxa" w:w="48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Shipowner olmak zorunda değildir; manager/bareboat charterer olabilir.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Administration / İdare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Geminin bayrak devletinin yetkili idaresi</w:t>
            </w:r>
          </w:p>
        </w:tc>
        <w:tc>
          <w:tcPr>
            <w:tcW w:type="dxa" w:w="48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DOC/SMC doğrulama ve belgelendirme sorumluluğu İdarededir; RO’ya yetki devredebilir.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DPA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Designated Person Ashore / Atanmış Kişi</w:t>
            </w:r>
          </w:p>
        </w:tc>
        <w:tc>
          <w:tcPr>
            <w:tcW w:type="dxa" w:w="48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Gemi–şirket köprüsü; emniyeti izler, kaynak/sahil desteğini güvence altına alır, üst yönetime doğrudan erişir.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Master / Kaptan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Geminin emniyetli işletiminden sorumlu gemi otoritesi</w:t>
            </w:r>
          </w:p>
        </w:tc>
        <w:tc>
          <w:tcPr>
            <w:tcW w:type="dxa" w:w="48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Emniyet ve kirlilik önlemede overriding authority açıkça tanımlanmalıdır.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DOC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Document of Compliance</w:t>
            </w:r>
          </w:p>
        </w:tc>
        <w:tc>
          <w:tcPr>
            <w:tcW w:type="dxa" w:w="48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Şirketin ISM uygunluk belgesidir; gemi tipleriyle sınırlıdır.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SMC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Safety Management Certificate</w:t>
            </w:r>
          </w:p>
        </w:tc>
        <w:tc>
          <w:tcPr>
            <w:tcW w:type="dxa" w:w="48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Belirli geminin ve şirket/gemi yönetiminin onaylı SMS’e uygun çalıştığını gösterir.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Objective evidence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Objektif kanıt</w:t>
            </w:r>
          </w:p>
        </w:tc>
        <w:tc>
          <w:tcPr>
            <w:tcW w:type="dxa" w:w="48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Doğrulanabilir kayıt, gözlem, ölçüm, test veya uygulama kanıtıdır.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Non-conformity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Uygunsuzluk</w:t>
            </w:r>
          </w:p>
        </w:tc>
        <w:tc>
          <w:tcPr>
            <w:tcW w:type="dxa" w:w="48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Belirli bir gerekliliğin karşılanmadığını gösteren gözlemlenmiş durumdur.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Major non-conformity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Büyük uygunsuzluk</w:t>
            </w:r>
          </w:p>
        </w:tc>
        <w:tc>
          <w:tcPr>
            <w:tcW w:type="dxa" w:w="48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İnsan/gemi/çevre için ciddi tehdit oluşturan ve acil düzeltme gerektiren durum VEYA zorunlu gerekliliklerin etkili/sistematik uygulanmadığını gösteren ciddi eksiklik.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Yetki zincirinde unutulmaması gereken iki kural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468"/>
      </w:tblGrid>
      <w:tr>
        <w:tc>
          <w:tcPr>
            <w:tcW w:type="dxa" w:w="4961"/>
            <w:shd w:fill="0F6B7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E2F0D9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alloutTitle"/>
            </w:pPr>
            <w:r>
              <w:t>1 — DPA’nın erişimi</w:t>
            </w:r>
          </w:p>
          <w:p>
            <w:pPr>
              <w:spacing w:after="0"/>
            </w:pPr>
            <w:r>
              <w:t>DPA’nın yalnızca “bildirim alan kullanıcı” olması yetmez. Kritik emniyet konularında şirketin en üst yönetimine doğrudan erişebilmelidir. Dijital sistem escalation yolunu daraltmamalıdır.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468"/>
      </w:tblGrid>
      <w:tr>
        <w:tc>
          <w:tcPr>
            <w:tcW w:type="dxa" w:w="4961"/>
            <w:shd w:fill="0F6B7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E2F0D9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alloutTitle"/>
            </w:pPr>
            <w:r>
              <w:t>2 — Master/Tug Master otoritesi</w:t>
            </w:r>
          </w:p>
          <w:p>
            <w:pPr>
              <w:spacing w:after="0"/>
            </w:pPr>
            <w:r>
              <w:t>SMS, Kaptanın emniyet ve kirliliğin önlenmesi için karar verme üstünlüğünü ve gerektiğinde şirketten yardım isteme yetkisini açıkça güvence altına almalıdır. Operasyon optimizasyonu, ticari öncelik veya AI önerisi bu yetkinin üzerine çıkamaz.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5. Part A — Bölüm 1–12 baştan sona</w:t>
      </w:r>
    </w:p>
    <w:p>
      <w:pPr>
        <w:pStyle w:val="Lead"/>
        <w:widowControl/>
      </w:pPr>
      <w:r>
        <w:t>Aşağıdaki tablo her bölüm için “Kod ne istiyor?”, “uygulamada ne demek?” ve “denetimde hangi kanıt beklenir?” sorularını birlikte cevaplar.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70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Bölüm</w:t>
            </w:r>
          </w:p>
        </w:tc>
        <w:tc>
          <w:tcPr>
            <w:tcW w:type="dxa" w:w="3005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Kodun ana beklentisi</w:t>
            </w:r>
          </w:p>
        </w:tc>
        <w:tc>
          <w:tcPr>
            <w:tcW w:type="dxa" w:w="3005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Uygulama yorumu</w:t>
            </w:r>
          </w:p>
        </w:tc>
        <w:tc>
          <w:tcPr>
            <w:tcW w:type="dxa" w:w="181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Tipik kanıt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§1 Genel / Amaç / Fonksiyonel Gereklilikler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Denizde emniyet, can kaybı/yaralanmanın önlenmesi, çevre ve mala zararın azaltılması; tüm tanımlanmış risklerin değerlendirilmesi; zorunlu kurallara uyum; SMS’in temel fonksiyonlarının kurulması.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Risk metodolojisi, mevzuat/applicability kontrolü, politika, görev/iletişim, olay raporlama, acil durum, audit ve management review omurgası.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Risk kayıtları; applicable law register; SMS kapsamı ve fonksiyonları.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§2 Emniyet ve Çevre Politikası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Şirket; hedeflere ulaşmayı, emniyet ve çevre koruma politikasını her seviyede uygulamayı ve sürdürmeyi sağlamalıdır.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Politika “PDF yayınlamak” değildir; gemi ve shore personelin anlayacağı, destekleyeceği ve uygulayacağı hale gelmelidir.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Onaylı politika, dağıtım/okuma kanıtı, eğitim/briefing, yönetim taahhüdü.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§3 Şirket Sorumluluğu ve Yetki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İşletmeci kimliği net olmalı; tüm SMS rollerinin sorumluluk, yetki ve ilişkileri tanımlanmalı; DPA için yeterli kaynak/sahil desteği sağlanmalı.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RACI, görev tanımları ve eskalasyon çizgileri gerçek organizasyonla eşleşmelidir. Delege edilen görev sorumluluğu yok etmez.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Organizasyon şeması, görev tanımları, yetki matrisi, kaynak planları, delegasyon kayıtları.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§4 DPA / Atanmış Kişi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Gemi ile şirket arasında bağ; gemi emniyeti ve kirlilik önleme performansını izleme; yeterli kaynak ve sahil desteğini sağlama; en üst yönetime doğrudan erişim.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DPA sadece “kalite sorumlusu” değildir; trendleri, geciken kritik aksiyonları, tekrar eden arızaları ve escalation gerektiren durumları görmelidir.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DPA ataması, yetki tanımı, escalation ve yönetim iletişim kayıtları, performans izleme.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§5 Kaptanın Sorumluluk ve Yetkisi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Politika uygulama, personeli motive etme, açık emir/talimat verme, gerekliliklere uyumu doğrulama, SMS’i periyodik gözden geçirip eksikleri raporlama; emniyette overriding authority.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Sistem kaptanın emniyet kararını “approval bekliyor” diyerek kilitlememeli. Ticari operasyon akışı güvenlik kararını geçersiz kılamaz.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Master responsibility statement, standing orders, review kayıtları, yardım/escalation kayıtları.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§6 Kaynaklar ve Personel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Yetkin, sertifikalı, tıbben uygun ve yeterli sayıda personel; SMS’e aşinalık; yeni/transfer personel için familiarization; gerekli eğitim; çalışma dilinde etkili iletişim.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Crewing yalnız sertifika expiry takip değildir. Pozisyon için eligibility + competence + familiarization + safe manning birlikte görülmelidir.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CoC/CoP/medical, safe manning, competence, training, familiarization, language/communication kanıtları.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§7 Gemi Operasyon Planları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Emniyet ve çevre açısından ana gemi operasyonları için prosedür, plan, talimat ve gerektiğinde checklist geliştirilmesi; görevlerin nitelikli personele atanması.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Prosedürler gemiye/operasyona özgü olmalıdır. Römorkaj, departure, bunkering, enclosed space vb. süreçler doğru risk ve checklist ile eşleşmelidir.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Onaylı prosedür/checklist, briefing, permit/risk kayıtları, görev/rol atamaları.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§8 Acil Durum Hazırlığı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Potansiyel acil durumları belirleme; müdahale prosedürleri; tatbikat ve egzersiz programları; şirketin her zaman müdahale organizasyonu.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Planın varlığı değil, uygulanabilirliği ve tatbikat sonrası öğrenme önemlidir. Shore-side response bağlantısı test edilmelidir.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Emergency plans, muster/drill records, response contact, scenario logs, post-drill actions.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§9 Uygunsuzluk / Kaza / Tehlikeli Olay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Uygunsuzluk, kaza ve tehlikeli durumların şirkete raporlanması; incelenmesi/analizi; düzeltici faaliyet ve tekrarın önlenmesi.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Near miss kültürü cezalandırıcı olmamalı; trend analizi ve kök neden sistemi olmalıdır. “Kayıt kapandı” etkinlik doğrulaması değildir.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Incident/near miss/NC kayıtları, investigation, RCA, CAPA, effectiveness check, trend analizi.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§10 Gemi ve Ekipman Bakımı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Gemi/ekipmanın mevzuata ve ek şirket gereksinimlerine uygun bakımı; periyodik inspection; arıza/uygunsuzluk raporu; corrective action; kayıt; kritik sistem ve standby tedbirleri.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PMS + defect + critical equipment tek zincirde olmalıdır. Kritik cihazın “standby test edildi” kanıtı önemlidir.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PMS work orders, inspection/test, defects, cause/action, critical equipment register, standby tests.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§11 Dokümantasyon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SMS ile ilgili doküman/verinin kontrolü; güncel versiyonların ilgili yerde bulunması; değişikliklerin gözden geçirilip yetkili onaylanması; obsolete dokümanın kaldırılması; gemide ilgili dokümanların bulunması.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Doküman kontrolü = version + approval + distribution + availability + acknowledgement + obsolete control. Offline erişim gemi ortamında kritik olabilir.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Controlled document register, revisions, approvals, distribution/acknowledgement, obsolete history.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§12 Şirket Doğrulama / Gözden Geçirme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Shore ve gemide iç emniyet auditleri; delege ISM görevlerinin doğrulanması; SMS etkinliğinin periyodik değerlendirmesi; bulguların ilgili kişilere iletilmesi; zamanında düzeltme.</w:t>
            </w:r>
          </w:p>
        </w:tc>
        <w:tc>
          <w:tcPr>
            <w:tcW w:type="dxa" w:w="300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Audit “checklist tamamlandı” değildir. Bağımsızlık, bulgu takibi, tekrar eden nedenler ve management review kararları görünür olmalıdır.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5"/>
              </w:rPr>
              <w:t>Audit plan/report, auditor independence, findings/CAPA, management review, effectiveness metrics.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§12 için özel zaman kuralı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468"/>
      </w:tblGrid>
      <w:tr>
        <w:tc>
          <w:tcPr>
            <w:tcW w:type="dxa" w:w="4961"/>
            <w:shd w:fill="C78B0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FFF2C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alloutTitle"/>
            </w:pPr>
            <w:r>
              <w:t>İç audit aralığı</w:t>
            </w:r>
          </w:p>
          <w:p>
            <w:pPr>
              <w:spacing w:after="0"/>
            </w:pPr>
            <w:r>
              <w:t>Şirket, gemide ve karada iç emniyet auditlerini 12 ayı aşmayan aralıklarla yapmalıdır. İstisnai durumda bu aralık en fazla 3 ay aşılabilir. Bu tarih kuralı yazılımda otomatik planlama/uyarı ve gerekçe kaydı ile yönetilmelidir.</w:t>
            </w:r>
          </w:p>
        </w:tc>
      </w:tr>
    </w:tbl>
    <w:p>
      <w:pPr>
        <w:spacing w:after="0"/>
        <w:widowControl/>
      </w:pPr>
    </w:p>
    <w:p>
      <w:pPr>
        <w:pStyle w:val="Source"/>
        <w:spacing w:before="40" w:after="100"/>
        <w:widowControl/>
      </w:pPr>
      <w:r>
        <w:rPr>
          <w:b/>
        </w:rPr>
        <w:t xml:space="preserve">Kaynak notu: </w:t>
      </w:r>
      <w:r>
        <w:t>MSC.273(85) §12 değişikliği; MSC.353(92) §6.2 ve yeni §12.2; A.1188(33) denetim etkinliği yaklaşımı.</w:t>
      </w:r>
    </w:p>
    <w:p>
      <w:pPr>
        <w:pStyle w:val="Heading1"/>
        <w:keepNext/>
        <w:widowControl/>
      </w:pPr>
      <w:r>
        <w:t>6. Part B — DOC / SMC ve belgelendirme</w:t>
      </w:r>
    </w:p>
    <w:p>
      <w:pPr>
        <w:pStyle w:val="Lead"/>
        <w:widowControl/>
      </w:pPr>
      <w:r>
        <w:t>Part B, SMS’in “sertifika yaşam döngüsü” tarafıdır. Şirket için DOC, gemi için SMC bulunur. Bunların süreleri, ara doğrulamaları ve büyük uygunsuzlukla ilişkili yaptırımları sistematik olarak yönetilmelidir.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Konu</w:t>
            </w:r>
          </w:p>
        </w:tc>
        <w:tc>
          <w:tcPr>
            <w:tcW w:type="dxa" w:w="4592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Kuralın özeti</w:t>
            </w:r>
          </w:p>
        </w:tc>
        <w:tc>
          <w:tcPr>
            <w:tcW w:type="dxa" w:w="306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Operasyonel takip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DOC geçerliliği</w:t>
            </w:r>
          </w:p>
        </w:tc>
        <w:tc>
          <w:tcPr>
            <w:tcW w:type="dxa" w:w="45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Normal DOC azami 5 yıl; yalnız üzerinde açıkça belirtilen gemi tipleri için geçerlidir.</w:t>
            </w:r>
          </w:p>
        </w:tc>
        <w:tc>
          <w:tcPr>
            <w:tcW w:type="dxa" w:w="30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Bitiş tarihi + ship type scope + annual verification window.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DOC yıllık doğrulama</w:t>
            </w:r>
          </w:p>
        </w:tc>
        <w:tc>
          <w:tcPr>
            <w:tcW w:type="dxa" w:w="45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Her yıldönümü tarihinin ±3 ay penceresinde annual verification.</w:t>
            </w:r>
          </w:p>
        </w:tc>
        <w:tc>
          <w:tcPr>
            <w:tcW w:type="dxa" w:w="30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Window alarmı; audit planı; ship type evidence.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DOC geri çekilmesi</w:t>
            </w:r>
          </w:p>
        </w:tc>
        <w:tc>
          <w:tcPr>
            <w:tcW w:type="dxa" w:w="45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Yıllık doğrulama istenmezse veya Major NC varsa DOC geri çekilebilir; ilişkili SMC’ler de etkilenir.</w:t>
            </w:r>
          </w:p>
        </w:tc>
        <w:tc>
          <w:tcPr>
            <w:tcW w:type="dxa" w:w="30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Company-wide impact / cascade risk.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SMC geçerliliği</w:t>
            </w:r>
          </w:p>
        </w:tc>
        <w:tc>
          <w:tcPr>
            <w:tcW w:type="dxa" w:w="45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Normal SMC azami 5 yıl; şirket ve gemi yönetiminin onaylı SMS’e uygun çalıştığı doğrulanır.</w:t>
            </w:r>
          </w:p>
        </w:tc>
        <w:tc>
          <w:tcPr>
            <w:tcW w:type="dxa" w:w="30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Certificate lifecycle + ship association.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SMC ara doğrulama</w:t>
            </w:r>
          </w:p>
        </w:tc>
        <w:tc>
          <w:tcPr>
            <w:tcW w:type="dxa" w:w="45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5 yıllık dönemde tek intermediate yapılacaksa 2. ve 3. yıldönümleri arasında.</w:t>
            </w:r>
          </w:p>
        </w:tc>
        <w:tc>
          <w:tcPr>
            <w:tcW w:type="dxa" w:w="30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Intermediate audit window.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SMC geri çekilmesi</w:t>
            </w:r>
          </w:p>
        </w:tc>
        <w:tc>
          <w:tcPr>
            <w:tcW w:type="dxa" w:w="45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Gerekli intermediate verification istenmezse veya Major NC varsa geri çekilebilir.</w:t>
            </w:r>
          </w:p>
        </w:tc>
        <w:tc>
          <w:tcPr>
            <w:tcW w:type="dxa" w:w="30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Operational stop/compliance escalation.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Interim DOC</w:t>
            </w:r>
          </w:p>
        </w:tc>
        <w:tc>
          <w:tcPr>
            <w:tcW w:type="dxa" w:w="45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Yeni şirket veya yeni ship type için; normalde azami 12 ay.</w:t>
            </w:r>
          </w:p>
        </w:tc>
        <w:tc>
          <w:tcPr>
            <w:tcW w:type="dxa" w:w="30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Transition plan to full DOC.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Interim SMC</w:t>
            </w:r>
          </w:p>
        </w:tc>
        <w:tc>
          <w:tcPr>
            <w:tcW w:type="dxa" w:w="45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Yeni teslim gemi, şirketin yeni devraldığı gemi veya bayrak değişiminde; normalde azami 6 ay.</w:t>
            </w:r>
          </w:p>
        </w:tc>
        <w:tc>
          <w:tcPr>
            <w:tcW w:type="dxa" w:w="30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Essential instructions + familiarization + internal audit plan.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Interim SMC uzatma</w:t>
            </w:r>
          </w:p>
        </w:tc>
        <w:tc>
          <w:tcPr>
            <w:tcW w:type="dxa" w:w="45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Özel durumda ilave azami 6 ay verilebilir.</w:t>
            </w:r>
          </w:p>
        </w:tc>
        <w:tc>
          <w:tcPr>
            <w:tcW w:type="dxa" w:w="30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Administration approval/evidence.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Renewal</w:t>
            </w:r>
          </w:p>
        </w:tc>
        <w:tc>
          <w:tcPr>
            <w:tcW w:type="dxa" w:w="45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Bitişten önce; normalde son 3 ay içinde yapılabilir. Geç/erken tamamlanma için özel geçerlilik hesapları vardır.</w:t>
            </w:r>
          </w:p>
        </w:tc>
        <w:tc>
          <w:tcPr>
            <w:tcW w:type="dxa" w:w="30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Certificate engine should calculate rule-based validity, not manual date entry only.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Gemi port dışında ise</w:t>
            </w:r>
          </w:p>
        </w:tc>
        <w:tc>
          <w:tcPr>
            <w:tcW w:type="dxa" w:w="45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SMC bitişinde doğrulama limanında değilse İdare, sadece seferi tamamlama amacıyla azami 3 ay uzatabilir; varış sonrası yeni SMC olmadan ayrılamaz.</w:t>
            </w:r>
          </w:p>
        </w:tc>
        <w:tc>
          <w:tcPr>
            <w:tcW w:type="dxa" w:w="30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Voyage-specific extension + hard gate / alert.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Interim SMC öncesi minimum mantık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Şirketin ilgili gemi tipini kapsayan DOC/Interim DOC ilişkisi bulunmalıdır.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SMS’in temel unsurları gemide sağlanmış olmalıdır.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Kaptan ve ilgili üst zabitler SMS ve uygulanacak düzenlemeler hakkında bilgi sahibi olmalıdır.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Geminin seyre çıkmasından önce verilmesi gereken esas talimatlar sağlanmalıdır.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İç audit planlanmış olmalıdır (Kodun güncel metninde bu koşul açıkça yer alır).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SMS bilgileri çalışma personelinin anlayacağı dilde sunulmalıdır.</w:t>
      </w:r>
    </w:p>
    <w:p>
      <w:pPr>
        <w:pStyle w:val="Heading2"/>
        <w:keepNext/>
        <w:widowControl/>
      </w:pPr>
      <w:r>
        <w:t>Belgelendirme akışını böyle düşün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70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Aşama</w:t>
            </w:r>
          </w:p>
        </w:tc>
        <w:tc>
          <w:tcPr>
            <w:tcW w:type="dxa" w:w="289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Şirket (DOC)</w:t>
            </w:r>
          </w:p>
        </w:tc>
        <w:tc>
          <w:tcPr>
            <w:tcW w:type="dxa" w:w="289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Gemi (SMC)</w:t>
            </w:r>
          </w:p>
        </w:tc>
        <w:tc>
          <w:tcPr>
            <w:tcW w:type="dxa" w:w="187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Ana çıktı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1. Kurulum / geçiş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Interim DOC gerekebilir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Interim SMC gerekebilir</w:t>
            </w:r>
          </w:p>
        </w:tc>
        <w:tc>
          <w:tcPr>
            <w:tcW w:type="dxa" w:w="187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SMS devreye alma + minimum readiness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2. Initial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Company audit + en az 3 aylık uygulama kanıtı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Ship audit + en az 3 aylık gemi uygulaması</w:t>
            </w:r>
          </w:p>
        </w:tc>
        <w:tc>
          <w:tcPr>
            <w:tcW w:type="dxa" w:w="187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DOC + SMC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3. Süreklilik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Annual verification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Intermediate verification</w:t>
            </w:r>
          </w:p>
        </w:tc>
        <w:tc>
          <w:tcPr>
            <w:tcW w:type="dxa" w:w="187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Sistemin etkin çalıştığının doğrulanması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4. Renewal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5 yıl bitmeden renewal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5 yıl bitmeden renewal</w:t>
            </w:r>
          </w:p>
        </w:tc>
        <w:tc>
          <w:tcPr>
            <w:tcW w:type="dxa" w:w="187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Yeni geçerlilik dönemi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5. Olay bazlı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Additional verification olabilir</w:t>
            </w:r>
          </w:p>
        </w:tc>
        <w:tc>
          <w:tcPr>
            <w:tcW w:type="dxa" w:w="28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PSC detention / reactivation / corrective check sonrası olabilir</w:t>
            </w:r>
          </w:p>
        </w:tc>
        <w:tc>
          <w:tcPr>
            <w:tcW w:type="dxa" w:w="187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Ek güvence / risk bazlı doğrulama</w:t>
            </w:r>
          </w:p>
        </w:tc>
      </w:tr>
    </w:tbl>
    <w:p>
      <w:pPr>
        <w:spacing w:after="0"/>
        <w:widowControl/>
      </w:pPr>
    </w:p>
    <w:p>
      <w:pPr>
        <w:pStyle w:val="Source"/>
        <w:spacing w:before="40" w:after="100"/>
        <w:widowControl/>
      </w:pPr>
      <w:r>
        <w:rPr>
          <w:b/>
        </w:rPr>
        <w:t xml:space="preserve">Kaynak notu: </w:t>
      </w:r>
      <w:r>
        <w:t>ISM Code Part B ve A.1188(33) §4.1–4.7.</w:t>
      </w:r>
    </w:p>
    <w:p>
      <w:pPr>
        <w:pStyle w:val="Heading1"/>
        <w:keepNext/>
        <w:widowControl/>
      </w:pPr>
      <w:r>
        <w:t>7. Denetim mantığı: objektif kanıt, etkinlik ve uygunsuzluk</w:t>
      </w:r>
    </w:p>
    <w:p>
      <w:pPr>
        <w:pStyle w:val="Lead"/>
        <w:widowControl/>
      </w:pPr>
      <w:r>
        <w:t>A.1188(33)’ün en önemli mesajlarından biri şudur: denetçi yalnız “prosedür var mı?” diye bakmamalı; SMS’in hedeflere ulaşmada gerçekten etkili olup olmadığını objektif kanıtla değerlendirmelidir. Operasyonların gemiye özgü olması ve kayıtların gerçek uygulamayı göstermesi beklenir.</w:t>
      </w:r>
    </w:p>
    <w:p>
      <w:pPr>
        <w:pStyle w:val="Heading2"/>
        <w:keepNext/>
        <w:widowControl/>
      </w:pPr>
      <w:r>
        <w:t>Denetçi hangi kanıt katmanlarına bakar?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Kanıt katmanı</w:t>
            </w:r>
          </w:p>
        </w:tc>
        <w:tc>
          <w:tcPr>
            <w:tcW w:type="dxa" w:w="4082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Örnek</w:t>
            </w:r>
          </w:p>
        </w:tc>
        <w:tc>
          <w:tcPr>
            <w:tcW w:type="dxa" w:w="3572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Denetim sorusu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1. Kural / gereklilik</w:t>
            </w:r>
          </w:p>
        </w:tc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ISM, SOLAS, bayrak, klas, şirket kuralı</w:t>
            </w:r>
          </w:p>
        </w:tc>
        <w:tc>
          <w:tcPr>
            <w:tcW w:type="dxa" w:w="35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Bu gereklilik applicable mı?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2. Prosedür / kontrol</w:t>
            </w:r>
          </w:p>
        </w:tc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SMS procedure, checklist, permit, risk control</w:t>
            </w:r>
          </w:p>
        </w:tc>
        <w:tc>
          <w:tcPr>
            <w:tcW w:type="dxa" w:w="35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Şirket bunu nasıl kontrol etmeyi taahhüt ediyor?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3. Uygulama</w:t>
            </w:r>
          </w:p>
        </w:tc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Gerçek operasyon kaydı, iş emri, briefing, drill</w:t>
            </w:r>
          </w:p>
        </w:tc>
        <w:tc>
          <w:tcPr>
            <w:tcW w:type="dxa" w:w="35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Taahhüt edilen kontrol sahada/gemide uygulanıyor mu?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4. Objektif kanıt</w:t>
            </w:r>
          </w:p>
        </w:tc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Log, imza, ölçüm, test, foto/rapor, audit trail</w:t>
            </w:r>
          </w:p>
        </w:tc>
        <w:tc>
          <w:tcPr>
            <w:tcW w:type="dxa" w:w="35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Uygulama doğrulanabilir mi?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5. Sonuç / etkinlik</w:t>
            </w:r>
          </w:p>
        </w:tc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Repeat NC, KPI, incident trend, closure effectiveness</w:t>
            </w:r>
          </w:p>
        </w:tc>
        <w:tc>
          <w:tcPr>
            <w:tcW w:type="dxa" w:w="35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Kontrol riski azaltıyor mu; tekrar var mı?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6. Yönetim öğrenmesi</w:t>
            </w:r>
          </w:p>
        </w:tc>
        <w:tc>
          <w:tcPr>
            <w:tcW w:type="dxa" w:w="408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Management review kararı, kaynak tahsisi, politika/prosedür revizyonu</w:t>
            </w:r>
          </w:p>
        </w:tc>
        <w:tc>
          <w:tcPr>
            <w:tcW w:type="dxa" w:w="35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Sistem kendini iyileştiriyor mu?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Initial certification için 3 aylık kanıt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468"/>
      </w:tblGrid>
      <w:tr>
        <w:tc>
          <w:tcPr>
            <w:tcW w:type="dxa" w:w="4961"/>
            <w:shd w:fill="C78B0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FFF2C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alloutTitle"/>
            </w:pPr>
            <w:r>
              <w:t>Kritik şart</w:t>
            </w:r>
          </w:p>
          <w:p>
            <w:pPr>
              <w:spacing w:after="0"/>
            </w:pPr>
            <w:r>
              <w:t>A.1188(33), initial doğrulamada şirket SMS’inin en az 3 aydır işletildiğine ve şirketin işlettiği her gemi tipinden en az bir gemide SMS’in en az 3 aydır uygulandığına ilişkin objektif kanıt ister. Gemi ve shore tarafında iç audit kayıtları da kanıt paketine dahildir.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Bulguların yönetimi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Major NC: ciddi risk/acil düzeltme veya etkin-sistematik uygulamanın ciddi eksikliği; sertifikaya doğrudan etki edebilir.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NC: belirli gerekliliğin karşılanmadığı objektif olarak gösterilmiştir; neden + corrective action + takip gerekir.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Observation: denetçinin dikkat çektiği, ileride uygunsuzluğa dönüşebilecek veya iyileştirme gerektiren alan olabilir.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Corrective action yalnız “semptom kapatma” değil, nedenin ortadan kaldırılması ve tekrarın önlenmesini içermelidir.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A.1188, normal takip aksiyonlarının mümkün olduğunda üç ay içinde tamamlanmasını öngören denetim yaklaşımı içerir; kritik durumlarda daha kısa süre gerekebilir.</w:t>
      </w:r>
    </w:p>
    <w:p>
      <w:pPr>
        <w:pStyle w:val="Heading2"/>
        <w:keepNext/>
        <w:widowControl/>
      </w:pPr>
      <w:r>
        <w:t>Remote audit</w:t>
      </w:r>
    </w:p>
    <w:p>
      <w:pPr>
        <w:widowControl/>
      </w:pPr>
      <w:r>
        <w:t>A.1188(33), olağanüstü koşullarda ve case-by-case değerlendirmeyle uzaktan denetim kullanılabilmesine ilişkin çerçeve içerir. Bu, normal şartlarda shipboard initial/intermediate/renewal/additional auditlerin fiziksel niteliğini “tamamen dijital denetimle” otomatik olarak değiştiren genel bir muafiyet değildir. Dijital kanıt sistemi; canlı görüntü, güvenli doküman paylaşımı, kayıt bütünlüğü ve yetkili erişim gibi ihtiyaçları desteklemelidir.</w:t>
      </w:r>
    </w:p>
    <w:p>
      <w:pPr>
        <w:pStyle w:val="Heading1"/>
        <w:keepNext/>
        <w:widowControl/>
      </w:pPr>
      <w:r>
        <w:t>8. Denetimde hazır bulunması gereken kayıt / kanıtlar</w:t>
      </w:r>
    </w:p>
    <w:p>
      <w:pPr>
        <w:pStyle w:val="Lead"/>
        <w:widowControl/>
      </w:pPr>
      <w:r>
        <w:t>Aşağıdaki liste ISM’de tek bir “zorunlu form listesi” olarak geçmez. Kod fonksiyonel ve risk bazlıdır. Ancak SMS’in çalıştığını ispatlamak için pratikte bu kanıt ailelerinin kontrol altında olması gerekir.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Kanıt ailesi</w:t>
            </w:r>
          </w:p>
        </w:tc>
        <w:tc>
          <w:tcPr>
            <w:tcW w:type="dxa" w:w="737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Asgari içerik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Yönetim ve politika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Emniyet/çevre politikası; hedefler; üst yönetim onayı; SMS kapsamı; organizasyon şeması; görev/yetki tanımları.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DPA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Atama; yetkinlik; doğrudan yönetim erişimi; gemi raporları; escalation; kaynak talepleri ve takip.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Master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Master responsibility/authority statement; standing orders; SMS review; assistance requests; safety decisions.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Risk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Risk assessment / JSA / TRA; hazard register; kontrol tedbirleri; değişiklik sonrası yeniden değerlendirme.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Crew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Safe manning; sertifika/medical; competence; familiarization; training; toolbox/briefing; language/communication.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Operasyon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Operasyon prosedürleri; checklists; permits; voyage/departure readiness; römorkaj/brifing; kritik iş onayları.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Acil durum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Emergency plans; contact lists; drill matrix; tatbikat kayıtları; performans değerlendirmesi; lessons learned.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Olay / NC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Incident/accident/near miss/NC; investigation; RCA; CAPA; due date; owner; verification; recurrence/effectiveness.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PMS / teknik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Maintenance schedules; work orders; defects; inspections; test/calibration; critical equipment register; standby tests.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Doküman kontrol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Master list; versiyon; değişiklik/onay; dağıtım; acknowledgement; obsolete/withdrawn doküman kayıtları.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Audit / review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Internal audit plan/report; findings; auditor independence; corrective action; management review minutes/decisions.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Sertifikalar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DOC, SMC, Interim DOC/SMC; annual/intermediate/renewal/additional verification; endorsements; scope.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Dış denetim / uyum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Flag/PSC/class findings; statutory/class certificates; corrective actions; incident/accident reports.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Cyber / dijital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Cyber risk controls in SMS; access roles; backup/recovery; audit log; change history; data integrity; offline/continuity.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468"/>
      </w:tblGrid>
      <w:tr>
        <w:tc>
          <w:tcPr>
            <w:tcW w:type="dxa" w:w="4961"/>
            <w:shd w:fill="0F6B7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E2F0D9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alloutTitle"/>
            </w:pPr>
            <w:r>
              <w:t>Altın kural</w:t>
            </w:r>
          </w:p>
          <w:p>
            <w:pPr>
              <w:spacing w:after="0"/>
            </w:pPr>
            <w:r>
              <w:t>Denetimde en güçlü kanıt, “doküman var” değil; Kural → Kontrol → Uygulama → Objektif Kanıt → Doğrulama → Sonuç/Etkinlik zincirinin kırılmadan izlenebilmesidir.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9. En kritik kırmızı bayraklar</w:t>
      </w:r>
    </w:p>
    <w:p>
      <w:pPr>
        <w:pStyle w:val="Lead"/>
        <w:widowControl/>
      </w:pPr>
      <w:r>
        <w:t>Aşağıdaki durumlar ISM sisteminin kağıt üzerinde kalmasına, tekrar eden uygunsuzluklara veya sertifika riskine yol açabilecek tipik işaretlerdir.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Prosedür ile gemideki gerçek uygulama farklı; personel “dokümanda öyle ama biz böyle yapıyoruz” diyor.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DPA kritik bulguları görüyor ancak üst yönetime doğrudan escalation kanıtı yok.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Master/Tug Master emniyet kararı ticari/operasyonel workflow onayına bağlanmış.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Risk değerlendirmeleri kopyala-yapıştır; gemi/operasyon/ekipman/koşul farkını yansıtmıyor.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Crew sertifikaları güncel ama pozisyon bazlı competence/familiarization eksik.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Near miss kayıtları yok denecek kadar az; raporlama kültürü çalışmıyor olabilir.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Tekrarlayan aynı arıza veya olay için CAPA kapanıyor fakat effectiveness verification yapılmıyor.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PMS’de kritik ekipman tanımı eksik; standby veya non-continuous equipment test kayıtları görünmüyor.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Güncel olmayan SMS dokümanları gemide dolaşımda; obsolete kontrolü zayıf.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İç audit takvimi 12 ayı aşmış ve istisnai 3 aylık uzatmanın gerekçesi yok.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Audit yapan kişi kendi yürüttüğü süreci kontrol ediyor ve bağımsızlık gerekçesi/önlemi yok.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DOC ship-type scope ile fiilen işletilen gemi tipi uyuşmuyor.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Annual/intermediate verification pencereleri manuel Excel takibi nedeniyle kaçırılma riski taşıyor.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PSC/class/flag bulguları SMS trend analizine ve management review’a bağlanmıyor.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Sistem “compliant” statüsünü kanıt/verifier olmadan otomatik üretiyor.</w:t>
      </w:r>
    </w:p>
    <w:p>
      <w:pPr>
        <w:pStyle w:val="Heading1"/>
        <w:keepNext/>
        <w:widowControl/>
      </w:pPr>
      <w:r>
        <w:t>10. Türkiye uygulaması ve römorkör açısından kritik notlar</w:t>
      </w:r>
    </w:p>
    <w:p>
      <w:pPr>
        <w:pStyle w:val="Lead"/>
        <w:widowControl/>
      </w:pPr>
      <w:r>
        <w:t>Türkiye’de temel ulusal kaynak, “Uluslararası Emniyet Yönetimi Kodunun Türk Bayraklı Gemilere ve İşletmecilerine Uygulanmasına Dair Yönetmelik”tir. Yönetmelik şirket ve gemi tabanlı EYS kurulmasını, sürdürülmesini ve İdare kontrolünü düzenler.</w:t>
      </w:r>
    </w:p>
    <w:p>
      <w:pPr>
        <w:pStyle w:val="Heading2"/>
        <w:keepNext/>
        <w:widowControl/>
      </w:pPr>
      <w:r>
        <w:t>Türk Yönetmeliği kapsamının özeti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6917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Kapsam grubu</w:t>
            </w:r>
          </w:p>
        </w:tc>
        <w:tc>
          <w:tcPr>
            <w:tcW w:type="dxa" w:w="272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Durum</w:t>
            </w:r>
          </w:p>
        </w:tc>
      </w:tr>
      <w:tr>
        <w:trPr>
          <w:cantSplit/>
        </w:trPr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Uluslararası sefer yapan yüksek süratli yolcu gemileri dahil tüm Türk bayraklı yolcu gemileri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Kapsamda</w:t>
            </w:r>
          </w:p>
        </w:tc>
      </w:tr>
      <w:tr>
        <w:trPr>
          <w:cantSplit/>
        </w:trPr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Uluslararası sefer yapan Türk bayraklı ≥500 GT petrol/kimyasal tanker, gaz taşıyıcı, dökme yük ve diğer yük gemileri (HSC dahil)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Kapsamda</w:t>
            </w:r>
          </w:p>
        </w:tc>
      </w:tr>
      <w:tr>
        <w:trPr>
          <w:cantSplit/>
        </w:trPr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Uluslararası sefer yapan Türk bayraklı ≥500 GT hareketli açık deniz sondaj üniteleri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Kapsamda</w:t>
            </w:r>
          </w:p>
        </w:tc>
      </w:tr>
      <w:tr>
        <w:trPr>
          <w:cantSplit/>
        </w:trPr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Ulusal sefer yapan hat iznine sahip yolcu gemileri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Kapsamda</w:t>
            </w:r>
          </w:p>
        </w:tc>
      </w:tr>
      <w:tr>
        <w:trPr>
          <w:cantSplit/>
        </w:trPr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Ulusal sefer yapan petrol/kimyasal tanker ve gaz taşıyıcılar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Kapsamda</w:t>
            </w:r>
          </w:p>
        </w:tc>
      </w:tr>
      <w:tr>
        <w:trPr>
          <w:cantSplit/>
        </w:trPr>
        <w:tc>
          <w:tcPr>
            <w:tcW w:type="dxa" w:w="69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Ticari amaçla kullanılmayan devlet gemileri, TSK gemileri ve balıkçı gemileri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Yönetmelik kapsamı dışında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Römorkör için sonuç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468"/>
      </w:tblGrid>
      <w:tr>
        <w:tc>
          <w:tcPr>
            <w:tcW w:type="dxa" w:w="4961"/>
            <w:shd w:fill="C78B0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FFF2C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alloutTitle"/>
            </w:pPr>
            <w:r>
              <w:t>Türkiye’de domestic tug için ayrıca applicability doğrula</w:t>
            </w:r>
          </w:p>
          <w:p>
            <w:pPr>
              <w:spacing w:after="0"/>
            </w:pPr>
            <w:r>
              <w:t>Yönetmeliğin açık kapsam listesinde “ulusal sefer yapan tüm römorkörler” şeklinde genel bir ifade yoktur. Bu nedenle römorkörün statutory tipi, GT’si, sefer rejimi, bayrak/İdare uygulaması, başka ulusal düzenlemeler ve işletmeci SMS tercihi birlikte incelenmelidir. Ürün kural motoru bunu case-by-case yönetmelidir.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2023/19 Uygulama Talimatı için versiyon uyarısı</w:t>
      </w:r>
    </w:p>
    <w:p>
      <w:pPr>
        <w:widowControl/>
      </w:pPr>
      <w:r>
        <w:t>UAB’nin 22.08.2023 tarihli 2023/19 Uygulama Talimatı ISM uygulamasında A.1118(30)’u referans göstermektedir. Ancak IMO A.1188(33)’ü 6 Aralık 2023’te kabul etmiş ve A.1118(30)’u açıkça yürürlükten kaldırmıştır. Bu kronoloji, yazılım ve mevzuat master’ında “kaynak versiyonu + yayın tarihi + yürürlük/iptal ilişkisi” tutulmasının neden zorunlu olduğunu iyi gösterir.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468"/>
      </w:tblGrid>
      <w:tr>
        <w:tc>
          <w:tcPr>
            <w:tcW w:type="dxa" w:w="4961"/>
            <w:shd w:fill="2F75B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EAF2F8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alloutTitle"/>
            </w:pPr>
            <w:r>
              <w:t>Ürün yönetişim kararı</w:t>
            </w:r>
          </w:p>
          <w:p>
            <w:pPr>
              <w:spacing w:after="0"/>
            </w:pPr>
            <w:r>
              <w:t>Türk kural paketinde 2023/19 “ulusal talimat” olarak tutulmalı; IMO implementation guide kaynağı ise A.1188(33) olarak ayrıca ve güncel statüyle tutulmalıdır. Çakışma/atf zinciri hukuk/flag uzmanına görünür olmalıdır.</w:t>
            </w:r>
          </w:p>
        </w:tc>
      </w:tr>
    </w:tbl>
    <w:p>
      <w:pPr>
        <w:spacing w:after="0"/>
        <w:widowControl/>
      </w:pPr>
    </w:p>
    <w:p>
      <w:pPr>
        <w:pStyle w:val="Source"/>
        <w:spacing w:before="40" w:after="100"/>
        <w:widowControl/>
      </w:pPr>
      <w:r>
        <w:rPr>
          <w:b/>
        </w:rPr>
        <w:t xml:space="preserve">Kaynak notu: </w:t>
      </w:r>
      <w:r>
        <w:t>T.C. UAB ISM Yönetmeliği; UAB Uygulama Talimatı 2023/19; IMO A.1188(33).</w:t>
      </w:r>
    </w:p>
    <w:p>
      <w:pPr>
        <w:pStyle w:val="Heading1"/>
        <w:keepNext/>
        <w:widowControl/>
      </w:pPr>
      <w:r>
        <w:t>11. Dijital SMS / yazılım için zorunlu tasarım ilkeleri</w:t>
      </w:r>
    </w:p>
    <w:p>
      <w:pPr>
        <w:pStyle w:val="Lead"/>
        <w:widowControl/>
      </w:pPr>
      <w:r>
        <w:t>Bir ISM yazılımının değeri “formları dijitale taşımak” değildir. Değer, emniyet yönetim zincirini kanıtlanabilir ve yönetilebilir hale getirmesidir. 2026 IMO çalışmalarında dijital Safety Management Systems açıkça gündemdedir.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Tasarım ilkesi</w:t>
            </w:r>
          </w:p>
        </w:tc>
        <w:tc>
          <w:tcPr>
            <w:tcW w:type="dxa" w:w="737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Beklenti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Applicability engine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Kaynak + versiyon + effective date + vessel profile üzerinden “neden uygulanıyor / neden uygulanmıyor” açıklanabilmeli.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Human authority gates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AI veya workflow; Master/Tug Master overriding authority, DPA escalation veya flag/RO kararını override edememeli.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Immutable audit trail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Kim-ne zaman-ne değiştirdi; approval/rejection; version; status history değiştirilemez iz bırakmalı.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Controlled documents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Versiyon, approval, distribution, acknowledgement, obsolete status, offline availability.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Evidence-first workflow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Her compliance sonucu kontrollere ve objektif kanıta bağlanmalı; “checkbox compliance” olmamalı.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Risk linkage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Hazard → risk → safeguard → procedure/checklist → evidence → incident/NC → CAPA → effectiveness zinciri.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Crew eligibility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Certificate + medical + competence + training + familiarization + safe manning tek karar katmanında.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Critical equipment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PMS ile defect/criticality/standby test/temporary safeguard birlikte görünmeli.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Audit &amp; CAPA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Audit finding → RCA → corrective action → verifier → effectiveness → recurrence trend.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Certificate calendar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DOC/SMC annual/intermediate/renewal windows kural motoruyla hesaplanmalı; hard alert ve escalation.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Offline/continuity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Gemide ağ yokken kritik SMS dokümanları/checklistler kullanılabilmeli; sonradan güvenli sync.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Cyber risk in SMS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Erişim, kimlik, yedekleme, recovery, data integrity, change control ve cyber event süreçleri SMS ile bağlanmalı.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Data segregation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Protected/confidential safety reporting ile performans/ödül mekanizmaları karıştırılmamalı.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No fake green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Kaynak/uygulanabilirlik/kanıt/verifier eksikse sistem otomatik GREEN/COMPLIANT vermemeli.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AI için sınır çizgisi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81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AI yapabilir</w:t>
            </w:r>
          </w:p>
        </w:tc>
        <w:tc>
          <w:tcPr>
            <w:tcW w:type="dxa" w:w="481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AI tek başına yapmamalı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Risk/hazard önerisi, benzer olay bulma, prosedür/kanıt arama, trend analizi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Legal applicability için nihai bağlayıcı karar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Eksik kanıt / yaklaşan deadline uyarısı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DOC/SMC/statutory approval verme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RCA hipotezi üretme ve benzer CAPA önerme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Master/Tug Master emniyet kararını geçersiz kılma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Management review için özet/trend hazırlama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DPA escalation kanalını filtreleme veya kapatma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Audit preparation pack oluşturma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7"/>
              </w:rPr>
              <w:t>Objektif kanıt olmadan “compliant” statüsü verme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12. POSEIDON için ISM → ekran / süreç / kanıt eşleştirmesi</w:t>
      </w:r>
    </w:p>
    <w:p>
      <w:pPr>
        <w:pStyle w:val="Lead"/>
        <w:widowControl/>
      </w:pPr>
      <w:r>
        <w:t>Gemi + Römorkör odaklı ürün için ISM’i ayrı bir “compliance ekranı” olarak değil, ürünün operasyonel omurgası olarak kurgulamak daha doğru olur. Aşağıdaki mapping minimum ürün kapsama rehberidir.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96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ISM</w:t>
            </w:r>
          </w:p>
        </w:tc>
        <w:tc>
          <w:tcPr>
            <w:tcW w:type="dxa" w:w="2608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POSEIDON alanı</w:t>
            </w:r>
          </w:p>
        </w:tc>
        <w:tc>
          <w:tcPr>
            <w:tcW w:type="dxa" w:w="4025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Ana veri / kanıt</w:t>
            </w:r>
          </w:p>
        </w:tc>
        <w:tc>
          <w:tcPr>
            <w:tcW w:type="dxa" w:w="204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İnsan doğrulama kapısı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§1</w:t>
            </w:r>
          </w:p>
        </w:tc>
        <w:tc>
          <w:tcPr>
            <w:tcW w:type="dxa" w:w="26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Regulatory Applicability + Risk Register + SMS Map</w:t>
            </w:r>
          </w:p>
        </w:tc>
        <w:tc>
          <w:tcPr>
            <w:tcW w:type="dxa" w:w="402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Vessel profile, source/version, risk, safeguard, applicable state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Legal/Flag/Compliance owner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§2</w:t>
            </w:r>
          </w:p>
        </w:tc>
        <w:tc>
          <w:tcPr>
            <w:tcW w:type="dxa" w:w="26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Policy &amp; Controlled Knowledge</w:t>
            </w:r>
          </w:p>
        </w:tc>
        <w:tc>
          <w:tcPr>
            <w:tcW w:type="dxa" w:w="402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Policy version, approval, acknowledgement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Top management / DPA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§3</w:t>
            </w:r>
          </w:p>
        </w:tc>
        <w:tc>
          <w:tcPr>
            <w:tcW w:type="dxa" w:w="26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Organization / RACI / Authority</w:t>
            </w:r>
          </w:p>
        </w:tc>
        <w:tc>
          <w:tcPr>
            <w:tcW w:type="dxa" w:w="402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Role, responsibility, delegation, resource support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Company management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§4</w:t>
            </w:r>
          </w:p>
        </w:tc>
        <w:tc>
          <w:tcPr>
            <w:tcW w:type="dxa" w:w="26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DPA Command Center</w:t>
            </w:r>
          </w:p>
        </w:tc>
        <w:tc>
          <w:tcPr>
            <w:tcW w:type="dxa" w:w="402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Escalation, unresolved critical items, ship safety trend, support request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DPA + top management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§5</w:t>
            </w:r>
          </w:p>
        </w:tc>
        <w:tc>
          <w:tcPr>
            <w:tcW w:type="dxa" w:w="26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Master/Tug Master Authority</w:t>
            </w:r>
          </w:p>
        </w:tc>
        <w:tc>
          <w:tcPr>
            <w:tcW w:type="dxa" w:w="402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Safety decision log, override/escalation, shipboard SMS review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Master / Tug Master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§6</w:t>
            </w:r>
          </w:p>
        </w:tc>
        <w:tc>
          <w:tcPr>
            <w:tcW w:type="dxa" w:w="26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Crew Eligibility &amp; Competence</w:t>
            </w:r>
          </w:p>
        </w:tc>
        <w:tc>
          <w:tcPr>
            <w:tcW w:type="dxa" w:w="402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CoC, medical, safe manning, training, familiarization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Crewing + Master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§7</w:t>
            </w:r>
          </w:p>
        </w:tc>
        <w:tc>
          <w:tcPr>
            <w:tcW w:type="dxa" w:w="26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Operations &amp; Checklists</w:t>
            </w:r>
          </w:p>
        </w:tc>
        <w:tc>
          <w:tcPr>
            <w:tcW w:type="dxa" w:w="402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Operation plan, JSA/TRA, checklist, permit, briefing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Qualified operational role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§8</w:t>
            </w:r>
          </w:p>
        </w:tc>
        <w:tc>
          <w:tcPr>
            <w:tcW w:type="dxa" w:w="26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Emergency Readiness</w:t>
            </w:r>
          </w:p>
        </w:tc>
        <w:tc>
          <w:tcPr>
            <w:tcW w:type="dxa" w:w="402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Scenario, drill, response team, communication, lessons learned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Master + shore response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§9</w:t>
            </w:r>
          </w:p>
        </w:tc>
        <w:tc>
          <w:tcPr>
            <w:tcW w:type="dxa" w:w="26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Events / Near Miss / NC / CAPA</w:t>
            </w:r>
          </w:p>
        </w:tc>
        <w:tc>
          <w:tcPr>
            <w:tcW w:type="dxa" w:w="402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Event, RCA, action, due date, verification, effectiveness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Safety / DPA / verifier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§10</w:t>
            </w:r>
          </w:p>
        </w:tc>
        <w:tc>
          <w:tcPr>
            <w:tcW w:type="dxa" w:w="26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PMS + Critical Equipment</w:t>
            </w:r>
          </w:p>
        </w:tc>
        <w:tc>
          <w:tcPr>
            <w:tcW w:type="dxa" w:w="402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Asset criticality, work order, defect, standby test, safeguards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Chief Engineer/technical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§11</w:t>
            </w:r>
          </w:p>
        </w:tc>
        <w:tc>
          <w:tcPr>
            <w:tcW w:type="dxa" w:w="26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Controlled Documents</w:t>
            </w:r>
          </w:p>
        </w:tc>
        <w:tc>
          <w:tcPr>
            <w:tcW w:type="dxa" w:w="402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Version, approval, distribution, acknowledgement, obsolete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Document controller / DPA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§12</w:t>
            </w:r>
          </w:p>
        </w:tc>
        <w:tc>
          <w:tcPr>
            <w:tcW w:type="dxa" w:w="26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Audit &amp; Management Review</w:t>
            </w:r>
          </w:p>
        </w:tc>
        <w:tc>
          <w:tcPr>
            <w:tcW w:type="dxa" w:w="402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Audit plan/result, finding, CAPA, independence, decisions, effectiveness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Auditor + management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§13–16</w:t>
            </w:r>
          </w:p>
        </w:tc>
        <w:tc>
          <w:tcPr>
            <w:tcW w:type="dxa" w:w="26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ISM Certification Command Center</w:t>
            </w:r>
          </w:p>
        </w:tc>
        <w:tc>
          <w:tcPr>
            <w:tcW w:type="dxa" w:w="402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DOC/SMC/interim, windows, endorsements, RO/Flag evidence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6"/>
              </w:rPr>
              <w:t>Compliance owner + Flag/RO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Önerilen ana veri zinciri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468"/>
      </w:tblGrid>
      <w:tr>
        <w:tc>
          <w:tcPr>
            <w:tcW w:type="dxa" w:w="4961"/>
            <w:shd w:fill="0F6B7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E2F0D9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alloutTitle"/>
            </w:pPr>
            <w:r>
              <w:t>Source → Applicability → Control → Operation → Evidence → Verification → Human Decision → Effectiveness → Learning</w:t>
            </w:r>
          </w:p>
          <w:p>
            <w:pPr>
              <w:spacing w:after="0"/>
            </w:pPr>
            <w:r>
              <w:t>Her kritik ISM kaydı bu zincirin en az bir yerine bağlanmalı. “Orphan” kanıt, kaynağı olmayan compliance sonucu veya verifier’sız kapanış bırakılmamalı.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Römorkör operasyonunda ürünün özellikle desteklemesi gerekenler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Römorkaj işi / görev kabulü öncesi vessel+tug readiness ve crew eligibility.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Römorkaj planı, risk değerlendirmesi, toolbox/briefing ve operasyonel checklist.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Towline / winch / hook / emergency release gibi kritik ekipmanların applicability, readiness ve test/maintenance kanıtları.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Tug Master safety authority: operasyonu reddetme/durdurma kararının ticari akıştan bağımsız kaydı.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Olay / near miss / towline failure / machinery issue bağlantısının PMS, risk ve CAPA’ya otomatik izlenebilirliği.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Römorkör için ISM applicability kararının gemi profilinden dinamik hesaplanması; “tüm tugs aynı” varsayımının engellenmesi.</w:t>
      </w:r>
    </w:p>
    <w:p>
      <w:pPr>
        <w:pStyle w:val="Heading1"/>
        <w:keepNext/>
        <w:widowControl/>
      </w:pPr>
      <w:r>
        <w:t>13. Bilmen gereken 20 cümle — hızlı tekrar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01. </w:t>
      </w:r>
      <w:r>
        <w:t>ISM’in amacı sadece sertifika almak değil, emniyetli işletimi ve kirlilik önlemeyi çalışan bir yönetim sistemiyle güvence altına almaktır.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02. </w:t>
      </w:r>
      <w:r>
        <w:t>SMS şirket ve gemi birlikte çalışır; yalnız gemi prosedürlerinden ibaret değildir.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03. </w:t>
      </w:r>
      <w:r>
        <w:t>İşletmeci, shipowner olmak zorunda değildir; ISM sorumluluğunu üstlenen “Company”dir.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04. </w:t>
      </w:r>
      <w:r>
        <w:t>Üst yönetim taahhüdü ve kaynak sağlaması ISM’in temelidir.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05. </w:t>
      </w:r>
      <w:r>
        <w:t>DPA’nın en üst yönetime doğrudan erişimi olmalıdır.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06. </w:t>
      </w:r>
      <w:r>
        <w:t>Master/Tug Master emniyet ve kirlilik önleme konusunda overriding authority’ye sahip olmalıdır.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07. </w:t>
      </w:r>
      <w:r>
        <w:t>Şirket bütün tanımlanmış riskleri değerlendirmeli ve uygun safeguards oluşturmalıdır.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08. </w:t>
      </w:r>
      <w:r>
        <w:t>Crew uygunluğu = sertifika + sağlık + yeterli manning + competence + familiarization + iletişim.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09. </w:t>
      </w:r>
      <w:r>
        <w:t>Gemi operasyonları için prosedür/plan/talimat/checklist gemiye ve göreve özgü olmalıdır.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10. </w:t>
      </w:r>
      <w:r>
        <w:t>Acil durum planı tatbikatla test edilmedikçe sadece dokümandır.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11. </w:t>
      </w:r>
      <w:r>
        <w:t>Near miss, incident ve NC raporları öğrenme sisteminin girdisidir.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12. </w:t>
      </w:r>
      <w:r>
        <w:t>CAPA kapanışı, effectiveness verification yapılmadan güvenli bir “tamamlandı” anlamına gelmez.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13. </w:t>
      </w:r>
      <w:r>
        <w:t>Kritik ekipman; ani arızası tehlike yaratabilecek ekipman/sistemdir ve standby tedbirleri/testleri ayrıca yönetilir.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14. </w:t>
      </w:r>
      <w:r>
        <w:t>Doğru dokümanın doğru versiyonu ilgili kullanıcı/gemide erişilebilir olmalıdır.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15. </w:t>
      </w:r>
      <w:r>
        <w:t>İç emniyet auditleri normalde 12 ayı aşmayan aralıklarla yapılır; istisnai uzatma en fazla 3 aydır.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16. </w:t>
      </w:r>
      <w:r>
        <w:t>Denetçi kâğıt uyumundan çok sistemin etkinliğine ve objektif kanıta bakar.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17. </w:t>
      </w:r>
      <w:r>
        <w:t>Initial certification için en az 3 aylık gerçek SMS uygulama kanıtı kritik beklentidir.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18. </w:t>
      </w:r>
      <w:r>
        <w:t>DOC şirketi ve gemi tiplerini, SMC ise belirli gemiyi güvence altına alan farklı belgelerdir.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19. </w:t>
      </w:r>
      <w:r>
        <w:t>Major NC şirket/gemi sertifikasyonuna doğrudan etki edebilecek ciddi bir durumdur.</w:t>
      </w:r>
    </w:p>
    <w:p>
      <w:pPr>
        <w:spacing w:after="60"/>
        <w:ind w:left="227" w:hanging="227"/>
        <w:widowControl/>
      </w:pPr>
      <w:r>
        <w:rPr>
          <w:b/>
          <w:color w:val="0F6B78"/>
        </w:rPr>
        <w:t xml:space="preserve">20. </w:t>
      </w:r>
      <w:r>
        <w:t>2026 itibarıyla güncel Administration guideline A.1188(33)’tür; IMO dijital SMS ve risk bazlı uygulamayı geliştirmek üzere kapsamlı revizyon çalışması yürütmektedir.</w:t>
      </w:r>
    </w:p>
    <w:p>
      <w:pPr>
        <w:pStyle w:val="Heading1"/>
        <w:keepNext/>
        <w:widowControl/>
      </w:pPr>
      <w:r>
        <w:t>14. Kaynaklar ve versiyon kontrolü</w:t>
      </w:r>
    </w:p>
    <w:p>
      <w:pPr>
        <w:pStyle w:val="Lead"/>
        <w:widowControl/>
      </w:pPr>
      <w:r>
        <w:t>Bu özet hazırlanırken 6 Ekim 2026 itibarıyla aşağıdaki resmî / birincil kaynaklar esas alınmıştır. ISM uygulamasında kaynak versiyonunu kaydetmek kritik önemdedir.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567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Kaynak</w:t>
            </w:r>
          </w:p>
        </w:tc>
        <w:tc>
          <w:tcPr>
            <w:tcW w:type="dxa" w:w="3515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Bu dokümanda kullanım</w:t>
            </w:r>
          </w:p>
        </w:tc>
        <w:tc>
          <w:tcPr>
            <w:tcW w:type="dxa" w:w="3118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4" w:color="C8D4E3"/>
              <w:left w:val="single" w:sz="4" w:color="C8D4E3"/>
              <w:bottom w:val="single" w:sz="4" w:color="C8D4E3"/>
              <w:right w:val="single" w:sz="4" w:color="C8D4E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URL</w:t>
            </w:r>
          </w:p>
        </w:tc>
      </w:tr>
      <w:tr>
        <w:trPr>
          <w:cantSplit/>
        </w:trPr>
        <w:tc>
          <w:tcPr>
            <w:tcW w:type="dxa" w:w="56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S1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IMO — The International Safety Management (ISM) Code</w:t>
            </w:r>
          </w:p>
        </w:tc>
        <w:tc>
          <w:tcPr>
            <w:tcW w:type="dxa" w:w="351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Kod amacı, amendment kronolojisi, şirket uygulama rehberleri, DPA/near-miss/cyber referansları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https://www.imo.org/en/ourwork/humanelement/pages/ismcode.aspx</w:t>
            </w:r>
          </w:p>
        </w:tc>
      </w:tr>
      <w:tr>
        <w:trPr>
          <w:cantSplit/>
        </w:trPr>
        <w:tc>
          <w:tcPr>
            <w:tcW w:type="dxa" w:w="56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S2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IMO Resolution A.741(18), as amended</w:t>
            </w:r>
          </w:p>
        </w:tc>
        <w:tc>
          <w:tcPr>
            <w:tcW w:type="dxa" w:w="351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ISM Code’un ana kabul kararı; güncel kullanım için değişikliklerle birlikte okunmalı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https://wwwcdn.imo.org/localresources/en/KnowledgeCentre/IndexofIMOResolutions/AssemblyDocuments/A.741(18).pdf</w:t>
            </w:r>
          </w:p>
        </w:tc>
      </w:tr>
      <w:tr>
        <w:trPr>
          <w:cantSplit/>
        </w:trPr>
        <w:tc>
          <w:tcPr>
            <w:tcW w:type="dxa" w:w="56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S3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IMO Resolution MSC.273(85)</w:t>
            </w:r>
          </w:p>
        </w:tc>
        <w:tc>
          <w:tcPr>
            <w:tcW w:type="dxa" w:w="351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Risk yaklaşımı, audit periyodu, sertifika geçerlilik ayrıntıları vb. değişiklikler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https://wwwcdn.imo.org/localresources/en/KnowledgeCentre/IndexofIMOResolutions/MSCResolutions/MSC.273(85).pdf</w:t>
            </w:r>
          </w:p>
        </w:tc>
      </w:tr>
      <w:tr>
        <w:trPr>
          <w:cantSplit/>
        </w:trPr>
        <w:tc>
          <w:tcPr>
            <w:tcW w:type="dxa" w:w="56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S4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IMO Resolution MSC.353(92)</w:t>
            </w:r>
          </w:p>
        </w:tc>
        <w:tc>
          <w:tcPr>
            <w:tcW w:type="dxa" w:w="351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§6.2 manning ve §12.2 delege ISM görevlerinin doğrulanması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https://wwwcdn.imo.org/localresources/en/KnowledgeCentre/IndexofIMOResolutions/MSCResolutions/MSC.353(92).pdf</w:t>
            </w:r>
          </w:p>
        </w:tc>
      </w:tr>
      <w:tr>
        <w:trPr>
          <w:cantSplit/>
        </w:trPr>
        <w:tc>
          <w:tcPr>
            <w:tcW w:type="dxa" w:w="56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S5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IMO Resolution A.1188(33) — 2023 Guidelines</w:t>
            </w:r>
          </w:p>
        </w:tc>
        <w:tc>
          <w:tcPr>
            <w:tcW w:type="dxa" w:w="351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İdarelerin ISM uygulama, denetim ve belgelendirme rehberi; A.1118’i revokes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https://wwwcdn.imo.org/localresources/en/KnowledgeCentre/IndexofIMOResolutions/AssemblyDocuments/A.1188(33).pdf</w:t>
            </w:r>
          </w:p>
        </w:tc>
      </w:tr>
      <w:tr>
        <w:trPr>
          <w:cantSplit/>
        </w:trPr>
        <w:tc>
          <w:tcPr>
            <w:tcW w:type="dxa" w:w="56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S6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IMO III 12 Meeting Summary — July 2026</w:t>
            </w:r>
          </w:p>
        </w:tc>
        <w:tc>
          <w:tcPr>
            <w:tcW w:type="dxa" w:w="351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ISM implementation guidelines kapsamlı revizyon çalışması, digital SMS ve risk-based yaklaşım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https://www.imo.org/en/mediacentre/meetingsummaries/pages/iii-12-meeting-summary.aspx</w:t>
            </w:r>
          </w:p>
        </w:tc>
      </w:tr>
      <w:tr>
        <w:trPr>
          <w:cantSplit/>
        </w:trPr>
        <w:tc>
          <w:tcPr>
            <w:tcW w:type="dxa" w:w="56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S7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T.C. UAB — Türk Bayraklı Gemilere ISM Yönetmeliği</w:t>
            </w:r>
          </w:p>
        </w:tc>
        <w:tc>
          <w:tcPr>
            <w:tcW w:type="dxa" w:w="351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Türkiye kapsam, roller, DOC/SMC ve uygulama hükümleri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https://www.uab.gov.tr/uploads/legislations/uluslararasi-emniyet-yonetimi-kodunun-turk-bayrakl/uluslararasi-emniyet-yonetimi-kodunun-turk-bayrakli-gemilere-ve-isletmecilerine-uygulanmasina-dair-yonetmelik.pdf</w:t>
            </w:r>
          </w:p>
        </w:tc>
      </w:tr>
      <w:tr>
        <w:trPr>
          <w:cantSplit/>
        </w:trPr>
        <w:tc>
          <w:tcPr>
            <w:tcW w:type="dxa" w:w="56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S8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T.C. UAB — Uygulama Talimatı 2023/19</w:t>
            </w:r>
          </w:p>
        </w:tc>
        <w:tc>
          <w:tcPr>
            <w:tcW w:type="dxa" w:w="351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Ulusal uygulama talimatı; yayımlandığı tarihte A.1118(30)’a atıf yapar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4F7FA"/>
            <w:tcBorders>
              <w:top w:val="single" w:sz="3" w:color="C8D4E3"/>
              <w:left w:val="single" w:sz="3" w:color="C8D4E3"/>
              <w:bottom w:val="single" w:sz="3" w:color="C8D4E3"/>
              <w:right w:val="single" w:sz="3" w:color="C8D4E3"/>
            </w:tcBorders>
          </w:tcPr>
          <w:p>
            <w:pPr>
              <w:spacing w:after="0"/>
            </w:pPr>
            <w:r>
              <w:rPr>
                <w:sz w:val="14"/>
              </w:rPr>
              <w:t>https://denizcilik.uab.gov.tr/uploads/pages/bayrak-ve-liman-devleti-uygulamalari-denetim-ve-be/uygulama-talimati-2023-19-ism-kod-gereklilikleri-hakkinda.pdf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Versiyon kontrolü için minimum metadata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Source ID / otorite / mevzuat adı / resolution-circular numarası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Yayın / kabul tarihi / yürürlük tarihi / yürürlükten kaldırma veya supersede ilişkisi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Uygulanabilirlik koşulları (flag, ship type, GT, voyage, build/equipment vb.)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Requirement / clause ID ve yorumlayan uzman/owner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Ürün kontrolü, ekranı, kanıtı, verifier/human gate ve test trace</w:t>
      </w:r>
    </w:p>
    <w:p>
      <w:pPr>
        <w:spacing w:after="60"/>
        <w:ind w:left="255" w:hanging="142"/>
        <w:widowControl/>
      </w:pPr>
      <w:r>
        <w:rPr>
          <w:color w:val="2F75B5"/>
        </w:rPr>
        <w:t xml:space="preserve">• </w:t>
      </w:r>
      <w:r>
        <w:t>“Current / future / superseded / guidance / statutory” hukuk katmanı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468"/>
      </w:tblGrid>
      <w:tr>
        <w:tc>
          <w:tcPr>
            <w:tcW w:type="dxa" w:w="4961"/>
            <w:shd w:fill="0F6B7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E2F0D9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alloutTitle"/>
            </w:pPr>
            <w:r>
              <w:t>Nihai değerlendirme</w:t>
            </w:r>
          </w:p>
          <w:p>
            <w:pPr>
              <w:spacing w:after="0"/>
            </w:pPr>
            <w:r>
              <w:t>ISM uyumlu ürün tasarımının ölçütü “kaç form ekranı var?” değildir. Ölçüt; doğru kuralın doğru gemiye uygulanması, insan yetkisinin korunması, operasyonun kanıtlanması, uygunsuzluktan öğrenilmesi ve denetçinin uçtan uca iz sürmesine izin veren bir SMS işletim sisteminin kurulmasıdır.</w:t>
            </w:r>
          </w:p>
        </w:tc>
      </w:tr>
    </w:tbl>
    <w:p>
      <w:pPr>
        <w:spacing w:after="0"/>
        <w:widowControl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5"/>
      </w:rPr>
      <w:t xml:space="preserve">6 Ekim 2026  |  ISM Code Özeti  |  </w:t>
    </w:r>
    <w:r>
      <w:rPr>
        <w:color w:val="666666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5"/>
      </w:rPr>
      <w:t>ISM CODE • YÖNETİCİ / ÜRÜN / UYGULAMA ÖZETİ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</w:pPr>
    <w:rPr>
      <w:rFonts w:asciiTheme="majorHAnsi" w:eastAsiaTheme="majorEastAsia" w:hAnsiTheme="majorHAnsi" w:cstheme="majorBidi" w:ascii="Aptos" w:hAnsi="Aptos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60" w:line="276" w:lineRule="auto"/>
    </w:pPr>
    <w:rPr>
      <w:rFonts w:ascii="Aptos" w:hAnsi="Aptos"/>
      <w:color w:val="1F2937"/>
      <w:sz w:val="23"/>
    </w:rPr>
  </w:style>
  <w:style w:type="paragraph" w:customStyle="1" w:styleId="Small">
    <w:name w:val="Small"/>
    <w:rPr>
      <w:rFonts w:ascii="Aptos" w:hAnsi="Aptos"/>
      <w:color w:val="666666"/>
      <w:sz w:val="17"/>
    </w:rPr>
  </w:style>
  <w:style w:type="paragraph" w:customStyle="1" w:styleId="Source">
    <w:name w:val="Source"/>
    <w:rPr>
      <w:rFonts w:ascii="Aptos" w:hAnsi="Aptos"/>
      <w:color w:val="666666"/>
      <w:sz w:val="16"/>
    </w:rPr>
  </w:style>
  <w:style w:type="paragraph" w:customStyle="1" w:styleId="CalloutTitle">
    <w:name w:val="CalloutTitle"/>
    <w:rPr>
      <w:rFonts w:ascii="Aptos" w:hAnsi="Aptos"/>
      <w:b/>
      <w:color w:val="17365D"/>
      <w:sz w:val="20"/>
    </w:rPr>
  </w:style>
  <w:style w:type="paragraph" w:customStyle="1" w:styleId="TOCItem">
    <w:name w:val="TOCItem"/>
    <w:pPr>
      <w:spacing w:after="40"/>
    </w:pPr>
    <w:rPr>
      <w:rFonts w:ascii="Aptos" w:hAnsi="Aptos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 Code — Baştan Sona Özet ve POSEIDON Uygulama Rehberi</dc:title>
  <dc:subject>International Safety Management Code özet, denetim, DOC/SMC ve gemi+römorkör yazılım gereksinimleri</dc:subject>
  <dc:creator>OpenAI</dc:creator>
  <cp:keywords>ISM Code, SMS, DPA, DOC, SMC, ship, tugboat, römorkör, maritime safety, POSEIDON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