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8"/>
        </w:rPr>
        <w:t>POSEIDON v46.2</w:t>
      </w:r>
    </w:p>
    <w:p>
      <w:pPr>
        <w:jc w:val="center"/>
      </w:pPr>
      <w:r>
        <w:rPr>
          <w:b/>
          <w:sz w:val="42"/>
        </w:rPr>
        <w:t>Gemi + Römorkör</w:t>
        <w:br/>
        <w:t>Regulatory Control Review</w:t>
      </w:r>
    </w:p>
    <w:p>
      <w:pPr>
        <w:jc w:val="center"/>
      </w:pPr>
      <w:r>
        <w:rPr>
          <w:i/>
        </w:rPr>
        <w:t>Requirement → Applicability → Control → Evidence → Verification → Test</w:t>
      </w:r>
    </w:p>
    <w:p>
      <w:pPr>
        <w:jc w:val="center"/>
      </w:pPr>
      <w:r>
        <w:rPr>
          <w:b/>
        </w:rPr>
        <w:t>Kapsam: Gemi + Römorkör • Liman/terminal/berth/port-traffic yönetimi kapsam dışı</w:t>
      </w:r>
    </w:p>
    <w:p>
      <w:r>
        <w:br w:type="page"/>
      </w:r>
    </w:p>
    <w:p>
      <w:pPr>
        <w:pStyle w:val="Heading1"/>
      </w:pPr>
      <w:r>
        <w:t>1. Amaç ve Kapsam Kararı</w:t>
      </w:r>
    </w:p>
    <w:p>
      <w:r>
        <w:t>Bu doküman, POSEIDON v46.2 ürün kapsamını Gemi + Römorkör olarak sabitleyerek güncel mevzuat ailelerini ürün kontrol modeline bağlayan regulatory review belgesidir. Amaç, mevzuatı PDF kütüphanesi olarak saklamak değil, uygulanabilir gereksinimi ekrana, alana, operasyona, kanıta, doğrulamaya ve teste bağlamaktır.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Konu</w:t>
            </w:r>
          </w:p>
        </w:tc>
        <w:tc>
          <w:tcPr>
            <w:tcW w:type="dxa" w:w="5083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Kontrollü karar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Ana scope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Gemi + Römorkör; iki birinci sınıf çalışma modu.</w:t>
            </w:r>
          </w:p>
        </w:tc>
      </w:tr>
      <w:tr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Ortak çekirdek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Crew, certificates, PMS, safety, evidence, regulatory, assurance, AI, mobile/offline.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Gemi modu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Voyage, departure/arrival, watchkeeping, cargo/special-ship profiles.</w:t>
            </w:r>
          </w:p>
        </w:tc>
      </w:tr>
      <w:tr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Römorkör modu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Job intake, assignment, readiness, towage plan/risk/briefing, execution, equipment/crew readiness, daily log/history.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Fleet/Company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Yönetim ve toplulaştırma bağlamı; ürünün ana scope tanımı değildir.</w:t>
            </w:r>
          </w:p>
        </w:tc>
      </w:tr>
      <w:tr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Kapsam dışı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Port Management, berth allocation, terminal management, port traffic/VTS/resource planning.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Yasal iddia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Applicable requirements için traceability/readiness; evrensel %100 legal-compliance garantisi yok.</w:t>
            </w:r>
          </w:p>
        </w:tc>
      </w:tr>
    </w:tbl>
    <w:p>
      <w:pPr>
        <w:pStyle w:val="Heading1"/>
      </w:pPr>
      <w:r>
        <w:t>2. Güncel Kaynak Durumu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Kaynak</w:t>
            </w:r>
          </w:p>
        </w:tc>
        <w:tc>
          <w:tcPr>
            <w:tcW w:type="dxa" w:w="5083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4 Ekim 2026 için kontrol sonucu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ISM / SOLAS IX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Çekirdek SMS gereksinim modeli. Türk uygulamasında UAB 2023/19 talimatı A.1118(30) rehberine yönlendirir.</w:t>
            </w:r>
          </w:p>
        </w:tc>
      </w:tr>
      <w:tr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MLC 2006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2022 amendments 23 Aralık 2024 itibarıyla yürürlükte. 2025 amendments henüz yürürlükte değil; beklenen yürürlük 23 Aralık 2027.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IMDG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2024 Edition / Amendment 42-24, 1 Ocak 2026 itibarıyla mandatory.</w:t>
            </w:r>
          </w:p>
        </w:tc>
      </w:tr>
      <w:tr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Cyber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IMO güncel sayfası MSC-FAL.1/Circ.3/Rev.4 Guidelines on maritime cyber risk management referansını gösteriyor.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Türkiye römorkörcülük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UAB sayfası, 11 Şubat 2025 / RG 32810 Kılavuzluk ve Römorkörcülük Hizmetleri Hakkında Yönetmeliğe dayanıyor.</w:t>
            </w:r>
          </w:p>
        </w:tc>
      </w:tr>
      <w:tr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IACS UR M79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Towing winch emergency release systems için minimum safety standard; uygulama kapsamı build date/class/configuration ile doğrulanmalı.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Türk Loydu Ocean Towage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Ocean towage için tug suitability, towing gear, survey/certification ve bollard pull bağlamı sunuyor.</w:t>
            </w:r>
          </w:p>
        </w:tc>
      </w:tr>
      <w:tr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Bollard Pull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Türk Loydu, dinamometre ile ölçüm ve surveyor katılımı ile bollard pull certification hizmetini açıklıyor.</w:t>
            </w:r>
          </w:p>
        </w:tc>
      </w:tr>
    </w:tbl>
    <w:p>
      <w:pPr>
        <w:pStyle w:val="Heading1"/>
      </w:pPr>
      <w:r>
        <w:t>3. Regulatory Control Model</w:t>
      </w:r>
    </w:p>
    <w:p>
      <w:pPr>
        <w:pStyle w:val="ListBullet"/>
        <w:spacing w:after="40"/>
      </w:pPr>
      <w:r>
        <w:t>Authoritative Source Version: IMO/ILO/UAB/Flag/Class/RO/company-SMS kaynak sürümü.</w:t>
      </w:r>
    </w:p>
    <w:p>
      <w:pPr>
        <w:pStyle w:val="ListBullet"/>
        <w:spacing w:after="40"/>
      </w:pPr>
      <w:r>
        <w:t>Requirement: Madde veya normalized atomik gereksinim.</w:t>
      </w:r>
    </w:p>
    <w:p>
      <w:pPr>
        <w:pStyle w:val="ListBullet"/>
        <w:spacing w:after="40"/>
      </w:pPr>
      <w:r>
        <w:t>Applicability: Flag, type, GT, build date, voyage, cargo, equipment, job type, class notation vb. predicate sonucu.</w:t>
      </w:r>
    </w:p>
    <w:p>
      <w:pPr>
        <w:pStyle w:val="ListBullet"/>
        <w:spacing w:after="40"/>
      </w:pPr>
      <w:r>
        <w:t>Operational Control: Kullanıcının uyguladığı kontrol; prosedür/checklist/workflow/state gate.</w:t>
      </w:r>
    </w:p>
    <w:p>
      <w:pPr>
        <w:pStyle w:val="ListBullet"/>
        <w:spacing w:after="40"/>
      </w:pPr>
      <w:r>
        <w:t>Evidence: Belge, kayıt, test, ölçüm, fotoğraf, acknowledgement veya entegrasyon kanıtı.</w:t>
      </w:r>
    </w:p>
    <w:p>
      <w:pPr>
        <w:pStyle w:val="ListBullet"/>
        <w:spacing w:after="40"/>
      </w:pPr>
      <w:r>
        <w:t>Verification: Yetkili insan/role tarafından doğrulama.</w:t>
      </w:r>
    </w:p>
    <w:p>
      <w:pPr>
        <w:pStyle w:val="ListBullet"/>
        <w:spacing w:after="40"/>
      </w:pPr>
      <w:r>
        <w:t>Decision: Master/DPA/authorized-human karar izi.</w:t>
      </w:r>
    </w:p>
    <w:p>
      <w:pPr>
        <w:pStyle w:val="ListBullet"/>
        <w:spacing w:after="40"/>
      </w:pPr>
      <w:r>
        <w:t>Test Trace: Known vessel/tug profile → expected applicability/control/state regression testi.</w:t>
      </w:r>
    </w:p>
    <w:p>
      <w:pPr>
        <w:pStyle w:val="Heading1"/>
      </w:pPr>
      <w:r>
        <w:t>4. Ortak Gemi + Römorkör Regulatory Çekirdeği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Aile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Ürün karşılığı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Ana kontrol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ISM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DPA, Master authority, crew, operations, emergency, event, PMS, documentation, audit/certification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Requirement→Control→Evidence→Verification→Decision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SOLAS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Technical, fire/LSA, radio, navigation, ISM, security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Vessel/tug profile + equipment/certificate readiness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STCW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Crew certificates, competence, watchkeeping, emergency/security competence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Eligibility engine + evidence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MLC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Medical, employment reference, work/rest, welfare/OHS, certification where applicable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Crew/welfare/readiness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MARPOL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Oil/NLS/DG/sewage/garbage/air controls by applicability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Environmental operations/records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COLREG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Navigation assurance/event context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Operational evidence; POSEIDON navigation device değildir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ISPS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Ship security where applicable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Security role/plan/drill/incident evidence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Cyber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IT/OT asset/control/incident/recovery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Policy-only green state yasak; operational evidence gerekir</w:t>
            </w:r>
          </w:p>
        </w:tc>
      </w:tr>
    </w:tbl>
    <w:p>
      <w:pPr>
        <w:pStyle w:val="Heading1"/>
      </w:pPr>
      <w:r>
        <w:t>5. Gemi Modu Özel Paketleri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Alan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Aktivasyon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POSEIDON kontrolü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Tanker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Oil/Product, Chemical, Gas profile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Cargo applicability, special training, tanker readiness, industry assurance separate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IBC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Chemical tanker / cargo applicability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Chemical cargo/tank/procedure/evidence controls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IGC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Gas carrier / cargo applicability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Gas cargo/equipment/procedure readiness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IMDG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Packaged dangerous goods carried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Declaration, manifest, stowage/segregation, response evidence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BWM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Applicable ship/equipment/date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BWMP, record, certificate, treatment evidence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Load Lines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Applicable vessel profile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Certificate/integrity readiness</w:t>
            </w:r>
          </w:p>
        </w:tc>
      </w:tr>
    </w:tbl>
    <w:p>
      <w:pPr>
        <w:pStyle w:val="Heading1"/>
      </w:pPr>
      <w:r>
        <w:t>6. Römorkör Modu Regulatory ve Ürün Kontrolleri</w:t>
      </w:r>
    </w:p>
    <w:p>
      <w:r>
        <w:t>Römorkör operasyonu yalnızca bir “vessel profile” değildir. v46.2’de kendi iş yaşam döngüsü vardır; ancak bu yaşam döngüsü liman işletim sistemi değildir.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Kontrol alanı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POSEIDON ekranı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Regulatory/assurance bağlantısı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İş talebi ve servis alanı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Römorkör İş Talebi / Job Intake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Türkiye hizmet sahası/yetkilendirme context metadata; exact clause mapping OPEN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Römorkör atama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Tug Assignment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Bollard pull + crew + PMS + certificate + overlap product control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Hazırlık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Tug Readiness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Crew/equipment/PMS/certificate/weather/comms explainable gate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Römorkaj planı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Towage Plan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Configuration, limits, communications, emergency/contingency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Risk ve brifing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Towage Risk &amp; Briefing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Hazards, barriers, snap-back, stop-work, acknowledgement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Winch/acil bırakma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Tug Equipment Readiness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UR M79 applicability when relevant; class/build/config required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Bollard pull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Assignment/Readiness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Current certified/measured bollard pull capability evidence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Ocean towage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Towage Plan / Readiness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Applicable class/towage assurance package; not identical to harbour towage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Yürütme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Towage Execution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Start/suspend/abort/complete onboard-authorized state machine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Günlük kayıt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Tug Daily Log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Job/runtime/fuel/defect/event evidence and offline sync</w:t>
            </w:r>
          </w:p>
        </w:tc>
      </w:tr>
    </w:tbl>
    <w:p>
      <w:pPr>
        <w:pStyle w:val="Heading1"/>
      </w:pPr>
      <w:r>
        <w:t>7. Römorkör için Kritik Ürün Guardrail’leri</w:t>
      </w:r>
    </w:p>
    <w:p>
      <w:pPr>
        <w:pStyle w:val="ListBullet"/>
        <w:spacing w:after="40"/>
      </w:pPr>
      <w:r>
        <w:t>Römorkör Operasyon Sorumlusu shore planlama ve atama yapabilir; Master/Tug Master onboard safety authority’yi kaybetmez.</w:t>
      </w:r>
    </w:p>
    <w:p>
      <w:pPr>
        <w:pStyle w:val="ListBullet"/>
        <w:spacing w:after="40"/>
      </w:pPr>
      <w:r>
        <w:t>Bir atama yapılmış olması READY anlamına gelmez. Crew/equipment/PMS/certificate/weather/comms state ayrı doğrulanır.</w:t>
      </w:r>
    </w:p>
    <w:p>
      <w:pPr>
        <w:pStyle w:val="ListBullet"/>
        <w:spacing w:after="40"/>
      </w:pPr>
      <w:r>
        <w:t>UR M79 gibi class rule’ları tüm römorkörlere evrensel uygulanmaz; build date, class ve towing-winch configuration üzerinden applicability gerekir.</w:t>
      </w:r>
    </w:p>
    <w:p>
      <w:pPr>
        <w:pStyle w:val="ListBullet"/>
        <w:spacing w:after="40"/>
      </w:pPr>
      <w:r>
        <w:t>Harbour assist ile ocean towage aynı rule pack değildir.</w:t>
      </w:r>
    </w:p>
    <w:p>
      <w:pPr>
        <w:pStyle w:val="ListBullet"/>
        <w:spacing w:after="40"/>
      </w:pPr>
      <w:r>
        <w:t>Port service area bir job context alanıdır; POSEIDON berth/VTS/port-traffic yönetmez.</w:t>
      </w:r>
    </w:p>
    <w:p>
      <w:pPr>
        <w:pStyle w:val="ListBullet"/>
        <w:spacing w:after="40"/>
      </w:pPr>
      <w:r>
        <w:t>Bollard pull tek başına uygunluk kararı değildir; job requirement + current evidence + operational judgement birlikte değerlendirilir.</w:t>
      </w:r>
    </w:p>
    <w:p>
      <w:pPr>
        <w:pStyle w:val="ListBullet"/>
        <w:spacing w:after="40"/>
      </w:pPr>
      <w:r>
        <w:t>AI tug assignment önerebilir; yüksek riskli operasyonu başlatamaz, devam ettiremez veya abort kararını veremez.</w:t>
      </w:r>
    </w:p>
    <w:p>
      <w:pPr>
        <w:pStyle w:val="Heading1"/>
      </w:pPr>
      <w:r>
        <w:t>8. Applicability Regression Senaryoları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Case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Profil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Beklenen sonuç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SHIP-01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Türk bayraklı uluslararası oil tanker ≥500 GT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ISM/SOLAS/STCW/MARPOL/MLC + tanker profile; blocker’lar readiness’i degrade eder.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SHIP-02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Chemical tanker + NLS cargo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MARPOL II + IBC + special-training controls aktive olur.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SHIP-03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Container + packaged DG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SOLAS VII + IMDG 42-24 controls aktive olur.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TUG-01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ASD tug + harbour assist job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Job→Assignment→Readiness→Plan→Briefing→Execution; port-traffic management aktive olmaz.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TUG-02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UR M79 applicability karşılayan towing winch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Emergency release test/evidence required; fail state READY üretmez.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TUG-03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Ocean towage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Applicable class/towage suitability/certificate package gerekir.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TUG-04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Aynı tug için çakışan iki iş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CONFLICT; explicit human resolution + audit.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MIX-01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Gemi + römorkör karma filo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Shared core aggregate olur; mode-specific operasyon ekranları ayrışır.</w:t>
            </w:r>
          </w:p>
        </w:tc>
      </w:tr>
    </w:tbl>
    <w:p>
      <w:pPr>
        <w:pStyle w:val="Heading1"/>
      </w:pPr>
      <w:r>
        <w:t>9. Açık Hukuki / Teknik Doğrulama Kapıları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Açık konu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Neden açık bırakıldı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VAL-01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Türk römorkörlerinde ISM applicability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Tug label tek başına yeterli değil; flag-state scope/istisna doğrulaması gerekir.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VAL-02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2025 Römorkörcülük Yönetmeliği clause mapping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UAB duyurusu yönetmeliğin varlığını doğruluyor; madde-madde legal text kontrolü ayrıca yapılmalı.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VAL-03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Türk bayrağı tug crew competence/certificates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STCW + güncel Türk gemiadamı düzenlemeleri role/job bazında eşlenmeli.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VAL-04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Winch/towline/tow hook/FiFi class applicability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Tek class society kuralı evrenselleştirilemez.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VAL-05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Harbour vs ocean towage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Ayrı operational/class rule packs gerekir.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VAL-06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MLC tug applicability / sheltered waters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Flag declarations ve operating pattern etkili olabilir.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VAL-07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KVKK crew/protected reporting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Deployment ve data-transfer modeline göre legal review gerekir.</w:t>
            </w:r>
          </w:p>
        </w:tc>
      </w:tr>
    </w:tbl>
    <w:p>
      <w:pPr>
        <w:pStyle w:val="Heading1"/>
      </w:pPr>
      <w:r>
        <w:t>10. Ürün / Doküman Etkisi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Artifact</w:t>
            </w:r>
          </w:p>
        </w:tc>
        <w:tc>
          <w:tcPr>
            <w:tcW w:type="dxa" w:w="5083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v46.2 sonucu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Master Specification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Gemi + Römorkör scope ve iki mod kesin.</w:t>
            </w:r>
          </w:p>
        </w:tc>
      </w:tr>
      <w:tr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HTML Prototype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Türkçe varsayılan + İngilizce geçiş; Ship/Tug context ve Tug Ops ekranları.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Screen inventory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185 screen controlled depth.</w:t>
            </w:r>
          </w:p>
        </w:tc>
      </w:tr>
      <w:tr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Field contracts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2.126 field-level contract.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Regulatory Matrix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Gemi/Römorkör/Ortak requirement mapping + source URLs + test trace.</w:t>
            </w:r>
          </w:p>
        </w:tc>
      </w:tr>
      <w:tr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Backlog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Tug job/assignment/readiness/towage execution P0/P1 backlog’a bağlanmalı.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Pilot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 az 1 gemi + 1 römorkör gerçek journey doğrulaması.</w:t>
            </w:r>
          </w:p>
        </w:tc>
      </w:tr>
    </w:tbl>
    <w:p>
      <w:pPr>
        <w:pStyle w:val="Heading1"/>
      </w:pPr>
      <w:r>
        <w:t>11. Bundan Sonraki Regulatory Sprint</w:t>
      </w:r>
    </w:p>
    <w:p>
      <w:pPr>
        <w:pStyle w:val="ListBullet"/>
        <w:spacing w:after="40"/>
      </w:pPr>
      <w:r>
        <w:t>1) 2025 Kılavuzluk ve Römorkörcülük Yönetmeliği resmi metni madde madde çıkarılacak.</w:t>
      </w:r>
    </w:p>
    <w:p>
      <w:pPr>
        <w:pStyle w:val="ListBullet"/>
        <w:spacing w:after="40"/>
      </w:pPr>
      <w:r>
        <w:t>2) Güncel Türk gemiadamı/yeterlik düzenlemeleri römorkör role/job profiline bağlanacak.</w:t>
      </w:r>
    </w:p>
    <w:p>
      <w:pPr>
        <w:pStyle w:val="ListBullet"/>
        <w:spacing w:after="40"/>
      </w:pPr>
      <w:r>
        <w:t>3) Pilot römorkörün gerçek class notation/build date/winch type verisi alınacak.</w:t>
      </w:r>
    </w:p>
    <w:p>
      <w:pPr>
        <w:pStyle w:val="ListBullet"/>
        <w:spacing w:after="40"/>
      </w:pPr>
      <w:r>
        <w:t>4) Applicable class rules seçilecek; UR M79 ve ocean-towage pack sadece uygun profilde aktive edilecek.</w:t>
      </w:r>
    </w:p>
    <w:p>
      <w:pPr>
        <w:pStyle w:val="ListBullet"/>
        <w:spacing w:after="40"/>
      </w:pPr>
      <w:r>
        <w:t>5) Gemi ve römorkör için ayrı golden applicability test pack oluşturulacak.</w:t>
      </w:r>
    </w:p>
    <w:p>
      <w:pPr>
        <w:pStyle w:val="ListBullet"/>
        <w:spacing w:after="40"/>
      </w:pPr>
      <w:r>
        <w:t>6) Requirement Matrix içindeki OPEN satırlar SME/Flag/Class tarafından VALIDATED veya NOT_APPLICABLE yapılacak.</w:t>
      </w:r>
    </w:p>
    <w:p>
      <w:pPr>
        <w:pStyle w:val="ListBullet"/>
        <w:spacing w:after="40"/>
      </w:pPr>
      <w:r>
        <w:t>7) Validated satırlar 185-screen/2.126-field matrixte Screen → Field → FR → Test Trace’e bağlanacak.</w:t>
      </w:r>
    </w:p>
    <w:p>
      <w:pPr>
        <w:pStyle w:val="Heading1"/>
      </w:pPr>
      <w:r>
        <w:t>12. Sonuç</w:t>
      </w:r>
    </w:p>
    <w:p>
      <w:r>
        <w:rPr>
          <w:b/>
        </w:rPr>
        <w:t>POSEIDON v46.2 için doğru regulatory yaklaşım, “gemi mevzuatı + römorkör eki” değildir. Ortak denizcilik çekirdeği üzerinde Gemi Modu ve Römorkör Modu için farklı applicability ve operasyon kontrol paketleri çalışmalıdır.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Controlled review • 4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POSEIDON v46.2 | Gemi + Römorkör Regulatory Control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