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2"/>
        </w:rPr>
        <w:t>Product-Wide ERD &amp; Data Architecture</w:t>
      </w:r>
    </w:p>
    <w:p>
      <w:pPr>
        <w:jc w:val="center"/>
      </w:pPr>
      <w:r>
        <w:rPr>
          <w:i/>
        </w:rPr>
        <w:t>Gemi + Römorkör • Domain Model • Veri Sahipliği • Audit • Evidence • Integration</w:t>
      </w:r>
    </w:p>
    <w:p>
      <w:r>
        <w:br w:type="page"/>
      </w:r>
    </w:p>
    <w:p>
      <w:pPr>
        <w:pStyle w:val="Heading1"/>
      </w:pPr>
      <w:r>
        <w:t>1. Mimari Karar</w:t>
      </w:r>
    </w:p>
    <w:p>
      <w:r>
        <w:t>POSEIDON veri modeli ekran-merkezli değil, domain ve yaşam-döngüsü merkezli kurulacaktır. 185 ekran aynı entity'lerin farklı rol/context projection'larıdır; ekran başına ayrı tablo oluşturulmayacaktır. Gemi ve Römorkör aynı çekirdek Tenant/Company/Vessel/Person/Asset/Evidence/Audit altyapısını kullanır; TugJob/TowagePlan/TowageExecution gibi römorköre özgü aggregate'lar yalnız Tug Mode'da aktive olur.</w:t>
      </w:r>
    </w:p>
    <w:p>
      <w:pPr>
        <w:pStyle w:val="ListBullet"/>
        <w:spacing w:after="40"/>
      </w:pPr>
      <w:r>
        <w:t>Tenant isolation her business entity'de tenant_id veya tenant-scope yoluyla korunur.</w:t>
      </w:r>
    </w:p>
    <w:p>
      <w:pPr>
        <w:pStyle w:val="ListBullet"/>
        <w:spacing w:after="40"/>
      </w:pPr>
      <w:r>
        <w:t>Vessel tek çekirdek entity'dir; VesselProfile ve TugProfile type-specific extension'dır.</w:t>
      </w:r>
    </w:p>
    <w:p>
      <w:pPr>
        <w:pStyle w:val="ListBullet"/>
        <w:spacing w:after="40"/>
      </w:pPr>
      <w:r>
        <w:t>Effective dating: requirement, rule, assignment, certificate, document, competence gibi değişebilir kayıtlar valid_from/valid_to veya version taşır.</w:t>
      </w:r>
    </w:p>
    <w:p>
      <w:pPr>
        <w:pStyle w:val="ListBullet"/>
        <w:spacing w:after="40"/>
      </w:pPr>
      <w:r>
        <w:t>Soft-delete yalnız operasyonel master-data için; legal/audit/evidence kayıtlarında immutable/superseded yaklaşımı tercih edilir.</w:t>
      </w:r>
    </w:p>
    <w:p>
      <w:pPr>
        <w:pStyle w:val="ListBullet"/>
        <w:spacing w:after="40"/>
      </w:pPr>
      <w:r>
        <w:t>Completed, Verified ve Effective ayrı state'lerdir.</w:t>
      </w:r>
    </w:p>
    <w:p>
      <w:pPr>
        <w:pStyle w:val="ListBullet"/>
        <w:spacing w:after="40"/>
      </w:pPr>
      <w:r>
        <w:t>Evidence lineage source → object → verification → decision → readiness zincirinde korunur.</w:t>
      </w:r>
    </w:p>
    <w:p>
      <w:pPr>
        <w:pStyle w:val="Heading1"/>
      </w:pPr>
      <w:r>
        <w:t>2. Product-Wide Domain ERD</w:t>
      </w:r>
    </w:p>
    <w:p>
      <w:r>
        <w:drawing>
          <wp:inline xmlns:a="http://schemas.openxmlformats.org/drawingml/2006/main" xmlns:pic="http://schemas.openxmlformats.org/drawingml/2006/picture">
            <wp:extent cx="6492240" cy="5040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IDON_v46.2_domain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4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Şekil 1 - Ürün geneli domain ilişkileri. Diyagram fiziksel kolonların tamamını değil aggregate sınırlarını gösterir.</w:t>
      </w:r>
    </w:p>
    <w:p>
      <w:pPr>
        <w:pStyle w:val="Heading1"/>
      </w:pPr>
      <w:r>
        <w:t>3. Domain Grupları ve Sistem-of-Record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Başlıca Entity'ler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Kritik Not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/ IAM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Tenant, Company, User, Role, Permission, Delegation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/ IdP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 ve authorization sınırı.</w:t>
            </w:r>
          </w:p>
        </w:tc>
      </w:tr>
      <w:t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/ Vessel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Vessel, VesselProfile, TugProfile, Registry, Capability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Gemi ve römorkör tek Vessel kökünde.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People / Crew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Person, Position, CrewAssignment, Credential, Competence, Training, WorkRest, Familiarization, SafeManning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+ HR/Crewing integration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Medical ayrıntı minimum-data; çoğunlukla validity/status.</w:t>
            </w:r>
          </w:p>
        </w:tc>
      </w:tr>
      <w:t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ShipOperation, VoyageContext, Permit, Bunkering, CargoOperation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 OS değil; geminin kendi operasyon kayıtları.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Operations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TugJob, TugAssignment, TowagePlan, TowageBriefing, TowageExecution, TugDailyLog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Kendi römorkör iş planlama/yürütme.</w:t>
            </w:r>
          </w:p>
        </w:tc>
      </w:tr>
      <w:t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/ HSE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SafetyEvent, Investigation, RiskAssessment, Barrier, StopWork, Observation, Action, Effectiveness, MOC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HSE bağımsız domain.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System, Asset, Equipment, MaintenancePlan, WorkOrder, Measurement, Defect, Spare, InventoryTxn, DryDockJob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+ ERP/IoT optional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equipment/readiness.</w:t>
            </w:r>
          </w:p>
        </w:tc>
      </w:tr>
      <w:t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Knowledge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Document, DocumentVersion, ControlledCopy, Acknowledgement, FleetNotice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/ object storage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Versioned/controlled.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Audit, Inspection, Finding, Survey, Certificate, ClassCondition, PSCRecord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+ class/RO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Source-specific lifecycle.</w:t>
            </w:r>
          </w:p>
        </w:tc>
      </w:tr>
      <w:t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RegulatorySource, Requirement, RuleVersion, Evaluation, Activation, Conflict, EvidencePolicy, VerificationGate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Dynamic Applicability Engine.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 / Decision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Evidence, EvidenceLink, Verification, Signature, HumanDecision, AuditEvent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legal trace.</w:t>
            </w:r>
          </w:p>
        </w:tc>
      </w:tr>
      <w:tr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Connector, ExternalObjectMap, IntegrationEvent, OutboxMessage, WebhookDelivery, SyncConflict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Integration Hub</w:t>
            </w:r>
          </w:p>
        </w:tc>
        <w:tc>
          <w:tcPr>
            <w:tcW w:type="dxa" w:w="257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Idempotent and replayable.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Intelligence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Signal, Recommendation, ModelRun, Explanation, DecisionFeedback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is advisory; human authority preserved.</w:t>
            </w:r>
          </w:p>
        </w:tc>
      </w:tr>
    </w:tbl>
    <w:p>
      <w:pPr>
        <w:pStyle w:val="Heading1"/>
      </w:pPr>
      <w:r>
        <w:t>4. Çekirdek Entity Sözleşmeleri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Temel Alanlar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Amaç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code, name, status, default_language, timezone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Root security/ownership boundary.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Company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imo_company_no?, legal_name, country, sms_scope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Ship/tug operating company.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company_id, name, imo_no?, official_no?, flag, vessel_type, status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Common ship+tug root.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VesselProfile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gt, nt, dwt, loa, breadth, draft, build_date, trading_area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 applicability facts.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TugProfile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tug_type, propulsion_type, bollard_pull, fifi_class, winch_type, tow_hook, escort_capability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Tug-specific facts.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external_hr_id?, name, nationality?, employment_state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PII minimization required.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Position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code, name, department, shipboard_role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position-group substitution in competence matrix.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CrewAssignment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person_id, vessel_id, position_id, from/to, status, source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 lineage.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Credential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person_id, type, number/token, issuer, issue/expiry, limitations, verification_state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Validity + provenance.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vessel_id, parent_asset_id, system, criticality, maker/model/serial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Hierarchy Vessel→System→Equipment→Component.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asset_id, maintenance_plan_id, due, completion, verification, evidence_state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Completed ≠ Verified.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SafetyEvent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type, occurred_at, severity, description, immediate_action, status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 lifecycle.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DocumentVersion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document_id, version, effective_from, status, hash, storage_ref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Immutable published versions.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vessel_id, type, issuer, issue/expiry, survey_window, verification_state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Statutory/class register.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RegulatorySource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source_id, authority, title, locator, version, lifecycle, effective_dates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Authoritative source record.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RuleVersion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rule_id, source_id, predicate, outcome, effective_dates, approval_state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Versioned, approved publication.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id, tenant_id, object_type/id, evidence_type, source, captured_at, hash, storage_ref, provenance_state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Cross-domain proof.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evidence_id/control_id, verifier, result, verified_at, reason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gate.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subject_type/id, decision, actor_role, actor_id, reason, evidence_context, decided_at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Master/Tug Master/DPA/authorized role.</w:t>
            </w:r>
          </w:p>
        </w:tc>
      </w:tr>
    </w:tbl>
    <w:p>
      <w:pPr>
        <w:pStyle w:val="Heading1"/>
      </w:pPr>
      <w:r>
        <w:t>5. Evidence ve Decision Trace</w:t>
      </w:r>
    </w:p>
    <w:p>
      <w:r>
        <w:drawing>
          <wp:inline xmlns:a="http://schemas.openxmlformats.org/drawingml/2006/main" xmlns:pic="http://schemas.openxmlformats.org/drawingml/2006/picture">
            <wp:extent cx="6492240" cy="1970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IDON_v46.2_evidence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Şekil 2 - Source → Requirement → Rule → Control → Evidence → Verification → Human Decision → Readiness zinciri.</w:t>
      </w:r>
    </w:p>
    <w:p>
      <w:pPr>
        <w:pStyle w:val="Heading1"/>
      </w:pPr>
      <w:r>
        <w:t>6. Fiziksel Veri Kuralları</w:t>
      </w:r>
    </w:p>
    <w:p>
      <w:pPr>
        <w:pStyle w:val="ListBullet"/>
        <w:spacing w:after="40"/>
      </w:pPr>
      <w:r>
        <w:t>Primary key: UUID/ULID. Kullanıcıya gösterilen iş numaraları ayrı controlled sequence'tir.</w:t>
      </w:r>
    </w:p>
    <w:p>
      <w:pPr>
        <w:pStyle w:val="ListBullet"/>
        <w:spacing w:after="40"/>
      </w:pPr>
      <w:r>
        <w:t>tenant_id business tablolarında zorunlu; global regulatory source/rule kayıtlarında tenant_id NULL olabilir.</w:t>
      </w:r>
    </w:p>
    <w:p>
      <w:pPr>
        <w:pStyle w:val="ListBullet"/>
        <w:spacing w:after="40"/>
      </w:pPr>
      <w:r>
        <w:t>Optimistic concurrency: mutable aggregate'larda row_version / xmin / ETag karşılığı.</w:t>
      </w:r>
    </w:p>
    <w:p>
      <w:pPr>
        <w:pStyle w:val="ListBullet"/>
        <w:spacing w:after="40"/>
      </w:pPr>
      <w:r>
        <w:t>AuditEvent append-only: actor, role, tenant, object, action, before/after summary, correlation_id, device/source, timestamp.</w:t>
      </w:r>
    </w:p>
    <w:p>
      <w:pPr>
        <w:pStyle w:val="ListBullet"/>
        <w:spacing w:after="40"/>
      </w:pPr>
      <w:r>
        <w:t>Evidence binary içerik DB'de değil object storage'da; DB'de immutable metadata, hash, MIME, size, storage_ref.</w:t>
      </w:r>
    </w:p>
    <w:p>
      <w:pPr>
        <w:pStyle w:val="ListBullet"/>
        <w:spacing w:after="40"/>
      </w:pPr>
      <w:r>
        <w:t>PII ve özellikle health/protected-report data ayrı access policy ve field-level redaction projection kullanır.</w:t>
      </w:r>
    </w:p>
    <w:p>
      <w:pPr>
        <w:pStyle w:val="ListBullet"/>
        <w:spacing w:after="40"/>
      </w:pPr>
      <w:r>
        <w:t>Tarih/saat: server UTC; ship/tug local timestamp ve offset ayrıca saklanabilir. Audit chronology UTC canonical'dır.</w:t>
      </w:r>
    </w:p>
    <w:p>
      <w:pPr>
        <w:pStyle w:val="ListBullet"/>
        <w:spacing w:after="40"/>
      </w:pPr>
      <w:r>
        <w:t>Enum yerine source-governed lookup gereken alanlar effective-dated master-data kullanır.</w:t>
      </w:r>
    </w:p>
    <w:p>
      <w:pPr>
        <w:pStyle w:val="ListBullet"/>
        <w:spacing w:after="40"/>
      </w:pPr>
      <w:r>
        <w:t>Hard delete: yalnız staging/import temp data. Published rule, evidence, verification, signed decision, audit event silinmez; supersede/revoke edilir.</w:t>
      </w:r>
    </w:p>
    <w:p>
      <w:pPr>
        <w:pStyle w:val="Heading1"/>
      </w:pPr>
      <w:r>
        <w:t>7. State Machine Örnekleri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Aggregate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TugJob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→ PLANNED → ASSIGNED → READINESS_REVIEW → RELEASED → IN_PROGRESS → SUSPENDED/ABORTED → COMPLETED → VERIFIED → CLOSED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WorkOrder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PLANNED → RELEASED → IN_PROGRESS → COMPLETED → VERIFICATION → CLOSED / REOPENED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CAPTURED → PENDING_VERIFICATION → VERIFIED / REJECTED → SUPERSEDED / EXPIRED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Finding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 → CONTAINED → ACTIONING → VERIFICATION → CLOSED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 → IN_REVIEW → APPROVED → PUBLISHED/FUTURE_EFFECTIVE → IN_FORCE → SUPERSEDED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 → DUE_SOON → SURVEY_WINDOW → EXPIRED/SUSPENDED → RENEWED/SUPERSEDED</w:t>
            </w:r>
          </w:p>
        </w:tc>
      </w:tr>
    </w:tbl>
    <w:p>
      <w:pPr>
        <w:pStyle w:val="Heading1"/>
      </w:pPr>
      <w:r>
        <w:t>8. Integration Architecture</w:t>
      </w:r>
    </w:p>
    <w:p>
      <w:r>
        <w:drawing>
          <wp:inline xmlns:a="http://schemas.openxmlformats.org/drawingml/2006/main" xmlns:pic="http://schemas.openxmlformats.org/drawingml/2006/picture">
            <wp:extent cx="6492240" cy="3273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IDON_v46.2_integration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Şekil 3 - Integration Hub, domain services, offline sync ve audit/provenance sınırı.</w:t>
      </w:r>
    </w:p>
    <w:p>
      <w:pPr>
        <w:pStyle w:val="Heading1"/>
      </w:pPr>
      <w:r>
        <w:t>9. Offline ve Conflict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Temel Alanlar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OfflineCommand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command_id, device_id, tenant_id, aggregate, action, payload, captured_at, base_version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 queue.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SyncReceipt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command_id, server_received_at, result, resulting_version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Idempotent receipt.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SyncConflict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aggregate, local_version, server_version, materiality, local_delta, server_delta, status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safety/legal conflict human resolution.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OfflineSnapshot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rule_set_version, screen/data projection version, valid_until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Stale/expired critical rules READY üretmez.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conflict_id, resolution, actor, reason, decided_at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silent last-write-wins for material data.</w:t>
            </w:r>
          </w:p>
        </w:tc>
      </w:tr>
    </w:tbl>
    <w:p>
      <w:pPr>
        <w:pStyle w:val="Heading1"/>
      </w:pPr>
      <w:r>
        <w:t>10. Index / Partition Önerileri</w:t>
      </w:r>
    </w:p>
    <w:p>
      <w:pPr>
        <w:pStyle w:val="ListBullet"/>
        <w:spacing w:after="40"/>
      </w:pPr>
      <w:r>
        <w:t>tenant_id + vessel_id + state/due_date: operational lists.</w:t>
      </w:r>
    </w:p>
    <w:p>
      <w:pPr>
        <w:pStyle w:val="ListBullet"/>
        <w:spacing w:after="40"/>
      </w:pPr>
      <w:r>
        <w:t>tenant_id + person_id + credential_type + expiry: crew readiness.</w:t>
      </w:r>
    </w:p>
    <w:p>
      <w:pPr>
        <w:pStyle w:val="ListBullet"/>
        <w:spacing w:after="40"/>
      </w:pPr>
      <w:r>
        <w:t>tenant_id + vessel_id + criticality + due: PMS/defect.</w:t>
      </w:r>
    </w:p>
    <w:p>
      <w:pPr>
        <w:pStyle w:val="ListBullet"/>
        <w:spacing w:after="40"/>
      </w:pPr>
      <w:r>
        <w:t>tenant_id + tug_id + scheduled_start/end: tug assignment overlap.</w:t>
      </w:r>
    </w:p>
    <w:p>
      <w:pPr>
        <w:pStyle w:val="ListBullet"/>
        <w:spacing w:after="40"/>
      </w:pPr>
      <w:r>
        <w:t>source_id + rule_id + version + effective dates: applicability.</w:t>
      </w:r>
    </w:p>
    <w:p>
      <w:pPr>
        <w:pStyle w:val="ListBullet"/>
        <w:spacing w:after="40"/>
      </w:pPr>
      <w:r>
        <w:t>evidence(object_type, object_id, evidence_type, captured_at DESC): evidence history.</w:t>
      </w:r>
    </w:p>
    <w:p>
      <w:pPr>
        <w:pStyle w:val="ListBullet"/>
        <w:spacing w:after="40"/>
      </w:pPr>
      <w:r>
        <w:t>audit_event partition by month/quarter for high volume; immutable archive policy.</w:t>
      </w:r>
    </w:p>
    <w:p>
      <w:pPr>
        <w:pStyle w:val="ListBullet"/>
        <w:spacing w:after="40"/>
      </w:pPr>
      <w:r>
        <w:t>IntegrationEvent/outbox status + next_attempt_at + correlation_id: reliable delivery.</w:t>
      </w:r>
    </w:p>
    <w:p>
      <w:pPr>
        <w:pStyle w:val="Heading1"/>
      </w:pPr>
      <w:r>
        <w:t>11. Data Retention &amp; Legal 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Record Class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Default Model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source/rule/history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Permanent version history while product supports affected historical records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 only via controlled archive policy.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 / signed decision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Immutable long retention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Legal hold supported.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Policy-driven by regulation/contract/record type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RetentionRule entity.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PII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Purpose-limited; employment/assignment/legal retention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Minimize and restrict.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Protected report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Restricted, minimum identity exposure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Separate access policy.</w:t>
            </w:r>
          </w:p>
        </w:tc>
      </w:tr>
      <w:tr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Telemetry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Shorter high-volume retention + aggregated history</w:t>
            </w:r>
          </w:p>
        </w:tc>
        <w:tc>
          <w:tcPr>
            <w:tcW w:type="dxa" w:w="3427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Raw/derived separation.</w:t>
            </w:r>
          </w:p>
        </w:tc>
      </w:tr>
    </w:tbl>
    <w:p>
      <w:pPr>
        <w:pStyle w:val="Heading1"/>
      </w:pPr>
      <w:r>
        <w:t>12. Development Freeze Acceptance Criteria</w:t>
      </w:r>
    </w:p>
    <w:p>
      <w:pPr>
        <w:pStyle w:val="ListBullet"/>
        <w:spacing w:after="40"/>
      </w:pPr>
      <w:r>
        <w:t>Every controlled screen maps to a domain projection; no screen-specific table is created without domain justification.</w:t>
      </w:r>
    </w:p>
    <w:p>
      <w:pPr>
        <w:pStyle w:val="ListBullet"/>
        <w:spacing w:after="40"/>
      </w:pPr>
      <w:r>
        <w:t>All critical aggregates carry tenant + authorization scope.</w:t>
      </w:r>
    </w:p>
    <w:p>
      <w:pPr>
        <w:pStyle w:val="ListBullet"/>
        <w:spacing w:after="40"/>
      </w:pPr>
      <w:r>
        <w:t>Gemi ve Römorkör share common Vessel/Person/Asset/Evidence/Audit roots.</w:t>
      </w:r>
    </w:p>
    <w:p>
      <w:pPr>
        <w:pStyle w:val="ListBullet"/>
        <w:spacing w:after="40"/>
      </w:pPr>
      <w:r>
        <w:t>TugJob/Towage objects cannot introduce Port Management entities.</w:t>
      </w:r>
    </w:p>
    <w:p>
      <w:pPr>
        <w:pStyle w:val="ListBullet"/>
        <w:spacing w:after="40"/>
      </w:pPr>
      <w:r>
        <w:t>Evidence can link to Requirement/Control/Operation/WorkOrder/Event/Certificate/Survey.</w:t>
      </w:r>
    </w:p>
    <w:p>
      <w:pPr>
        <w:pStyle w:val="ListBullet"/>
        <w:spacing w:after="40"/>
      </w:pPr>
      <w:r>
        <w:t>Completed/Verified/Effective states remain independent.</w:t>
      </w:r>
    </w:p>
    <w:p>
      <w:pPr>
        <w:pStyle w:val="ListBullet"/>
        <w:spacing w:after="40"/>
      </w:pPr>
      <w:r>
        <w:t>Regulatory rule history is reproducible for historical dates.</w:t>
      </w:r>
    </w:p>
    <w:p>
      <w:pPr>
        <w:pStyle w:val="ListBullet"/>
        <w:spacing w:after="40"/>
      </w:pPr>
      <w:r>
        <w:t>Offline conflict is explicit for safety/legal material fields.</w:t>
      </w:r>
    </w:p>
    <w:p>
      <w:pPr>
        <w:pStyle w:val="ListBullet"/>
        <w:spacing w:after="40"/>
      </w:pPr>
      <w:r>
        <w:t>PII/sensitive data is not copied into AI logs or broad fleet projections by default.</w:t>
      </w:r>
    </w:p>
    <w:p>
      <w:pPr>
        <w:pStyle w:val="ListBullet"/>
        <w:spacing w:after="40"/>
      </w:pPr>
      <w:r>
        <w:t>Database schema and API contracts use the same IDs/state vocabulary.</w:t>
      </w:r>
    </w:p>
    <w:p>
      <w:pPr>
        <w:pStyle w:val="Heading1"/>
      </w:pPr>
      <w:r>
        <w:t>13. Geliştirme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Sprint/Track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Model Önceliği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Foundation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Tenant, Company, User/Role, Vessel, Person, Audit, Evidence, Document, Regulatory source/rules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Position, assignment, credential, competence, training, MSMD, work/rest, familiarization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hierarchy, PMS plan, work order, defect, spare, measurement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Operation, permit, RA, briefing, voyage/departure/cargo context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Operations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TugJob, assignment, readiness snapshot, towage plan/briefing/execution/log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Safety/Assurance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Event, investigation, barrier, action/effectiveness, audit/finding/certificate/survey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Signal, recommendation, decision feedback, model run/evaluation</w:t>
            </w:r>
          </w:p>
        </w:tc>
      </w:tr>
      <w:tr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Integration/Offline</w:t>
            </w:r>
          </w:p>
        </w:tc>
        <w:tc>
          <w:tcPr>
            <w:tcW w:type="dxa" w:w="5141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Connector, mapping, outbox, webhook, offline command/conflict/receipt</w:t>
            </w:r>
          </w:p>
        </w:tc>
      </w:tr>
    </w:tbl>
    <w:p>
      <w:pPr>
        <w:pStyle w:val="Heading1"/>
      </w:pPr>
      <w:r>
        <w:t>14. Sonuç</w:t>
      </w:r>
    </w:p>
    <w:p>
      <w:r>
        <w:rPr>
          <w:b/>
        </w:rPr>
        <w:t>Bu ERD/Data Architecture v46.2 için ürün geneli teknik baseline'dır. Uygulama geliştirirken ekran veya müşteri bazında veri yapısı çoğaltılmamalı; yeni ihtiyaçlar mevcut domain aggregate'a eklenmeli veya Change Control ile yeni aggregate olarak gerekçelendirilmelidir.</w:t>
      </w:r>
    </w:p>
    <w:p>
      <w:r>
        <w:br w:type="page"/>
      </w:r>
    </w:p>
    <w:p>
      <w:pPr>
        <w:pStyle w:val="Heading1"/>
      </w:pPr>
      <w:r>
        <w:t>15. v46.3 Yeni / Güçlendirilen Domain Entity’leri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Aggregate Parent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Temel Alanlar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Kural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Vessel/Voyage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position, activity, speed, weather, fuel, ROB, ETA, Master review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Downstream projections reuse; offline.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DeckDailyLog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Vessel/Watch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watch, OOW, nav/port/cargo/tug/pilot, handover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 evidence.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EngineDailyLog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Vessel/Watch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hours, fuel/lube, measurements, alarms, defects, WO, handover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daily evidence.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FuelBunkerLog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 type, fuel, tank, qty, ROB, BDN, quality, verification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Regulatory/evidence-aware.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PortActivitySOF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 type/time, pilot/tug/cargo/delay,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Own-vessel activity only.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OperationalDowntime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Vessel/Operation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start/end/cause/impact, defect/WO/event, claim candidate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finance SoR.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ServiceEngineerReport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Equipment/WO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provider, work, parts, tests, defects, recommendations,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Immutable service history.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PreSurveyChecklist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Survey/Certificate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item, owner, due, evidence, verification, finding, voyage-fit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 input.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RiskTemplate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revision/effective date, hazards/controls/barriers, suggestions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Published version immutable.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HighRiskWorkProjection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Projection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risk/permit/barrier/crew/equipment/owner/why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Read-only aggregate projection.</w:t>
            </w:r>
          </w:p>
        </w:tc>
      </w:tr>
    </w:tbl>
    <w:p>
      <w:pPr>
        <w:pStyle w:val="Heading1"/>
      </w:pPr>
      <w:r>
        <w:t>16. v46.3 Veri Sınırı</w:t>
      </w:r>
    </w:p>
    <w:p>
      <w:pPr>
        <w:pStyle w:val="ListBullet"/>
        <w:spacing w:after="40"/>
      </w:pPr>
      <w:r>
        <w:t>PortActivitySOF içinde port/terminal adları context olarak tutulabilir; Berth/Terminal/PortTraffic aggregate oluşturulmaz.</w:t>
      </w:r>
    </w:p>
    <w:p>
      <w:pPr>
        <w:pStyle w:val="ListBullet"/>
        <w:spacing w:after="40"/>
      </w:pPr>
      <w:r>
        <w:t>OperationalDowntime içinde Loss-of-Hire candidate tutulabilir; AP/AR/claim accounting burada system-of-record değildir.</w:t>
      </w:r>
    </w:p>
    <w:p>
      <w:pPr>
        <w:pStyle w:val="ListBullet"/>
        <w:spacing w:after="40"/>
      </w:pPr>
      <w:r>
        <w:t>Critical spares/inventory yalnız teknik bakım/readiness amacıyla sınırlıdır; enterprise warehouse/finance master data dış sistemdedir.</w:t>
      </w:r>
    </w:p>
    <w:p>
      <w:pPr>
        <w:pStyle w:val="ListBullet"/>
        <w:spacing w:after="40"/>
      </w:pPr>
      <w:r>
        <w:t>New daily logs duplicate master-data yaratmaz; Vessel/Voyage/Person/Asset/Credential/Requirement/Evidence canonical entity’lerine referans verir.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v46.3 | Product-Wide ERD &amp; Data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