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POSEIDON v46.2</w:t>
      </w:r>
    </w:p>
    <w:p>
      <w:pPr>
        <w:jc w:val="center"/>
      </w:pPr>
      <w:r>
        <w:rPr>
          <w:b/>
          <w:sz w:val="42"/>
        </w:rPr>
        <w:t>Dynamic Applicability Engine Specification</w:t>
      </w:r>
    </w:p>
    <w:p>
      <w:pPr>
        <w:jc w:val="center"/>
      </w:pPr>
      <w:r>
        <w:rPr>
          <w:i/>
        </w:rPr>
        <w:t>Gemi + Römorkör için Kaynak → Uygulanabilirlik → Kontrol → Kanıt → Doğrulama karar motoru</w:t>
      </w:r>
    </w:p>
    <w:p/>
    <w:p>
      <w:pPr>
        <w:jc w:val="center"/>
      </w:pPr>
      <w:r>
        <w:rPr>
          <w:b/>
        </w:rPr>
        <w:t>False-green yasaktır. Kritik UNKNOWN = REVIEW_REQUIRED. AI final legal/safety karar vermez.</w:t>
      </w:r>
    </w:p>
    <w:p>
      <w:r>
        <w:br w:type="page"/>
      </w:r>
    </w:p>
    <w:p>
      <w:pPr>
        <w:pStyle w:val="Heading1"/>
      </w:pPr>
      <w:r>
        <w:t>1. Amaç ve Ürün İçindeki Rolü</w:t>
      </w:r>
    </w:p>
    <w:p>
      <w:r>
        <w:t>Dynamic Applicability Engine, POSEIDON'ın mevzuatı PDF deposundan canlı operasyon kontrol sistemine dönüştüren çekirdeğidir. Motorun görevi 'bu düzenleme var' demek değil; belirli tarih, şirket, gemi/römorkör, operasyon, yük, ekipman ve personel bağlamında hangi gereksinimin gerçekten aktif olduğunu açıklanabilir ve yeniden üretilebilir biçimde belirlemektir.</w:t>
      </w:r>
    </w:p>
    <w:p>
      <w:pPr>
        <w:pStyle w:val="ListBullet"/>
        <w:spacing w:after="40"/>
      </w:pPr>
      <w:r>
        <w:t>Gemi ve Römorkör iki birinci sınıf moddur.</w:t>
      </w:r>
    </w:p>
    <w:p>
      <w:pPr>
        <w:pStyle w:val="ListBullet"/>
        <w:spacing w:after="40"/>
      </w:pPr>
      <w:r>
        <w:t>Fleet/Company yalnız tenant, yönetim ve toplulaştırma bağlamıdır.</w:t>
      </w:r>
    </w:p>
    <w:p>
      <w:pPr>
        <w:pStyle w:val="ListBullet"/>
        <w:spacing w:after="40"/>
      </w:pPr>
      <w:r>
        <w:t>Port/terminal/berth/port traffic management motor girdisi veya output capability'si değildir; operasyon alanı yalnız context olabilir.</w:t>
      </w:r>
    </w:p>
    <w:p>
      <w:pPr>
        <w:pStyle w:val="ListBullet"/>
        <w:spacing w:after="40"/>
      </w:pPr>
      <w:r>
        <w:t>Bir requirement'ın uygulanması ile bir ekranın görünmesi aynı şey değildir; ekran visibility ayrıca role/context authorization ile filtrelenir.</w:t>
      </w:r>
    </w:p>
    <w:p>
      <w:pPr>
        <w:pStyle w:val="ListBullet"/>
        <w:spacing w:after="40"/>
      </w:pPr>
      <w:r>
        <w:t>Applicability sonucu hiçbir zaman tek başına 'uyumlu' anlamına gelmez. Uyum zinciri control + evidence + verification + human decision gerektirir.</w:t>
      </w:r>
    </w:p>
    <w:p>
      <w:pPr>
        <w:pStyle w:val="Heading1"/>
      </w:pPr>
      <w:r>
        <w:t>2. Ana Karar Zinciri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Aşama</w:t>
            </w:r>
          </w:p>
        </w:tc>
        <w:tc>
          <w:tcPr>
            <w:tcW w:type="dxa" w:w="3408"/>
            <w:vAlign w:val="center"/>
            <w:shd w:fill="17365D"/>
          </w:tcPr>
          <w:p>
            <w:pPr>
              <w:spacing w:after="0"/>
            </w:pPr>
            <w:r/>
            <w:r>
              <w:rPr>
                <w:rFonts w:ascii="Aptos" w:hAnsi="Aptos"/>
                <w:b/>
                <w:color w:val="FFFFFF"/>
                <w:sz w:val="15"/>
              </w:rPr>
              <w:t>Girdi</w:t>
            </w:r>
          </w:p>
        </w:tc>
        <w:tc>
          <w:tcPr>
            <w:tcW w:type="dxa" w:w="3408"/>
            <w:vAlign w:val="center"/>
            <w:shd w:fill="17365D"/>
          </w:tcPr>
          <w:p>
            <w:pPr>
              <w:spacing w:after="0"/>
            </w:pPr>
            <w:r/>
            <w:r>
              <w:rPr>
                <w:rFonts w:ascii="Aptos" w:hAnsi="Aptos"/>
                <w:b/>
                <w:color w:val="FFFFFF"/>
                <w:sz w:val="15"/>
              </w:rPr>
              <w:t>Çıktı</w:t>
            </w:r>
          </w:p>
        </w:tc>
      </w:tr>
      <w:tr>
        <w:tc>
          <w:tcPr>
            <w:tcW w:type="dxa" w:w="3408"/>
            <w:vAlign w:val="center"/>
          </w:tcPr>
          <w:p>
            <w:pPr>
              <w:spacing w:after="0"/>
            </w:pPr>
            <w:r/>
            <w:r>
              <w:rPr>
                <w:rFonts w:ascii="Aptos" w:hAnsi="Aptos"/>
                <w:b w:val="0"/>
                <w:sz w:val="15"/>
              </w:rPr>
              <w:t>1. Source Governance</w:t>
            </w:r>
          </w:p>
        </w:tc>
        <w:tc>
          <w:tcPr>
            <w:tcW w:type="dxa" w:w="3408"/>
            <w:vAlign w:val="center"/>
          </w:tcPr>
          <w:p>
            <w:pPr>
              <w:spacing w:after="0"/>
            </w:pPr>
            <w:r/>
            <w:r>
              <w:rPr>
                <w:rFonts w:ascii="Aptos" w:hAnsi="Aptos"/>
                <w:b w:val="0"/>
                <w:sz w:val="15"/>
              </w:rPr>
              <w:t>Instrument, source version, lifecycle, effective dates</w:t>
            </w:r>
          </w:p>
        </w:tc>
        <w:tc>
          <w:tcPr>
            <w:tcW w:type="dxa" w:w="3408"/>
            <w:vAlign w:val="center"/>
          </w:tcPr>
          <w:p>
            <w:pPr>
              <w:spacing w:after="0"/>
            </w:pPr>
            <w:r/>
            <w:r>
              <w:rPr>
                <w:rFonts w:ascii="Aptos" w:hAnsi="Aptos"/>
                <w:b w:val="0"/>
                <w:sz w:val="15"/>
              </w:rPr>
              <w:t>Current/Future/Superseded source set</w:t>
            </w:r>
          </w:p>
        </w:tc>
      </w:tr>
      <w:tr>
        <w:tc>
          <w:tcPr>
            <w:tcW w:type="dxa" w:w="3408"/>
            <w:vAlign w:val="center"/>
            <w:shd w:fill="F4F7FA"/>
          </w:tcPr>
          <w:p>
            <w:pPr>
              <w:spacing w:after="0"/>
            </w:pPr>
            <w:r/>
            <w:r>
              <w:rPr>
                <w:rFonts w:ascii="Aptos" w:hAnsi="Aptos"/>
                <w:b w:val="0"/>
                <w:sz w:val="15"/>
              </w:rPr>
              <w:t>2. Context Resolution</w:t>
            </w:r>
          </w:p>
        </w:tc>
        <w:tc>
          <w:tcPr>
            <w:tcW w:type="dxa" w:w="3408"/>
            <w:vAlign w:val="center"/>
            <w:shd w:fill="F4F7FA"/>
          </w:tcPr>
          <w:p>
            <w:pPr>
              <w:spacing w:after="0"/>
            </w:pPr>
            <w:r/>
            <w:r>
              <w:rPr>
                <w:rFonts w:ascii="Aptos" w:hAnsi="Aptos"/>
                <w:b w:val="0"/>
                <w:sz w:val="15"/>
              </w:rPr>
              <w:t>Mode, date, flag, class, type, GT/kW, build, voyage/area, cargo/job, equipment, crew</w:t>
            </w:r>
          </w:p>
        </w:tc>
        <w:tc>
          <w:tcPr>
            <w:tcW w:type="dxa" w:w="3408"/>
            <w:vAlign w:val="center"/>
            <w:shd w:fill="F4F7FA"/>
          </w:tcPr>
          <w:p>
            <w:pPr>
              <w:spacing w:after="0"/>
            </w:pPr>
            <w:r/>
            <w:r>
              <w:rPr>
                <w:rFonts w:ascii="Aptos" w:hAnsi="Aptos"/>
                <w:b w:val="0"/>
                <w:sz w:val="15"/>
              </w:rPr>
              <w:t>Normalized evaluation snapshot</w:t>
            </w:r>
          </w:p>
        </w:tc>
      </w:tr>
      <w:tr>
        <w:tc>
          <w:tcPr>
            <w:tcW w:type="dxa" w:w="3408"/>
            <w:vAlign w:val="center"/>
          </w:tcPr>
          <w:p>
            <w:pPr>
              <w:spacing w:after="0"/>
            </w:pPr>
            <w:r/>
            <w:r>
              <w:rPr>
                <w:rFonts w:ascii="Aptos" w:hAnsi="Aptos"/>
                <w:b w:val="0"/>
                <w:sz w:val="15"/>
              </w:rPr>
              <w:t>3. Predicate Evaluation</w:t>
            </w:r>
          </w:p>
        </w:tc>
        <w:tc>
          <w:tcPr>
            <w:tcW w:type="dxa" w:w="3408"/>
            <w:vAlign w:val="center"/>
          </w:tcPr>
          <w:p>
            <w:pPr>
              <w:spacing w:after="0"/>
            </w:pPr>
            <w:r/>
            <w:r>
              <w:rPr>
                <w:rFonts w:ascii="Aptos" w:hAnsi="Aptos"/>
                <w:b w:val="0"/>
                <w:sz w:val="15"/>
              </w:rPr>
              <w:t>Versioned rule DSL</w:t>
            </w:r>
          </w:p>
        </w:tc>
        <w:tc>
          <w:tcPr>
            <w:tcW w:type="dxa" w:w="3408"/>
            <w:vAlign w:val="center"/>
          </w:tcPr>
          <w:p>
            <w:pPr>
              <w:spacing w:after="0"/>
            </w:pPr>
            <w:r/>
            <w:r>
              <w:rPr>
                <w:rFonts w:ascii="Aptos" w:hAnsi="Aptos"/>
                <w:b w:val="0"/>
                <w:sz w:val="15"/>
              </w:rPr>
              <w:t>TRUE / FALSE / UNKNOWN per predicate</w:t>
            </w:r>
          </w:p>
        </w:tc>
      </w:tr>
      <w:tr>
        <w:tc>
          <w:tcPr>
            <w:tcW w:type="dxa" w:w="3408"/>
            <w:vAlign w:val="center"/>
            <w:shd w:fill="F4F7FA"/>
          </w:tcPr>
          <w:p>
            <w:pPr>
              <w:spacing w:after="0"/>
            </w:pPr>
            <w:r/>
            <w:r>
              <w:rPr>
                <w:rFonts w:ascii="Aptos" w:hAnsi="Aptos"/>
                <w:b w:val="0"/>
                <w:sz w:val="15"/>
              </w:rPr>
              <w:t>4. Applicability</w:t>
            </w:r>
          </w:p>
        </w:tc>
        <w:tc>
          <w:tcPr>
            <w:tcW w:type="dxa" w:w="3408"/>
            <w:vAlign w:val="center"/>
            <w:shd w:fill="F4F7FA"/>
          </w:tcPr>
          <w:p>
            <w:pPr>
              <w:spacing w:after="0"/>
            </w:pPr>
            <w:r/>
            <w:r>
              <w:rPr>
                <w:rFonts w:ascii="Aptos" w:hAnsi="Aptos"/>
                <w:b w:val="0"/>
                <w:sz w:val="15"/>
              </w:rPr>
              <w:t>Rule result + unknown policy</w:t>
            </w:r>
          </w:p>
        </w:tc>
        <w:tc>
          <w:tcPr>
            <w:tcW w:type="dxa" w:w="3408"/>
            <w:vAlign w:val="center"/>
            <w:shd w:fill="F4F7FA"/>
          </w:tcPr>
          <w:p>
            <w:pPr>
              <w:spacing w:after="0"/>
            </w:pPr>
            <w:r/>
            <w:r>
              <w:rPr>
                <w:rFonts w:ascii="Aptos" w:hAnsi="Aptos"/>
                <w:b w:val="0"/>
                <w:sz w:val="15"/>
              </w:rPr>
              <w:t>APPLICABLE / NOT_APPLICABLE / REVIEW_REQUIRED</w:t>
            </w:r>
          </w:p>
        </w:tc>
      </w:tr>
      <w:tr>
        <w:tc>
          <w:tcPr>
            <w:tcW w:type="dxa" w:w="3408"/>
            <w:vAlign w:val="center"/>
          </w:tcPr>
          <w:p>
            <w:pPr>
              <w:spacing w:after="0"/>
            </w:pPr>
            <w:r/>
            <w:r>
              <w:rPr>
                <w:rFonts w:ascii="Aptos" w:hAnsi="Aptos"/>
                <w:b w:val="0"/>
                <w:sz w:val="15"/>
              </w:rPr>
              <w:t>5. Activation</w:t>
            </w:r>
          </w:p>
        </w:tc>
        <w:tc>
          <w:tcPr>
            <w:tcW w:type="dxa" w:w="3408"/>
            <w:vAlign w:val="center"/>
          </w:tcPr>
          <w:p>
            <w:pPr>
              <w:spacing w:after="0"/>
            </w:pPr>
            <w:r/>
            <w:r>
              <w:rPr>
                <w:rFonts w:ascii="Aptos" w:hAnsi="Aptos"/>
                <w:b w:val="0"/>
                <w:sz w:val="15"/>
              </w:rPr>
              <w:t>Applicable rule outputs</w:t>
            </w:r>
          </w:p>
        </w:tc>
        <w:tc>
          <w:tcPr>
            <w:tcW w:type="dxa" w:w="3408"/>
            <w:vAlign w:val="center"/>
          </w:tcPr>
          <w:p>
            <w:pPr>
              <w:spacing w:after="0"/>
            </w:pPr>
            <w:r/>
            <w:r>
              <w:rPr>
                <w:rFonts w:ascii="Aptos" w:hAnsi="Aptos"/>
                <w:b w:val="0"/>
                <w:sz w:val="15"/>
              </w:rPr>
              <w:t>Requirement / Control / Screen / Field / Evidence / Verification / Test / Notification activation</w:t>
            </w:r>
          </w:p>
        </w:tc>
      </w:tr>
      <w:tr>
        <w:tc>
          <w:tcPr>
            <w:tcW w:type="dxa" w:w="3408"/>
            <w:vAlign w:val="center"/>
            <w:shd w:fill="F4F7FA"/>
          </w:tcPr>
          <w:p>
            <w:pPr>
              <w:spacing w:after="0"/>
            </w:pPr>
            <w:r/>
            <w:r>
              <w:rPr>
                <w:rFonts w:ascii="Aptos" w:hAnsi="Aptos"/>
                <w:b w:val="0"/>
                <w:sz w:val="15"/>
              </w:rPr>
              <w:t>6. Evidence &amp; Verification</w:t>
            </w:r>
          </w:p>
        </w:tc>
        <w:tc>
          <w:tcPr>
            <w:tcW w:type="dxa" w:w="3408"/>
            <w:vAlign w:val="center"/>
            <w:shd w:fill="F4F7FA"/>
          </w:tcPr>
          <w:p>
            <w:pPr>
              <w:spacing w:after="0"/>
            </w:pPr>
            <w:r/>
            <w:r>
              <w:rPr>
                <w:rFonts w:ascii="Aptos" w:hAnsi="Aptos"/>
                <w:b w:val="0"/>
                <w:sz w:val="15"/>
              </w:rPr>
              <w:t>Evidence policy + source freshness + verifier</w:t>
            </w:r>
          </w:p>
        </w:tc>
        <w:tc>
          <w:tcPr>
            <w:tcW w:type="dxa" w:w="3408"/>
            <w:vAlign w:val="center"/>
            <w:shd w:fill="F4F7FA"/>
          </w:tcPr>
          <w:p>
            <w:pPr>
              <w:spacing w:after="0"/>
            </w:pPr>
            <w:r/>
            <w:r>
              <w:rPr>
                <w:rFonts w:ascii="Aptos" w:hAnsi="Aptos"/>
                <w:b w:val="0"/>
                <w:sz w:val="15"/>
              </w:rPr>
              <w:t>PENDING / VERIFIED / REJECTED / EXPIRED / SUPERSEDED</w:t>
            </w:r>
          </w:p>
        </w:tc>
      </w:tr>
      <w:tr>
        <w:tc>
          <w:tcPr>
            <w:tcW w:type="dxa" w:w="3408"/>
            <w:vAlign w:val="center"/>
          </w:tcPr>
          <w:p>
            <w:pPr>
              <w:spacing w:after="0"/>
            </w:pPr>
            <w:r/>
            <w:r>
              <w:rPr>
                <w:rFonts w:ascii="Aptos" w:hAnsi="Aptos"/>
                <w:b w:val="0"/>
                <w:sz w:val="15"/>
              </w:rPr>
              <w:t>7. Readiness / Decision</w:t>
            </w:r>
          </w:p>
        </w:tc>
        <w:tc>
          <w:tcPr>
            <w:tcW w:type="dxa" w:w="3408"/>
            <w:vAlign w:val="center"/>
          </w:tcPr>
          <w:p>
            <w:pPr>
              <w:spacing w:after="0"/>
            </w:pPr>
            <w:r/>
            <w:r>
              <w:rPr>
                <w:rFonts w:ascii="Aptos" w:hAnsi="Aptos"/>
                <w:b w:val="0"/>
                <w:sz w:val="15"/>
              </w:rPr>
              <w:t>Control/evidence/verification + blockers</w:t>
            </w:r>
          </w:p>
        </w:tc>
        <w:tc>
          <w:tcPr>
            <w:tcW w:type="dxa" w:w="3408"/>
            <w:vAlign w:val="center"/>
          </w:tcPr>
          <w:p>
            <w:pPr>
              <w:spacing w:after="0"/>
            </w:pPr>
            <w:r/>
            <w:r>
              <w:rPr>
                <w:rFonts w:ascii="Aptos" w:hAnsi="Aptos"/>
                <w:b w:val="0"/>
                <w:sz w:val="15"/>
              </w:rPr>
              <w:t>READY / CONDITIONAL / NOT_READY / REVIEW_REQUIRED + Why</w:t>
            </w:r>
          </w:p>
        </w:tc>
      </w:tr>
      <w:tr>
        <w:tc>
          <w:tcPr>
            <w:tcW w:type="dxa" w:w="3408"/>
            <w:vAlign w:val="center"/>
            <w:shd w:fill="F4F7FA"/>
          </w:tcPr>
          <w:p>
            <w:pPr>
              <w:spacing w:after="0"/>
            </w:pPr>
            <w:r/>
            <w:r>
              <w:rPr>
                <w:rFonts w:ascii="Aptos" w:hAnsi="Aptos"/>
                <w:b w:val="0"/>
                <w:sz w:val="15"/>
              </w:rPr>
              <w:t>8. Audit / Replay</w:t>
            </w:r>
          </w:p>
        </w:tc>
        <w:tc>
          <w:tcPr>
            <w:tcW w:type="dxa" w:w="3408"/>
            <w:vAlign w:val="center"/>
            <w:shd w:fill="F4F7FA"/>
          </w:tcPr>
          <w:p>
            <w:pPr>
              <w:spacing w:after="0"/>
            </w:pPr>
            <w:r/>
            <w:r>
              <w:rPr>
                <w:rFonts w:ascii="Aptos" w:hAnsi="Aptos"/>
                <w:b w:val="0"/>
                <w:sz w:val="15"/>
              </w:rPr>
              <w:t>Rule set, inputs, source versions, reason tree</w:t>
            </w:r>
          </w:p>
        </w:tc>
        <w:tc>
          <w:tcPr>
            <w:tcW w:type="dxa" w:w="3408"/>
            <w:vAlign w:val="center"/>
            <w:shd w:fill="F4F7FA"/>
          </w:tcPr>
          <w:p>
            <w:pPr>
              <w:spacing w:after="0"/>
            </w:pPr>
            <w:r/>
            <w:r>
              <w:rPr>
                <w:rFonts w:ascii="Aptos" w:hAnsi="Aptos"/>
                <w:b w:val="0"/>
                <w:sz w:val="15"/>
              </w:rPr>
              <w:t>Historical reproducibility</w:t>
            </w:r>
          </w:p>
        </w:tc>
      </w:tr>
    </w:tbl>
    <w:p>
      <w:pPr>
        <w:pStyle w:val="Heading1"/>
      </w:pPr>
      <w:r>
        <w:t>3. Üç Değerli Mantık</w:t>
      </w:r>
    </w:p>
    <w:p>
      <w:r>
        <w:t>Motor binary true/false ile çalışmamalıdır. Mevzuat uygulamasında kritik bilgi yokluğu 'false' sayılamaz.</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Predicate sonucu</w:t>
            </w:r>
          </w:p>
        </w:tc>
        <w:tc>
          <w:tcPr>
            <w:tcW w:type="dxa" w:w="3408"/>
            <w:vAlign w:val="center"/>
            <w:shd w:fill="17365D"/>
          </w:tcPr>
          <w:p>
            <w:pPr>
              <w:spacing w:after="0"/>
            </w:pPr>
            <w:r/>
            <w:r>
              <w:rPr>
                <w:rFonts w:ascii="Aptos" w:hAnsi="Aptos"/>
                <w:b/>
                <w:color w:val="FFFFFF"/>
                <w:sz w:val="15"/>
              </w:rPr>
              <w:t>Anlamı</w:t>
            </w:r>
          </w:p>
        </w:tc>
        <w:tc>
          <w:tcPr>
            <w:tcW w:type="dxa" w:w="3408"/>
            <w:vAlign w:val="center"/>
            <w:shd w:fill="17365D"/>
          </w:tcPr>
          <w:p>
            <w:pPr>
              <w:spacing w:after="0"/>
            </w:pPr>
            <w:r/>
            <w:r>
              <w:rPr>
                <w:rFonts w:ascii="Aptos" w:hAnsi="Aptos"/>
                <w:b/>
                <w:color w:val="FFFFFF"/>
                <w:sz w:val="15"/>
              </w:rPr>
              <w:t>Varsayılan downstream davranış</w:t>
            </w:r>
          </w:p>
        </w:tc>
      </w:tr>
      <w:tr>
        <w:tc>
          <w:tcPr>
            <w:tcW w:type="dxa" w:w="3408"/>
            <w:vAlign w:val="center"/>
          </w:tcPr>
          <w:p>
            <w:pPr>
              <w:spacing w:after="0"/>
            </w:pPr>
            <w:r/>
            <w:r>
              <w:rPr>
                <w:rFonts w:ascii="Aptos" w:hAnsi="Aptos"/>
                <w:b w:val="0"/>
                <w:sz w:val="15"/>
              </w:rPr>
              <w:t>TRUE</w:t>
            </w:r>
          </w:p>
        </w:tc>
        <w:tc>
          <w:tcPr>
            <w:tcW w:type="dxa" w:w="3408"/>
            <w:vAlign w:val="center"/>
          </w:tcPr>
          <w:p>
            <w:pPr>
              <w:spacing w:after="0"/>
            </w:pPr>
            <w:r/>
            <w:r>
              <w:rPr>
                <w:rFonts w:ascii="Aptos" w:hAnsi="Aptos"/>
                <w:b w:val="0"/>
                <w:sz w:val="15"/>
              </w:rPr>
              <w:t>Koşul kanıtlı olarak sağlanıyor</w:t>
            </w:r>
          </w:p>
        </w:tc>
        <w:tc>
          <w:tcPr>
            <w:tcW w:type="dxa" w:w="3408"/>
            <w:vAlign w:val="center"/>
          </w:tcPr>
          <w:p>
            <w:pPr>
              <w:spacing w:after="0"/>
            </w:pPr>
            <w:r/>
            <w:r>
              <w:rPr>
                <w:rFonts w:ascii="Aptos" w:hAnsi="Aptos"/>
                <w:b w:val="0"/>
                <w:sz w:val="15"/>
              </w:rPr>
              <w:t>Rule değerlendirmeye devam eder.</w:t>
            </w:r>
          </w:p>
        </w:tc>
      </w:tr>
      <w:tr>
        <w:tc>
          <w:tcPr>
            <w:tcW w:type="dxa" w:w="3408"/>
            <w:vAlign w:val="center"/>
            <w:shd w:fill="F4F7FA"/>
          </w:tcPr>
          <w:p>
            <w:pPr>
              <w:spacing w:after="0"/>
            </w:pPr>
            <w:r/>
            <w:r>
              <w:rPr>
                <w:rFonts w:ascii="Aptos" w:hAnsi="Aptos"/>
                <w:b w:val="0"/>
                <w:sz w:val="15"/>
              </w:rPr>
              <w:t>FALSE</w:t>
            </w:r>
          </w:p>
        </w:tc>
        <w:tc>
          <w:tcPr>
            <w:tcW w:type="dxa" w:w="3408"/>
            <w:vAlign w:val="center"/>
            <w:shd w:fill="F4F7FA"/>
          </w:tcPr>
          <w:p>
            <w:pPr>
              <w:spacing w:after="0"/>
            </w:pPr>
            <w:r/>
            <w:r>
              <w:rPr>
                <w:rFonts w:ascii="Aptos" w:hAnsi="Aptos"/>
                <w:b w:val="0"/>
                <w:sz w:val="15"/>
              </w:rPr>
              <w:t>Koşul kanıtlı olarak sağlanmıyor</w:t>
            </w:r>
          </w:p>
        </w:tc>
        <w:tc>
          <w:tcPr>
            <w:tcW w:type="dxa" w:w="3408"/>
            <w:vAlign w:val="center"/>
            <w:shd w:fill="F4F7FA"/>
          </w:tcPr>
          <w:p>
            <w:pPr>
              <w:spacing w:after="0"/>
            </w:pPr>
            <w:r/>
            <w:r>
              <w:rPr>
                <w:rFonts w:ascii="Aptos" w:hAnsi="Aptos"/>
                <w:b w:val="0"/>
                <w:sz w:val="15"/>
              </w:rPr>
              <w:t>Rule NOT_APPLICABLE olabilir.</w:t>
            </w:r>
          </w:p>
        </w:tc>
      </w:tr>
      <w:tr>
        <w:tc>
          <w:tcPr>
            <w:tcW w:type="dxa" w:w="3408"/>
            <w:vAlign w:val="center"/>
          </w:tcPr>
          <w:p>
            <w:pPr>
              <w:spacing w:after="0"/>
            </w:pPr>
            <w:r/>
            <w:r>
              <w:rPr>
                <w:rFonts w:ascii="Aptos" w:hAnsi="Aptos"/>
                <w:b w:val="0"/>
                <w:sz w:val="15"/>
              </w:rPr>
              <w:t>UNKNOWN</w:t>
            </w:r>
          </w:p>
        </w:tc>
        <w:tc>
          <w:tcPr>
            <w:tcW w:type="dxa" w:w="3408"/>
            <w:vAlign w:val="center"/>
          </w:tcPr>
          <w:p>
            <w:pPr>
              <w:spacing w:after="0"/>
            </w:pPr>
            <w:r/>
            <w:r>
              <w:rPr>
                <w:rFonts w:ascii="Aptos" w:hAnsi="Aptos"/>
                <w:b w:val="0"/>
                <w:sz w:val="15"/>
              </w:rPr>
              <w:t>Girdi eksik, stale, unverified veya source conflict var</w:t>
            </w:r>
          </w:p>
        </w:tc>
        <w:tc>
          <w:tcPr>
            <w:tcW w:type="dxa" w:w="3408"/>
            <w:vAlign w:val="center"/>
          </w:tcPr>
          <w:p>
            <w:pPr>
              <w:spacing w:after="0"/>
            </w:pPr>
            <w:r/>
            <w:r>
              <w:rPr>
                <w:rFonts w:ascii="Aptos" w:hAnsi="Aptos"/>
                <w:b w:val="0"/>
                <w:sz w:val="15"/>
              </w:rPr>
              <w:t>Kritik rule için REVIEW_REQUIRED.</w:t>
            </w:r>
          </w:p>
        </w:tc>
      </w:tr>
    </w:tbl>
    <w:p>
      <w:pPr>
        <w:pStyle w:val="ListBullet"/>
        <w:spacing w:after="40"/>
      </w:pPr>
      <w:r>
        <w:t>Unknown flag/class/build date/material cargo input, kritik applicability rule'unda NOT_APPLICABLE üretmemeli.</w:t>
      </w:r>
    </w:p>
    <w:p>
      <w:pPr>
        <w:pStyle w:val="ListBullet"/>
        <w:spacing w:after="40"/>
      </w:pPr>
      <w:r>
        <w:t>Bir rule'ın unknownPolicy değeri ancak controlled rule config ile değişebilir.</w:t>
      </w:r>
    </w:p>
    <w:p>
      <w:pPr>
        <w:pStyle w:val="ListBullet"/>
        <w:spacing w:after="40"/>
      </w:pPr>
      <w:r>
        <w:t>FAIL_CLOSED yalnız güvenlik açısından 'devam etme' yerine bloklama gereken product-control kurallarında kullanılabilir.</w:t>
      </w:r>
    </w:p>
    <w:p>
      <w:pPr>
        <w:pStyle w:val="Heading1"/>
      </w:pPr>
      <w:r>
        <w:t>4. Input Modeli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pPr>
              <w:spacing w:after="0"/>
            </w:pPr>
            <w:r/>
            <w:r>
              <w:rPr>
                <w:rFonts w:ascii="Aptos" w:hAnsi="Aptos"/>
                <w:b/>
                <w:color w:val="FFFFFF"/>
                <w:sz w:val="15"/>
              </w:rPr>
              <w:t>Domain</w:t>
            </w:r>
          </w:p>
        </w:tc>
        <w:tc>
          <w:tcPr>
            <w:tcW w:type="dxa" w:w="2556"/>
            <w:vAlign w:val="center"/>
            <w:shd w:fill="17365D"/>
          </w:tcPr>
          <w:p>
            <w:pPr>
              <w:spacing w:after="0"/>
            </w:pPr>
            <w:r/>
            <w:r>
              <w:rPr>
                <w:rFonts w:ascii="Aptos" w:hAnsi="Aptos"/>
                <w:b/>
                <w:color w:val="FFFFFF"/>
                <w:sz w:val="15"/>
              </w:rPr>
              <w:t>Input path</w:t>
            </w:r>
          </w:p>
        </w:tc>
        <w:tc>
          <w:tcPr>
            <w:tcW w:type="dxa" w:w="2556"/>
            <w:vAlign w:val="center"/>
            <w:shd w:fill="17365D"/>
          </w:tcPr>
          <w:p>
            <w:pPr>
              <w:spacing w:after="0"/>
            </w:pPr>
            <w:r/>
            <w:r>
              <w:rPr>
                <w:rFonts w:ascii="Aptos" w:hAnsi="Aptos"/>
                <w:b/>
                <w:color w:val="FFFFFF"/>
                <w:sz w:val="15"/>
              </w:rPr>
              <w:t>Örnek</w:t>
            </w:r>
          </w:p>
        </w:tc>
        <w:tc>
          <w:tcPr>
            <w:tcW w:type="dxa" w:w="2556"/>
            <w:vAlign w:val="center"/>
            <w:shd w:fill="17365D"/>
          </w:tcPr>
          <w:p>
            <w:pPr>
              <w:spacing w:after="0"/>
            </w:pPr>
            <w:r/>
            <w:r>
              <w:rPr>
                <w:rFonts w:ascii="Aptos" w:hAnsi="Aptos"/>
                <w:b/>
                <w:color w:val="FFFFFF"/>
                <w:sz w:val="15"/>
              </w:rPr>
              <w:t>Kullanım</w:t>
            </w:r>
          </w:p>
        </w:tc>
      </w:tr>
      <w:tr>
        <w:tc>
          <w:tcPr>
            <w:tcW w:type="dxa" w:w="2556"/>
            <w:vAlign w:val="center"/>
          </w:tcPr>
          <w:p>
            <w:pPr>
              <w:spacing w:after="0"/>
            </w:pPr>
            <w:r/>
            <w:r>
              <w:rPr>
                <w:rFonts w:ascii="Aptos" w:hAnsi="Aptos"/>
                <w:b w:val="0"/>
                <w:sz w:val="15"/>
              </w:rPr>
              <w:t>Context</w:t>
            </w:r>
          </w:p>
        </w:tc>
        <w:tc>
          <w:tcPr>
            <w:tcW w:type="dxa" w:w="2556"/>
            <w:vAlign w:val="center"/>
          </w:tcPr>
          <w:p>
            <w:pPr>
              <w:spacing w:after="0"/>
            </w:pPr>
            <w:r/>
            <w:r>
              <w:rPr>
                <w:rFonts w:ascii="Aptos" w:hAnsi="Aptos"/>
                <w:b w:val="0"/>
                <w:sz w:val="15"/>
              </w:rPr>
              <w:t>context.mode</w:t>
            </w:r>
          </w:p>
        </w:tc>
        <w:tc>
          <w:tcPr>
            <w:tcW w:type="dxa" w:w="2556"/>
            <w:vAlign w:val="center"/>
          </w:tcPr>
          <w:p>
            <w:pPr>
              <w:spacing w:after="0"/>
            </w:pPr>
            <w:r/>
            <w:r>
              <w:rPr>
                <w:rFonts w:ascii="Aptos" w:hAnsi="Aptos"/>
                <w:b w:val="0"/>
                <w:sz w:val="15"/>
              </w:rPr>
              <w:t>SHIP / TUG</w:t>
            </w:r>
          </w:p>
        </w:tc>
        <w:tc>
          <w:tcPr>
            <w:tcW w:type="dxa" w:w="2556"/>
            <w:vAlign w:val="center"/>
          </w:tcPr>
          <w:p>
            <w:pPr>
              <w:spacing w:after="0"/>
            </w:pPr>
            <w:r/>
            <w:r>
              <w:rPr>
                <w:rFonts w:ascii="Aptos" w:hAnsi="Aptos"/>
                <w:b w:val="0"/>
                <w:sz w:val="15"/>
              </w:rPr>
              <w:t>Zorunlu</w:t>
            </w:r>
          </w:p>
        </w:tc>
      </w:tr>
      <w:tr>
        <w:tc>
          <w:tcPr>
            <w:tcW w:type="dxa" w:w="2556"/>
            <w:vAlign w:val="center"/>
            <w:shd w:fill="F4F7FA"/>
          </w:tcPr>
          <w:p>
            <w:pPr>
              <w:spacing w:after="0"/>
            </w:pPr>
            <w:r/>
            <w:r>
              <w:rPr>
                <w:rFonts w:ascii="Aptos" w:hAnsi="Aptos"/>
                <w:b w:val="0"/>
                <w:sz w:val="15"/>
              </w:rPr>
              <w:t>Context</w:t>
            </w:r>
          </w:p>
        </w:tc>
        <w:tc>
          <w:tcPr>
            <w:tcW w:type="dxa" w:w="2556"/>
            <w:vAlign w:val="center"/>
            <w:shd w:fill="F4F7FA"/>
          </w:tcPr>
          <w:p>
            <w:pPr>
              <w:spacing w:after="0"/>
            </w:pPr>
            <w:r/>
            <w:r>
              <w:rPr>
                <w:rFonts w:ascii="Aptos" w:hAnsi="Aptos"/>
                <w:b w:val="0"/>
                <w:sz w:val="15"/>
              </w:rPr>
              <w:t>evaluationDate</w:t>
            </w:r>
          </w:p>
        </w:tc>
        <w:tc>
          <w:tcPr>
            <w:tcW w:type="dxa" w:w="2556"/>
            <w:vAlign w:val="center"/>
            <w:shd w:fill="F4F7FA"/>
          </w:tcPr>
          <w:p>
            <w:pPr>
              <w:spacing w:after="0"/>
            </w:pPr>
            <w:r/>
            <w:r>
              <w:rPr>
                <w:rFonts w:ascii="Aptos" w:hAnsi="Aptos"/>
                <w:b w:val="0"/>
                <w:sz w:val="15"/>
              </w:rPr>
              <w:t>Date</w:t>
            </w:r>
          </w:p>
        </w:tc>
        <w:tc>
          <w:tcPr>
            <w:tcW w:type="dxa" w:w="2556"/>
            <w:vAlign w:val="center"/>
            <w:shd w:fill="F4F7FA"/>
          </w:tcPr>
          <w:p>
            <w:pPr>
              <w:spacing w:after="0"/>
            </w:pPr>
            <w:r/>
            <w:r>
              <w:rPr>
                <w:rFonts w:ascii="Aptos" w:hAnsi="Aptos"/>
                <w:b w:val="0"/>
                <w:sz w:val="15"/>
              </w:rPr>
              <w:t>Zorunlu</w:t>
            </w:r>
          </w:p>
        </w:tc>
      </w:tr>
      <w:tr>
        <w:tc>
          <w:tcPr>
            <w:tcW w:type="dxa" w:w="2556"/>
            <w:vAlign w:val="center"/>
          </w:tcPr>
          <w:p>
            <w:pPr>
              <w:spacing w:after="0"/>
            </w:pPr>
            <w:r/>
            <w:r>
              <w:rPr>
                <w:rFonts w:ascii="Aptos" w:hAnsi="Aptos"/>
                <w:b w:val="0"/>
                <w:sz w:val="15"/>
              </w:rPr>
              <w:t>Vessel</w:t>
            </w:r>
          </w:p>
        </w:tc>
        <w:tc>
          <w:tcPr>
            <w:tcW w:type="dxa" w:w="2556"/>
            <w:vAlign w:val="center"/>
          </w:tcPr>
          <w:p>
            <w:pPr>
              <w:spacing w:after="0"/>
            </w:pPr>
            <w:r/>
            <w:r>
              <w:rPr>
                <w:rFonts w:ascii="Aptos" w:hAnsi="Aptos"/>
                <w:b w:val="0"/>
                <w:sz w:val="15"/>
              </w:rPr>
              <w:t>flag</w:t>
            </w:r>
          </w:p>
        </w:tc>
        <w:tc>
          <w:tcPr>
            <w:tcW w:type="dxa" w:w="2556"/>
            <w:vAlign w:val="center"/>
          </w:tcPr>
          <w:p>
            <w:pPr>
              <w:spacing w:after="0"/>
            </w:pPr>
            <w:r/>
            <w:r>
              <w:rPr>
                <w:rFonts w:ascii="Aptos" w:hAnsi="Aptos"/>
                <w:b w:val="0"/>
                <w:sz w:val="15"/>
              </w:rPr>
              <w:t>Flag State</w:t>
            </w:r>
          </w:p>
        </w:tc>
        <w:tc>
          <w:tcPr>
            <w:tcW w:type="dxa" w:w="2556"/>
            <w:vAlign w:val="center"/>
          </w:tcPr>
          <w:p>
            <w:pPr>
              <w:spacing w:after="0"/>
            </w:pPr>
            <w:r/>
            <w:r>
              <w:rPr>
                <w:rFonts w:ascii="Aptos" w:hAnsi="Aptos"/>
                <w:b w:val="0"/>
                <w:sz w:val="15"/>
              </w:rPr>
              <w:t>Zorunlu</w:t>
            </w:r>
          </w:p>
        </w:tc>
      </w:tr>
      <w:tr>
        <w:tc>
          <w:tcPr>
            <w:tcW w:type="dxa" w:w="2556"/>
            <w:vAlign w:val="center"/>
            <w:shd w:fill="F4F7FA"/>
          </w:tcPr>
          <w:p>
            <w:pPr>
              <w:spacing w:after="0"/>
            </w:pPr>
            <w:r/>
            <w:r>
              <w:rPr>
                <w:rFonts w:ascii="Aptos" w:hAnsi="Aptos"/>
                <w:b w:val="0"/>
                <w:sz w:val="15"/>
              </w:rPr>
              <w:t>Vessel</w:t>
            </w:r>
          </w:p>
        </w:tc>
        <w:tc>
          <w:tcPr>
            <w:tcW w:type="dxa" w:w="2556"/>
            <w:vAlign w:val="center"/>
            <w:shd w:fill="F4F7FA"/>
          </w:tcPr>
          <w:p>
            <w:pPr>
              <w:spacing w:after="0"/>
            </w:pPr>
            <w:r/>
            <w:r>
              <w:rPr>
                <w:rFonts w:ascii="Aptos" w:hAnsi="Aptos"/>
                <w:b w:val="0"/>
                <w:sz w:val="15"/>
              </w:rPr>
              <w:t>type / subtype</w:t>
            </w:r>
          </w:p>
        </w:tc>
        <w:tc>
          <w:tcPr>
            <w:tcW w:type="dxa" w:w="2556"/>
            <w:vAlign w:val="center"/>
            <w:shd w:fill="F4F7FA"/>
          </w:tcPr>
          <w:p>
            <w:pPr>
              <w:spacing w:after="0"/>
            </w:pPr>
            <w:r/>
            <w:r>
              <w:rPr>
                <w:rFonts w:ascii="Aptos" w:hAnsi="Aptos"/>
                <w:b w:val="0"/>
                <w:sz w:val="15"/>
              </w:rPr>
              <w:t>Oil tanker, container, ASD Tug, ocean tug vb.</w:t>
            </w:r>
          </w:p>
        </w:tc>
        <w:tc>
          <w:tcPr>
            <w:tcW w:type="dxa" w:w="2556"/>
            <w:vAlign w:val="center"/>
            <w:shd w:fill="F4F7FA"/>
          </w:tcPr>
          <w:p>
            <w:pPr>
              <w:spacing w:after="0"/>
            </w:pPr>
            <w:r/>
            <w:r>
              <w:rPr>
                <w:rFonts w:ascii="Aptos" w:hAnsi="Aptos"/>
                <w:b w:val="0"/>
                <w:sz w:val="15"/>
              </w:rPr>
              <w:t>Zorunlu</w:t>
            </w:r>
          </w:p>
        </w:tc>
      </w:tr>
      <w:tr>
        <w:tc>
          <w:tcPr>
            <w:tcW w:type="dxa" w:w="2556"/>
            <w:vAlign w:val="center"/>
          </w:tcPr>
          <w:p>
            <w:pPr>
              <w:spacing w:after="0"/>
            </w:pPr>
            <w:r/>
            <w:r>
              <w:rPr>
                <w:rFonts w:ascii="Aptos" w:hAnsi="Aptos"/>
                <w:b w:val="0"/>
                <w:sz w:val="15"/>
              </w:rPr>
              <w:t>Vessel</w:t>
            </w:r>
          </w:p>
        </w:tc>
        <w:tc>
          <w:tcPr>
            <w:tcW w:type="dxa" w:w="2556"/>
            <w:vAlign w:val="center"/>
          </w:tcPr>
          <w:p>
            <w:pPr>
              <w:spacing w:after="0"/>
            </w:pPr>
            <w:r/>
            <w:r>
              <w:rPr>
                <w:rFonts w:ascii="Aptos" w:hAnsi="Aptos"/>
                <w:b w:val="0"/>
                <w:sz w:val="15"/>
              </w:rPr>
              <w:t>GT / NT / DWT</w:t>
            </w:r>
          </w:p>
        </w:tc>
        <w:tc>
          <w:tcPr>
            <w:tcW w:type="dxa" w:w="2556"/>
            <w:vAlign w:val="center"/>
          </w:tcPr>
          <w:p>
            <w:pPr>
              <w:spacing w:after="0"/>
            </w:pPr>
            <w:r/>
            <w:r>
              <w:rPr>
                <w:rFonts w:ascii="Aptos" w:hAnsi="Aptos"/>
                <w:b w:val="0"/>
                <w:sz w:val="15"/>
              </w:rPr>
              <w:t>Tonnage inputs</w:t>
            </w:r>
          </w:p>
        </w:tc>
        <w:tc>
          <w:tcPr>
            <w:tcW w:type="dxa" w:w="2556"/>
            <w:vAlign w:val="center"/>
          </w:tcPr>
          <w:p>
            <w:pPr>
              <w:spacing w:after="0"/>
            </w:pPr>
            <w:r/>
            <w:r>
              <w:rPr>
                <w:rFonts w:ascii="Aptos" w:hAnsi="Aptos"/>
                <w:b w:val="0"/>
                <w:sz w:val="15"/>
              </w:rPr>
              <w:t>Koşullu</w:t>
            </w:r>
          </w:p>
        </w:tc>
      </w:tr>
      <w:tr>
        <w:tc>
          <w:tcPr>
            <w:tcW w:type="dxa" w:w="2556"/>
            <w:vAlign w:val="center"/>
            <w:shd w:fill="F4F7FA"/>
          </w:tcPr>
          <w:p>
            <w:pPr>
              <w:spacing w:after="0"/>
            </w:pPr>
            <w:r/>
            <w:r>
              <w:rPr>
                <w:rFonts w:ascii="Aptos" w:hAnsi="Aptos"/>
                <w:b w:val="0"/>
                <w:sz w:val="15"/>
              </w:rPr>
              <w:t>Vessel</w:t>
            </w:r>
          </w:p>
        </w:tc>
        <w:tc>
          <w:tcPr>
            <w:tcW w:type="dxa" w:w="2556"/>
            <w:vAlign w:val="center"/>
            <w:shd w:fill="F4F7FA"/>
          </w:tcPr>
          <w:p>
            <w:pPr>
              <w:spacing w:after="0"/>
            </w:pPr>
            <w:r/>
            <w:r>
              <w:rPr>
                <w:rFonts w:ascii="Aptos" w:hAnsi="Aptos"/>
                <w:b w:val="0"/>
                <w:sz w:val="15"/>
              </w:rPr>
              <w:t>mainPropulsionKw</w:t>
            </w:r>
          </w:p>
        </w:tc>
        <w:tc>
          <w:tcPr>
            <w:tcW w:type="dxa" w:w="2556"/>
            <w:vAlign w:val="center"/>
            <w:shd w:fill="F4F7FA"/>
          </w:tcPr>
          <w:p>
            <w:pPr>
              <w:spacing w:after="0"/>
            </w:pPr>
            <w:r/>
            <w:r>
              <w:rPr>
                <w:rFonts w:ascii="Aptos" w:hAnsi="Aptos"/>
                <w:b w:val="0"/>
                <w:sz w:val="15"/>
              </w:rPr>
              <w:t>Crew/equipment/regulatory thresholds</w:t>
            </w:r>
          </w:p>
        </w:tc>
        <w:tc>
          <w:tcPr>
            <w:tcW w:type="dxa" w:w="2556"/>
            <w:vAlign w:val="center"/>
            <w:shd w:fill="F4F7FA"/>
          </w:tcPr>
          <w:p>
            <w:pPr>
              <w:spacing w:after="0"/>
            </w:pPr>
            <w:r/>
            <w:r>
              <w:rPr>
                <w:rFonts w:ascii="Aptos" w:hAnsi="Aptos"/>
                <w:b w:val="0"/>
                <w:sz w:val="15"/>
              </w:rPr>
              <w:t>Koşullu</w:t>
            </w:r>
          </w:p>
        </w:tc>
      </w:tr>
      <w:tr>
        <w:tc>
          <w:tcPr>
            <w:tcW w:type="dxa" w:w="2556"/>
            <w:vAlign w:val="center"/>
          </w:tcPr>
          <w:p>
            <w:pPr>
              <w:spacing w:after="0"/>
            </w:pPr>
            <w:r/>
            <w:r>
              <w:rPr>
                <w:rFonts w:ascii="Aptos" w:hAnsi="Aptos"/>
                <w:b w:val="0"/>
                <w:sz w:val="15"/>
              </w:rPr>
              <w:t>Vessel</w:t>
            </w:r>
          </w:p>
        </w:tc>
        <w:tc>
          <w:tcPr>
            <w:tcW w:type="dxa" w:w="2556"/>
            <w:vAlign w:val="center"/>
          </w:tcPr>
          <w:p>
            <w:pPr>
              <w:spacing w:after="0"/>
            </w:pPr>
            <w:r/>
            <w:r>
              <w:rPr>
                <w:rFonts w:ascii="Aptos" w:hAnsi="Aptos"/>
                <w:b w:val="0"/>
                <w:sz w:val="15"/>
              </w:rPr>
              <w:t>buildDate / contractForConstructionDate</w:t>
            </w:r>
          </w:p>
        </w:tc>
        <w:tc>
          <w:tcPr>
            <w:tcW w:type="dxa" w:w="2556"/>
            <w:vAlign w:val="center"/>
          </w:tcPr>
          <w:p>
            <w:pPr>
              <w:spacing w:after="0"/>
            </w:pPr>
            <w:r/>
            <w:r>
              <w:rPr>
                <w:rFonts w:ascii="Aptos" w:hAnsi="Aptos"/>
                <w:b w:val="0"/>
                <w:sz w:val="15"/>
              </w:rPr>
              <w:t>Rule effective/build applicability</w:t>
            </w:r>
          </w:p>
        </w:tc>
        <w:tc>
          <w:tcPr>
            <w:tcW w:type="dxa" w:w="2556"/>
            <w:vAlign w:val="center"/>
          </w:tcPr>
          <w:p>
            <w:pPr>
              <w:spacing w:after="0"/>
            </w:pPr>
            <w:r/>
            <w:r>
              <w:rPr>
                <w:rFonts w:ascii="Aptos" w:hAnsi="Aptos"/>
                <w:b w:val="0"/>
                <w:sz w:val="15"/>
              </w:rPr>
              <w:t>Koşullu</w:t>
            </w:r>
          </w:p>
        </w:tc>
      </w:tr>
      <w:tr>
        <w:tc>
          <w:tcPr>
            <w:tcW w:type="dxa" w:w="2556"/>
            <w:vAlign w:val="center"/>
            <w:shd w:fill="F4F7FA"/>
          </w:tcPr>
          <w:p>
            <w:pPr>
              <w:spacing w:after="0"/>
            </w:pPr>
            <w:r/>
            <w:r>
              <w:rPr>
                <w:rFonts w:ascii="Aptos" w:hAnsi="Aptos"/>
                <w:b w:val="0"/>
                <w:sz w:val="15"/>
              </w:rPr>
              <w:t>Class</w:t>
            </w:r>
          </w:p>
        </w:tc>
        <w:tc>
          <w:tcPr>
            <w:tcW w:type="dxa" w:w="2556"/>
            <w:vAlign w:val="center"/>
            <w:shd w:fill="F4F7FA"/>
          </w:tcPr>
          <w:p>
            <w:pPr>
              <w:spacing w:after="0"/>
            </w:pPr>
            <w:r/>
            <w:r>
              <w:rPr>
                <w:rFonts w:ascii="Aptos" w:hAnsi="Aptos"/>
                <w:b w:val="0"/>
                <w:sz w:val="15"/>
              </w:rPr>
              <w:t>classSociety / notation / rulePack</w:t>
            </w:r>
          </w:p>
        </w:tc>
        <w:tc>
          <w:tcPr>
            <w:tcW w:type="dxa" w:w="2556"/>
            <w:vAlign w:val="center"/>
            <w:shd w:fill="F4F7FA"/>
          </w:tcPr>
          <w:p>
            <w:pPr>
              <w:spacing w:after="0"/>
            </w:pPr>
            <w:r/>
            <w:r>
              <w:rPr>
                <w:rFonts w:ascii="Aptos" w:hAnsi="Aptos"/>
                <w:b w:val="0"/>
                <w:sz w:val="15"/>
              </w:rPr>
              <w:t>Class-specific control activation</w:t>
            </w:r>
          </w:p>
        </w:tc>
        <w:tc>
          <w:tcPr>
            <w:tcW w:type="dxa" w:w="2556"/>
            <w:vAlign w:val="center"/>
            <w:shd w:fill="F4F7FA"/>
          </w:tcPr>
          <w:p>
            <w:pPr>
              <w:spacing w:after="0"/>
            </w:pPr>
            <w:r/>
            <w:r>
              <w:rPr>
                <w:rFonts w:ascii="Aptos" w:hAnsi="Aptos"/>
                <w:b w:val="0"/>
                <w:sz w:val="15"/>
              </w:rPr>
              <w:t>Koşullu</w:t>
            </w:r>
          </w:p>
        </w:tc>
      </w:tr>
      <w:tr>
        <w:tc>
          <w:tcPr>
            <w:tcW w:type="dxa" w:w="2556"/>
            <w:vAlign w:val="center"/>
          </w:tcPr>
          <w:p>
            <w:pPr>
              <w:spacing w:after="0"/>
            </w:pPr>
            <w:r/>
            <w:r>
              <w:rPr>
                <w:rFonts w:ascii="Aptos" w:hAnsi="Aptos"/>
                <w:b w:val="0"/>
                <w:sz w:val="15"/>
              </w:rPr>
              <w:t>Voyage/Area</w:t>
            </w:r>
          </w:p>
        </w:tc>
        <w:tc>
          <w:tcPr>
            <w:tcW w:type="dxa" w:w="2556"/>
            <w:vAlign w:val="center"/>
          </w:tcPr>
          <w:p>
            <w:pPr>
              <w:spacing w:after="0"/>
            </w:pPr>
            <w:r/>
            <w:r>
              <w:rPr>
                <w:rFonts w:ascii="Aptos" w:hAnsi="Aptos"/>
                <w:b w:val="0"/>
                <w:sz w:val="15"/>
              </w:rPr>
              <w:t>tradingArea / operatingArea</w:t>
            </w:r>
          </w:p>
        </w:tc>
        <w:tc>
          <w:tcPr>
            <w:tcW w:type="dxa" w:w="2556"/>
            <w:vAlign w:val="center"/>
          </w:tcPr>
          <w:p>
            <w:pPr>
              <w:spacing w:after="0"/>
            </w:pPr>
            <w:r/>
            <w:r>
              <w:rPr>
                <w:rFonts w:ascii="Aptos" w:hAnsi="Aptos"/>
                <w:b w:val="0"/>
                <w:sz w:val="15"/>
              </w:rPr>
              <w:t>International, cabotage, harbour, strait etc.</w:t>
            </w:r>
          </w:p>
        </w:tc>
        <w:tc>
          <w:tcPr>
            <w:tcW w:type="dxa" w:w="2556"/>
            <w:vAlign w:val="center"/>
          </w:tcPr>
          <w:p>
            <w:pPr>
              <w:spacing w:after="0"/>
            </w:pPr>
            <w:r/>
            <w:r>
              <w:rPr>
                <w:rFonts w:ascii="Aptos" w:hAnsi="Aptos"/>
                <w:b w:val="0"/>
                <w:sz w:val="15"/>
              </w:rPr>
              <w:t>Koşullu</w:t>
            </w:r>
          </w:p>
        </w:tc>
      </w:tr>
      <w:tr>
        <w:tc>
          <w:tcPr>
            <w:tcW w:type="dxa" w:w="2556"/>
            <w:vAlign w:val="center"/>
            <w:shd w:fill="F4F7FA"/>
          </w:tcPr>
          <w:p>
            <w:pPr>
              <w:spacing w:after="0"/>
            </w:pPr>
            <w:r/>
            <w:r>
              <w:rPr>
                <w:rFonts w:ascii="Aptos" w:hAnsi="Aptos"/>
                <w:b w:val="0"/>
                <w:sz w:val="15"/>
              </w:rPr>
              <w:t>Operation</w:t>
            </w:r>
          </w:p>
        </w:tc>
        <w:tc>
          <w:tcPr>
            <w:tcW w:type="dxa" w:w="2556"/>
            <w:vAlign w:val="center"/>
            <w:shd w:fill="F4F7FA"/>
          </w:tcPr>
          <w:p>
            <w:pPr>
              <w:spacing w:after="0"/>
            </w:pPr>
            <w:r/>
            <w:r>
              <w:rPr>
                <w:rFonts w:ascii="Aptos" w:hAnsi="Aptos"/>
                <w:b w:val="0"/>
                <w:sz w:val="15"/>
              </w:rPr>
              <w:t>operationType / jobType / profile</w:t>
            </w:r>
          </w:p>
        </w:tc>
        <w:tc>
          <w:tcPr>
            <w:tcW w:type="dxa" w:w="2556"/>
            <w:vAlign w:val="center"/>
            <w:shd w:fill="F4F7FA"/>
          </w:tcPr>
          <w:p>
            <w:pPr>
              <w:spacing w:after="0"/>
            </w:pPr>
            <w:r/>
            <w:r>
              <w:rPr>
                <w:rFonts w:ascii="Aptos" w:hAnsi="Aptos"/>
                <w:b w:val="0"/>
                <w:sz w:val="15"/>
              </w:rPr>
              <w:t>Departure, bunkering, harbour assist, escort, ocean towage</w:t>
            </w:r>
          </w:p>
        </w:tc>
        <w:tc>
          <w:tcPr>
            <w:tcW w:type="dxa" w:w="2556"/>
            <w:vAlign w:val="center"/>
            <w:shd w:fill="F4F7FA"/>
          </w:tcPr>
          <w:p>
            <w:pPr>
              <w:spacing w:after="0"/>
            </w:pPr>
            <w:r/>
            <w:r>
              <w:rPr>
                <w:rFonts w:ascii="Aptos" w:hAnsi="Aptos"/>
                <w:b w:val="0"/>
                <w:sz w:val="15"/>
              </w:rPr>
              <w:t>Koşullu</w:t>
            </w:r>
          </w:p>
        </w:tc>
      </w:tr>
      <w:tr>
        <w:tc>
          <w:tcPr>
            <w:tcW w:type="dxa" w:w="2556"/>
            <w:vAlign w:val="center"/>
          </w:tcPr>
          <w:p>
            <w:pPr>
              <w:spacing w:after="0"/>
            </w:pPr>
            <w:r/>
            <w:r>
              <w:rPr>
                <w:rFonts w:ascii="Aptos" w:hAnsi="Aptos"/>
                <w:b w:val="0"/>
                <w:sz w:val="15"/>
              </w:rPr>
              <w:t>Cargo</w:t>
            </w:r>
          </w:p>
        </w:tc>
        <w:tc>
          <w:tcPr>
            <w:tcW w:type="dxa" w:w="2556"/>
            <w:vAlign w:val="center"/>
          </w:tcPr>
          <w:p>
            <w:pPr>
              <w:spacing w:after="0"/>
            </w:pPr>
            <w:r/>
            <w:r>
              <w:rPr>
                <w:rFonts w:ascii="Aptos" w:hAnsi="Aptos"/>
                <w:b w:val="0"/>
                <w:sz w:val="15"/>
              </w:rPr>
              <w:t>cargoType / dangerous goods flags</w:t>
            </w:r>
          </w:p>
        </w:tc>
        <w:tc>
          <w:tcPr>
            <w:tcW w:type="dxa" w:w="2556"/>
            <w:vAlign w:val="center"/>
          </w:tcPr>
          <w:p>
            <w:pPr>
              <w:spacing w:after="0"/>
            </w:pPr>
            <w:r/>
            <w:r>
              <w:rPr>
                <w:rFonts w:ascii="Aptos" w:hAnsi="Aptos"/>
                <w:b w:val="0"/>
                <w:sz w:val="15"/>
              </w:rPr>
              <w:t>IMDG/MARPOL/IBC/IGC applicability</w:t>
            </w:r>
          </w:p>
        </w:tc>
        <w:tc>
          <w:tcPr>
            <w:tcW w:type="dxa" w:w="2556"/>
            <w:vAlign w:val="center"/>
          </w:tcPr>
          <w:p>
            <w:pPr>
              <w:spacing w:after="0"/>
            </w:pPr>
            <w:r/>
            <w:r>
              <w:rPr>
                <w:rFonts w:ascii="Aptos" w:hAnsi="Aptos"/>
                <w:b w:val="0"/>
                <w:sz w:val="15"/>
              </w:rPr>
              <w:t>Koşullu</w:t>
            </w:r>
          </w:p>
        </w:tc>
      </w:tr>
      <w:tr>
        <w:tc>
          <w:tcPr>
            <w:tcW w:type="dxa" w:w="2556"/>
            <w:vAlign w:val="center"/>
            <w:shd w:fill="F4F7FA"/>
          </w:tcPr>
          <w:p>
            <w:pPr>
              <w:spacing w:after="0"/>
            </w:pPr>
            <w:r/>
            <w:r>
              <w:rPr>
                <w:rFonts w:ascii="Aptos" w:hAnsi="Aptos"/>
                <w:b w:val="0"/>
                <w:sz w:val="15"/>
              </w:rPr>
              <w:t>Equipment</w:t>
            </w:r>
          </w:p>
        </w:tc>
        <w:tc>
          <w:tcPr>
            <w:tcW w:type="dxa" w:w="2556"/>
            <w:vAlign w:val="center"/>
            <w:shd w:fill="F4F7FA"/>
          </w:tcPr>
          <w:p>
            <w:pPr>
              <w:spacing w:after="0"/>
            </w:pPr>
            <w:r/>
            <w:r>
              <w:rPr>
                <w:rFonts w:ascii="Aptos" w:hAnsi="Aptos"/>
                <w:b w:val="0"/>
                <w:sz w:val="15"/>
              </w:rPr>
              <w:t>installed/configuration/test state</w:t>
            </w:r>
          </w:p>
        </w:tc>
        <w:tc>
          <w:tcPr>
            <w:tcW w:type="dxa" w:w="2556"/>
            <w:vAlign w:val="center"/>
            <w:shd w:fill="F4F7FA"/>
          </w:tcPr>
          <w:p>
            <w:pPr>
              <w:spacing w:after="0"/>
            </w:pPr>
            <w:r/>
            <w:r>
              <w:rPr>
                <w:rFonts w:ascii="Aptos" w:hAnsi="Aptos"/>
                <w:b w:val="0"/>
                <w:sz w:val="15"/>
              </w:rPr>
              <w:t>Winch/BWTS/scrubber/FiFi etc.</w:t>
            </w:r>
          </w:p>
        </w:tc>
        <w:tc>
          <w:tcPr>
            <w:tcW w:type="dxa" w:w="2556"/>
            <w:vAlign w:val="center"/>
            <w:shd w:fill="F4F7FA"/>
          </w:tcPr>
          <w:p>
            <w:pPr>
              <w:spacing w:after="0"/>
            </w:pPr>
            <w:r/>
            <w:r>
              <w:rPr>
                <w:rFonts w:ascii="Aptos" w:hAnsi="Aptos"/>
                <w:b w:val="0"/>
                <w:sz w:val="15"/>
              </w:rPr>
              <w:t>Koşullu</w:t>
            </w:r>
          </w:p>
        </w:tc>
      </w:tr>
      <w:tr>
        <w:tc>
          <w:tcPr>
            <w:tcW w:type="dxa" w:w="2556"/>
            <w:vAlign w:val="center"/>
          </w:tcPr>
          <w:p>
            <w:pPr>
              <w:spacing w:after="0"/>
            </w:pPr>
            <w:r/>
            <w:r>
              <w:rPr>
                <w:rFonts w:ascii="Aptos" w:hAnsi="Aptos"/>
                <w:b w:val="0"/>
                <w:sz w:val="15"/>
              </w:rPr>
              <w:t>Crew</w:t>
            </w:r>
          </w:p>
        </w:tc>
        <w:tc>
          <w:tcPr>
            <w:tcW w:type="dxa" w:w="2556"/>
            <w:vAlign w:val="center"/>
          </w:tcPr>
          <w:p>
            <w:pPr>
              <w:spacing w:after="0"/>
            </w:pPr>
            <w:r/>
            <w:r>
              <w:rPr>
                <w:rFonts w:ascii="Aptos" w:hAnsi="Aptos"/>
                <w:b w:val="0"/>
                <w:sz w:val="15"/>
              </w:rPr>
              <w:t>role/capacity/certificate/limitations</w:t>
            </w:r>
          </w:p>
        </w:tc>
        <w:tc>
          <w:tcPr>
            <w:tcW w:type="dxa" w:w="2556"/>
            <w:vAlign w:val="center"/>
          </w:tcPr>
          <w:p>
            <w:pPr>
              <w:spacing w:after="0"/>
            </w:pPr>
            <w:r/>
            <w:r>
              <w:rPr>
                <w:rFonts w:ascii="Aptos" w:hAnsi="Aptos"/>
                <w:b w:val="0"/>
                <w:sz w:val="15"/>
              </w:rPr>
              <w:t>Eligibility and manning rules</w:t>
            </w:r>
          </w:p>
        </w:tc>
        <w:tc>
          <w:tcPr>
            <w:tcW w:type="dxa" w:w="2556"/>
            <w:vAlign w:val="center"/>
          </w:tcPr>
          <w:p>
            <w:pPr>
              <w:spacing w:after="0"/>
            </w:pPr>
            <w:r/>
            <w:r>
              <w:rPr>
                <w:rFonts w:ascii="Aptos" w:hAnsi="Aptos"/>
                <w:b w:val="0"/>
                <w:sz w:val="15"/>
              </w:rPr>
              <w:t>Koşullu</w:t>
            </w:r>
          </w:p>
        </w:tc>
      </w:tr>
      <w:tr>
        <w:tc>
          <w:tcPr>
            <w:tcW w:type="dxa" w:w="2556"/>
            <w:vAlign w:val="center"/>
            <w:shd w:fill="F4F7FA"/>
          </w:tcPr>
          <w:p>
            <w:pPr>
              <w:spacing w:after="0"/>
            </w:pPr>
            <w:r/>
            <w:r>
              <w:rPr>
                <w:rFonts w:ascii="Aptos" w:hAnsi="Aptos"/>
                <w:b w:val="0"/>
                <w:sz w:val="15"/>
              </w:rPr>
              <w:t>Evidence</w:t>
            </w:r>
          </w:p>
        </w:tc>
        <w:tc>
          <w:tcPr>
            <w:tcW w:type="dxa" w:w="2556"/>
            <w:vAlign w:val="center"/>
            <w:shd w:fill="F4F7FA"/>
          </w:tcPr>
          <w:p>
            <w:pPr>
              <w:spacing w:after="0"/>
            </w:pPr>
            <w:r/>
            <w:r>
              <w:rPr>
                <w:rFonts w:ascii="Aptos" w:hAnsi="Aptos"/>
                <w:b w:val="0"/>
                <w:sz w:val="15"/>
              </w:rPr>
              <w:t>verified/freshness/source/provenance</w:t>
            </w:r>
          </w:p>
        </w:tc>
        <w:tc>
          <w:tcPr>
            <w:tcW w:type="dxa" w:w="2556"/>
            <w:vAlign w:val="center"/>
            <w:shd w:fill="F4F7FA"/>
          </w:tcPr>
          <w:p>
            <w:pPr>
              <w:spacing w:after="0"/>
            </w:pPr>
            <w:r/>
            <w:r>
              <w:rPr>
                <w:rFonts w:ascii="Aptos" w:hAnsi="Aptos"/>
                <w:b w:val="0"/>
                <w:sz w:val="15"/>
              </w:rPr>
              <w:t>Trust level</w:t>
            </w:r>
          </w:p>
        </w:tc>
        <w:tc>
          <w:tcPr>
            <w:tcW w:type="dxa" w:w="2556"/>
            <w:vAlign w:val="center"/>
            <w:shd w:fill="F4F7FA"/>
          </w:tcPr>
          <w:p>
            <w:pPr>
              <w:spacing w:after="0"/>
            </w:pPr>
            <w:r/>
            <w:r>
              <w:rPr>
                <w:rFonts w:ascii="Aptos" w:hAnsi="Aptos"/>
                <w:b w:val="0"/>
                <w:sz w:val="15"/>
              </w:rPr>
              <w:t>Koşullu</w:t>
            </w:r>
          </w:p>
        </w:tc>
      </w:tr>
      <w:tr>
        <w:tc>
          <w:tcPr>
            <w:tcW w:type="dxa" w:w="2556"/>
            <w:vAlign w:val="center"/>
          </w:tcPr>
          <w:p>
            <w:pPr>
              <w:spacing w:after="0"/>
            </w:pPr>
            <w:r/>
            <w:r>
              <w:rPr>
                <w:rFonts w:ascii="Aptos" w:hAnsi="Aptos"/>
                <w:b w:val="0"/>
                <w:sz w:val="15"/>
              </w:rPr>
              <w:t>Regulatory</w:t>
            </w:r>
          </w:p>
        </w:tc>
        <w:tc>
          <w:tcPr>
            <w:tcW w:type="dxa" w:w="2556"/>
            <w:vAlign w:val="center"/>
          </w:tcPr>
          <w:p>
            <w:pPr>
              <w:spacing w:after="0"/>
            </w:pPr>
            <w:r/>
            <w:r>
              <w:rPr>
                <w:rFonts w:ascii="Aptos" w:hAnsi="Aptos"/>
                <w:b w:val="0"/>
                <w:sz w:val="15"/>
              </w:rPr>
              <w:t>upstream derived facts</w:t>
            </w:r>
          </w:p>
        </w:tc>
        <w:tc>
          <w:tcPr>
            <w:tcW w:type="dxa" w:w="2556"/>
            <w:vAlign w:val="center"/>
          </w:tcPr>
          <w:p>
            <w:pPr>
              <w:spacing w:after="0"/>
            </w:pPr>
            <w:r/>
            <w:r>
              <w:rPr>
                <w:rFonts w:ascii="Aptos" w:hAnsi="Aptos"/>
                <w:b w:val="0"/>
                <w:sz w:val="15"/>
              </w:rPr>
              <w:t>ISM/MLC/ISPS/BWM preliminary applicability</w:t>
            </w:r>
          </w:p>
        </w:tc>
        <w:tc>
          <w:tcPr>
            <w:tcW w:type="dxa" w:w="2556"/>
            <w:vAlign w:val="center"/>
          </w:tcPr>
          <w:p>
            <w:pPr>
              <w:spacing w:after="0"/>
            </w:pPr>
            <w:r/>
            <w:r>
              <w:rPr>
                <w:rFonts w:ascii="Aptos" w:hAnsi="Aptos"/>
                <w:b w:val="0"/>
                <w:sz w:val="15"/>
              </w:rPr>
              <w:t>Koşullu</w:t>
            </w:r>
          </w:p>
        </w:tc>
      </w:tr>
    </w:tbl>
    <w:p>
      <w:pPr>
        <w:pStyle w:val="Heading1"/>
      </w:pPr>
      <w:r>
        <w:t>5. Source Lifecycle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State</w:t>
            </w:r>
          </w:p>
        </w:tc>
        <w:tc>
          <w:tcPr>
            <w:tcW w:type="dxa" w:w="3408"/>
            <w:vAlign w:val="center"/>
            <w:shd w:fill="17365D"/>
          </w:tcPr>
          <w:p>
            <w:pPr>
              <w:spacing w:after="0"/>
            </w:pPr>
            <w:r/>
            <w:r>
              <w:rPr>
                <w:rFonts w:ascii="Aptos" w:hAnsi="Aptos"/>
                <w:b/>
                <w:color w:val="FFFFFF"/>
                <w:sz w:val="15"/>
              </w:rPr>
              <w:t>Current compliance'e etkisi</w:t>
            </w:r>
          </w:p>
        </w:tc>
        <w:tc>
          <w:tcPr>
            <w:tcW w:type="dxa" w:w="3408"/>
            <w:vAlign w:val="center"/>
            <w:shd w:fill="17365D"/>
          </w:tcPr>
          <w:p>
            <w:pPr>
              <w:spacing w:after="0"/>
            </w:pPr>
            <w:r/>
            <w:r>
              <w:rPr>
                <w:rFonts w:ascii="Aptos" w:hAnsi="Aptos"/>
                <w:b/>
                <w:color w:val="FFFFFF"/>
                <w:sz w:val="15"/>
              </w:rPr>
              <w:t>Kullanım</w:t>
            </w:r>
          </w:p>
        </w:tc>
      </w:tr>
      <w:tr>
        <w:tc>
          <w:tcPr>
            <w:tcW w:type="dxa" w:w="3408"/>
            <w:vAlign w:val="center"/>
          </w:tcPr>
          <w:p>
            <w:pPr>
              <w:spacing w:after="0"/>
            </w:pPr>
            <w:r/>
            <w:r>
              <w:rPr>
                <w:rFonts w:ascii="Aptos" w:hAnsi="Aptos"/>
                <w:b w:val="0"/>
                <w:sz w:val="15"/>
              </w:rPr>
              <w:t>DRAFT</w:t>
            </w:r>
          </w:p>
        </w:tc>
        <w:tc>
          <w:tcPr>
            <w:tcW w:type="dxa" w:w="3408"/>
            <w:vAlign w:val="center"/>
          </w:tcPr>
          <w:p>
            <w:pPr>
              <w:spacing w:after="0"/>
            </w:pPr>
            <w:r/>
            <w:r>
              <w:rPr>
                <w:rFonts w:ascii="Aptos" w:hAnsi="Aptos"/>
                <w:b w:val="0"/>
                <w:sz w:val="15"/>
              </w:rPr>
              <w:t>Yok</w:t>
            </w:r>
          </w:p>
        </w:tc>
        <w:tc>
          <w:tcPr>
            <w:tcW w:type="dxa" w:w="3408"/>
            <w:vAlign w:val="center"/>
          </w:tcPr>
          <w:p>
            <w:pPr>
              <w:spacing w:after="0"/>
            </w:pPr>
            <w:r/>
            <w:r>
              <w:rPr>
                <w:rFonts w:ascii="Aptos" w:hAnsi="Aptos"/>
                <w:b w:val="0"/>
                <w:sz w:val="15"/>
              </w:rPr>
              <w:t>Authoring/testing</w:t>
            </w:r>
          </w:p>
        </w:tc>
      </w:tr>
      <w:tr>
        <w:tc>
          <w:tcPr>
            <w:tcW w:type="dxa" w:w="3408"/>
            <w:vAlign w:val="center"/>
            <w:shd w:fill="F4F7FA"/>
          </w:tcPr>
          <w:p>
            <w:pPr>
              <w:spacing w:after="0"/>
            </w:pPr>
            <w:r/>
            <w:r>
              <w:rPr>
                <w:rFonts w:ascii="Aptos" w:hAnsi="Aptos"/>
                <w:b w:val="0"/>
                <w:sz w:val="15"/>
              </w:rPr>
              <w:t>ADOPTED</w:t>
            </w:r>
          </w:p>
        </w:tc>
        <w:tc>
          <w:tcPr>
            <w:tcW w:type="dxa" w:w="3408"/>
            <w:vAlign w:val="center"/>
            <w:shd w:fill="F4F7FA"/>
          </w:tcPr>
          <w:p>
            <w:pPr>
              <w:spacing w:after="0"/>
            </w:pPr>
            <w:r/>
            <w:r>
              <w:rPr>
                <w:rFonts w:ascii="Aptos" w:hAnsi="Aptos"/>
                <w:b w:val="0"/>
                <w:sz w:val="15"/>
              </w:rPr>
              <w:t>Effective date gelene kadar current obligation değil</w:t>
            </w:r>
          </w:p>
        </w:tc>
        <w:tc>
          <w:tcPr>
            <w:tcW w:type="dxa" w:w="3408"/>
            <w:vAlign w:val="center"/>
            <w:shd w:fill="F4F7FA"/>
          </w:tcPr>
          <w:p>
            <w:pPr>
              <w:spacing w:after="0"/>
            </w:pPr>
            <w:r/>
            <w:r>
              <w:rPr>
                <w:rFonts w:ascii="Aptos" w:hAnsi="Aptos"/>
                <w:b w:val="0"/>
                <w:sz w:val="15"/>
              </w:rPr>
              <w:t>Hazırlık/impact</w:t>
            </w:r>
          </w:p>
        </w:tc>
      </w:tr>
      <w:tr>
        <w:tc>
          <w:tcPr>
            <w:tcW w:type="dxa" w:w="3408"/>
            <w:vAlign w:val="center"/>
          </w:tcPr>
          <w:p>
            <w:pPr>
              <w:spacing w:after="0"/>
            </w:pPr>
            <w:r/>
            <w:r>
              <w:rPr>
                <w:rFonts w:ascii="Aptos" w:hAnsi="Aptos"/>
                <w:b w:val="0"/>
                <w:sz w:val="15"/>
              </w:rPr>
              <w:t>AWAITING</w:t>
            </w:r>
          </w:p>
        </w:tc>
        <w:tc>
          <w:tcPr>
            <w:tcW w:type="dxa" w:w="3408"/>
            <w:vAlign w:val="center"/>
          </w:tcPr>
          <w:p>
            <w:pPr>
              <w:spacing w:after="0"/>
            </w:pPr>
            <w:r/>
            <w:r>
              <w:rPr>
                <w:rFonts w:ascii="Aptos" w:hAnsi="Aptos"/>
                <w:b w:val="0"/>
                <w:sz w:val="15"/>
              </w:rPr>
              <w:t>Yok</w:t>
            </w:r>
          </w:p>
        </w:tc>
        <w:tc>
          <w:tcPr>
            <w:tcW w:type="dxa" w:w="3408"/>
            <w:vAlign w:val="center"/>
          </w:tcPr>
          <w:p>
            <w:pPr>
              <w:spacing w:after="0"/>
            </w:pPr>
            <w:r/>
            <w:r>
              <w:rPr>
                <w:rFonts w:ascii="Aptos" w:hAnsi="Aptos"/>
                <w:b w:val="0"/>
                <w:sz w:val="15"/>
              </w:rPr>
              <w:t>Acceptance/entry trigger izlenir</w:t>
            </w:r>
          </w:p>
        </w:tc>
      </w:tr>
      <w:tr>
        <w:tc>
          <w:tcPr>
            <w:tcW w:type="dxa" w:w="3408"/>
            <w:vAlign w:val="center"/>
            <w:shd w:fill="F4F7FA"/>
          </w:tcPr>
          <w:p>
            <w:pPr>
              <w:spacing w:after="0"/>
            </w:pPr>
            <w:r/>
            <w:r>
              <w:rPr>
                <w:rFonts w:ascii="Aptos" w:hAnsi="Aptos"/>
                <w:b w:val="0"/>
                <w:sz w:val="15"/>
              </w:rPr>
              <w:t>FUTURE_EFFECTIVE</w:t>
            </w:r>
          </w:p>
        </w:tc>
        <w:tc>
          <w:tcPr>
            <w:tcW w:type="dxa" w:w="3408"/>
            <w:vAlign w:val="center"/>
            <w:shd w:fill="F4F7FA"/>
          </w:tcPr>
          <w:p>
            <w:pPr>
              <w:spacing w:after="0"/>
            </w:pPr>
            <w:r/>
            <w:r>
              <w:rPr>
                <w:rFonts w:ascii="Aptos" w:hAnsi="Aptos"/>
                <w:b w:val="0"/>
                <w:sz w:val="15"/>
              </w:rPr>
              <w:t>Current state'i değiştirmez</w:t>
            </w:r>
          </w:p>
        </w:tc>
        <w:tc>
          <w:tcPr>
            <w:tcW w:type="dxa" w:w="3408"/>
            <w:vAlign w:val="center"/>
            <w:shd w:fill="F4F7FA"/>
          </w:tcPr>
          <w:p>
            <w:pPr>
              <w:spacing w:after="0"/>
            </w:pPr>
            <w:r/>
            <w:r>
              <w:rPr>
                <w:rFonts w:ascii="Aptos" w:hAnsi="Aptos"/>
                <w:b w:val="0"/>
                <w:sz w:val="15"/>
              </w:rPr>
              <w:t>Change Radar + Sandbox + MOC/training prep</w:t>
            </w:r>
          </w:p>
        </w:tc>
      </w:tr>
      <w:tr>
        <w:tc>
          <w:tcPr>
            <w:tcW w:type="dxa" w:w="3408"/>
            <w:vAlign w:val="center"/>
          </w:tcPr>
          <w:p>
            <w:pPr>
              <w:spacing w:after="0"/>
            </w:pPr>
            <w:r/>
            <w:r>
              <w:rPr>
                <w:rFonts w:ascii="Aptos" w:hAnsi="Aptos"/>
                <w:b w:val="0"/>
                <w:sz w:val="15"/>
              </w:rPr>
              <w:t>IN_FORCE</w:t>
            </w:r>
          </w:p>
        </w:tc>
        <w:tc>
          <w:tcPr>
            <w:tcW w:type="dxa" w:w="3408"/>
            <w:vAlign w:val="center"/>
          </w:tcPr>
          <w:p>
            <w:pPr>
              <w:spacing w:after="0"/>
            </w:pPr>
            <w:r/>
            <w:r>
              <w:rPr>
                <w:rFonts w:ascii="Aptos" w:hAnsi="Aptos"/>
                <w:b w:val="0"/>
                <w:sz w:val="15"/>
              </w:rPr>
              <w:t>Evet</w:t>
            </w:r>
          </w:p>
        </w:tc>
        <w:tc>
          <w:tcPr>
            <w:tcW w:type="dxa" w:w="3408"/>
            <w:vAlign w:val="center"/>
          </w:tcPr>
          <w:p>
            <w:pPr>
              <w:spacing w:after="0"/>
            </w:pPr>
            <w:r/>
            <w:r>
              <w:rPr>
                <w:rFonts w:ascii="Aptos" w:hAnsi="Aptos"/>
                <w:b w:val="0"/>
                <w:sz w:val="15"/>
              </w:rPr>
              <w:t>Normal applicability evaluation</w:t>
            </w:r>
          </w:p>
        </w:tc>
      </w:tr>
      <w:tr>
        <w:tc>
          <w:tcPr>
            <w:tcW w:type="dxa" w:w="3408"/>
            <w:vAlign w:val="center"/>
            <w:shd w:fill="F4F7FA"/>
          </w:tcPr>
          <w:p>
            <w:pPr>
              <w:spacing w:after="0"/>
            </w:pPr>
            <w:r/>
            <w:r>
              <w:rPr>
                <w:rFonts w:ascii="Aptos" w:hAnsi="Aptos"/>
                <w:b w:val="0"/>
                <w:sz w:val="15"/>
              </w:rPr>
              <w:t>SUPERSEDED</w:t>
            </w:r>
          </w:p>
        </w:tc>
        <w:tc>
          <w:tcPr>
            <w:tcW w:type="dxa" w:w="3408"/>
            <w:vAlign w:val="center"/>
            <w:shd w:fill="F4F7FA"/>
          </w:tcPr>
          <w:p>
            <w:pPr>
              <w:spacing w:after="0"/>
            </w:pPr>
            <w:r/>
            <w:r>
              <w:rPr>
                <w:rFonts w:ascii="Aptos" w:hAnsi="Aptos"/>
                <w:b w:val="0"/>
                <w:sz w:val="15"/>
              </w:rPr>
              <w:t>Yeni current obligation üretmez</w:t>
            </w:r>
          </w:p>
        </w:tc>
        <w:tc>
          <w:tcPr>
            <w:tcW w:type="dxa" w:w="3408"/>
            <w:vAlign w:val="center"/>
            <w:shd w:fill="F4F7FA"/>
          </w:tcPr>
          <w:p>
            <w:pPr>
              <w:spacing w:after="0"/>
            </w:pPr>
            <w:r/>
            <w:r>
              <w:rPr>
                <w:rFonts w:ascii="Aptos" w:hAnsi="Aptos"/>
                <w:b w:val="0"/>
                <w:sz w:val="15"/>
              </w:rPr>
              <w:t>Historical replay/audit</w:t>
            </w:r>
          </w:p>
        </w:tc>
      </w:tr>
    </w:tbl>
    <w:p>
      <w:r>
        <w:t>Örnek: MLC 2025 amendments, yürürlük tarihi gelmeden current compliance state'ini değiştirmez; yalnız Change Radar ve Future Regulation Sandbox'ı etkiler.</w:t>
      </w:r>
    </w:p>
    <w:p>
      <w:pPr>
        <w:pStyle w:val="Heading1"/>
      </w:pPr>
      <w:r>
        <w:t>6. Rule DSL</w:t>
      </w:r>
    </w:p>
    <w:p>
      <w:r>
        <w:t>Production kuralı JSON/DB-backed versioned DSL ile tutulur. Her rule kaynak ve lifecycle taşır; sadece predicate yazmak yeterli değildir.</w:t>
      </w:r>
    </w:p>
    <w:p>
      <w:pPr>
        <w:spacing w:after="0"/>
        <w:ind w:left="432"/>
      </w:pPr>
      <w:r>
        <w:rPr>
          <w:rFonts w:ascii="Consolas" w:hAnsi="Consolas"/>
          <w:sz w:val="15"/>
        </w:rPr>
        <w:t>{</w:t>
      </w:r>
    </w:p>
    <w:p>
      <w:pPr>
        <w:spacing w:after="0"/>
        <w:ind w:left="432"/>
      </w:pPr>
      <w:r>
        <w:rPr>
          <w:rFonts w:ascii="Consolas" w:hAnsi="Consolas"/>
          <w:sz w:val="15"/>
        </w:rPr>
        <w:t xml:space="preserve">  "ruleId": "RULE-IACS-M79-APPLICABILITY",</w:t>
      </w:r>
    </w:p>
    <w:p>
      <w:pPr>
        <w:spacing w:after="0"/>
        <w:ind w:left="432"/>
      </w:pPr>
      <w:r>
        <w:rPr>
          <w:rFonts w:ascii="Consolas" w:hAnsi="Consolas"/>
          <w:sz w:val="15"/>
        </w:rPr>
        <w:t xml:space="preserve">  "version": 1,</w:t>
      </w:r>
    </w:p>
    <w:p>
      <w:pPr>
        <w:spacing w:after="0"/>
        <w:ind w:left="432"/>
      </w:pPr>
      <w:r>
        <w:rPr>
          <w:rFonts w:ascii="Consolas" w:hAnsi="Consolas"/>
          <w:sz w:val="15"/>
        </w:rPr>
        <w:t xml:space="preserve">  "source": {</w:t>
      </w:r>
    </w:p>
    <w:p>
      <w:pPr>
        <w:spacing w:after="0"/>
        <w:ind w:left="432"/>
      </w:pPr>
      <w:r>
        <w:rPr>
          <w:rFonts w:ascii="Consolas" w:hAnsi="Consolas"/>
          <w:sz w:val="15"/>
        </w:rPr>
        <w:t xml:space="preserve">    "sourceId": "SRC-IACS-M79",</w:t>
      </w:r>
    </w:p>
    <w:p>
      <w:pPr>
        <w:spacing w:after="0"/>
        <w:ind w:left="432"/>
      </w:pPr>
      <w:r>
        <w:rPr>
          <w:rFonts w:ascii="Consolas" w:hAnsi="Consolas"/>
          <w:sz w:val="15"/>
        </w:rPr>
        <w:t xml:space="preserve">    "locator": "IACS UR M79 Rev.1",</w:t>
      </w:r>
    </w:p>
    <w:p>
      <w:pPr>
        <w:spacing w:after="0"/>
        <w:ind w:left="432"/>
      </w:pPr>
      <w:r>
        <w:rPr>
          <w:rFonts w:ascii="Consolas" w:hAnsi="Consolas"/>
          <w:sz w:val="15"/>
        </w:rPr>
        <w:t xml:space="preserve">    "authorityLayer": "CLASS_RO",</w:t>
      </w:r>
    </w:p>
    <w:p>
      <w:pPr>
        <w:spacing w:after="0"/>
        <w:ind w:left="432"/>
      </w:pPr>
      <w:r>
        <w:rPr>
          <w:rFonts w:ascii="Consolas" w:hAnsi="Consolas"/>
          <w:sz w:val="15"/>
        </w:rPr>
        <w:t xml:space="preserve">    "mandatory": true</w:t>
      </w:r>
    </w:p>
    <w:p>
      <w:pPr>
        <w:spacing w:after="0"/>
        <w:ind w:left="432"/>
      </w:pPr>
      <w:r>
        <w:rPr>
          <w:rFonts w:ascii="Consolas" w:hAnsi="Consolas"/>
          <w:sz w:val="15"/>
        </w:rPr>
        <w:t xml:space="preserve">  },</w:t>
      </w:r>
    </w:p>
    <w:p>
      <w:pPr>
        <w:spacing w:after="0"/>
        <w:ind w:left="432"/>
      </w:pPr>
      <w:r>
        <w:rPr>
          <w:rFonts w:ascii="Consolas" w:hAnsi="Consolas"/>
          <w:sz w:val="15"/>
        </w:rPr>
        <w:t xml:space="preserve">  "lifecycle": {</w:t>
      </w:r>
    </w:p>
    <w:p>
      <w:pPr>
        <w:spacing w:after="0"/>
        <w:ind w:left="432"/>
      </w:pPr>
      <w:r>
        <w:rPr>
          <w:rFonts w:ascii="Consolas" w:hAnsi="Consolas"/>
          <w:sz w:val="15"/>
        </w:rPr>
        <w:t xml:space="preserve">    "state": "IN_FORCE",</w:t>
      </w:r>
    </w:p>
    <w:p>
      <w:pPr>
        <w:spacing w:after="0"/>
        <w:ind w:left="432"/>
      </w:pPr>
      <w:r>
        <w:rPr>
          <w:rFonts w:ascii="Consolas" w:hAnsi="Consolas"/>
          <w:sz w:val="15"/>
        </w:rPr>
        <w:t xml:space="preserve">    "effectiveFrom": "2021-07-01"</w:t>
      </w:r>
    </w:p>
    <w:p>
      <w:pPr>
        <w:spacing w:after="0"/>
        <w:ind w:left="432"/>
      </w:pPr>
      <w:r>
        <w:rPr>
          <w:rFonts w:ascii="Consolas" w:hAnsi="Consolas"/>
          <w:sz w:val="15"/>
        </w:rPr>
        <w:t xml:space="preserve">  },</w:t>
      </w:r>
    </w:p>
    <w:p>
      <w:pPr>
        <w:spacing w:after="0"/>
        <w:ind w:left="432"/>
      </w:pPr>
      <w:r>
        <w:rPr>
          <w:rFonts w:ascii="Consolas" w:hAnsi="Consolas"/>
          <w:sz w:val="15"/>
        </w:rPr>
        <w:t xml:space="preserve">  "scope": { "modes": ["TUG"] },</w:t>
      </w:r>
    </w:p>
    <w:p>
      <w:pPr>
        <w:spacing w:after="0"/>
        <w:ind w:left="432"/>
      </w:pPr>
      <w:r>
        <w:rPr>
          <w:rFonts w:ascii="Consolas" w:hAnsi="Consolas"/>
          <w:sz w:val="15"/>
        </w:rPr>
        <w:t xml:space="preserve">  "when": {</w:t>
      </w:r>
    </w:p>
    <w:p>
      <w:pPr>
        <w:spacing w:after="0"/>
        <w:ind w:left="432"/>
      </w:pPr>
      <w:r>
        <w:rPr>
          <w:rFonts w:ascii="Consolas" w:hAnsi="Consolas"/>
          <w:sz w:val="15"/>
        </w:rPr>
        <w:t xml:space="preserve">    "all": [</w:t>
      </w:r>
    </w:p>
    <w:p>
      <w:pPr>
        <w:spacing w:after="0"/>
        <w:ind w:left="432"/>
      </w:pPr>
      <w:r>
        <w:rPr>
          <w:rFonts w:ascii="Consolas" w:hAnsi="Consolas"/>
          <w:sz w:val="15"/>
        </w:rPr>
        <w:t xml:space="preserve">      {"field":"context.mode","operator":"EQ","value":"TUG"},</w:t>
      </w:r>
    </w:p>
    <w:p>
      <w:pPr>
        <w:spacing w:after="0"/>
        <w:ind w:left="432"/>
      </w:pPr>
      <w:r>
        <w:rPr>
          <w:rFonts w:ascii="Consolas" w:hAnsi="Consolas"/>
          <w:sz w:val="15"/>
        </w:rPr>
        <w:t xml:space="preserve">      {"field":"equipment.towingWinchFitted","operator":"IS_TRUE"},</w:t>
      </w:r>
    </w:p>
    <w:p>
      <w:pPr>
        <w:spacing w:after="0"/>
        <w:ind w:left="432"/>
      </w:pPr>
      <w:r>
        <w:rPr>
          <w:rFonts w:ascii="Consolas" w:hAnsi="Consolas"/>
          <w:sz w:val="15"/>
        </w:rPr>
        <w:t xml:space="preserve">      {"field":"class.rulePack.IACS_M79","operator":"IS_TRUE"},</w:t>
      </w:r>
    </w:p>
    <w:p>
      <w:pPr>
        <w:spacing w:after="0"/>
        <w:ind w:left="432"/>
      </w:pPr>
      <w:r>
        <w:rPr>
          <w:rFonts w:ascii="Consolas" w:hAnsi="Consolas"/>
          <w:sz w:val="15"/>
        </w:rPr>
        <w:t xml:space="preserve">      {"field":"vessel.contractForConstructionDate","operator":"DATE_GTE","value":"2021-07-01"},</w:t>
      </w:r>
    </w:p>
    <w:p>
      <w:pPr>
        <w:spacing w:after="0"/>
        <w:ind w:left="432"/>
      </w:pPr>
      <w:r>
        <w:rPr>
          <w:rFonts w:ascii="Consolas" w:hAnsi="Consolas"/>
          <w:sz w:val="15"/>
        </w:rPr>
        <w:t xml:space="preserve">      {"field":"operation.profile","operator":"NOT_IN",</w:t>
      </w:r>
    </w:p>
    <w:p>
      <w:pPr>
        <w:spacing w:after="0"/>
        <w:ind w:left="432"/>
      </w:pPr>
      <w:r>
        <w:rPr>
          <w:rFonts w:ascii="Consolas" w:hAnsi="Consolas"/>
          <w:sz w:val="15"/>
        </w:rPr>
        <w:t xml:space="preserve">       "value":["SOLELY_LONG_DISTANCE_OCEAN_TOWAGE","ANCHOR_HANDLING"]}</w:t>
      </w:r>
    </w:p>
    <w:p>
      <w:pPr>
        <w:spacing w:after="0"/>
        <w:ind w:left="432"/>
      </w:pPr>
      <w:r>
        <w:rPr>
          <w:rFonts w:ascii="Consolas" w:hAnsi="Consolas"/>
          <w:sz w:val="15"/>
        </w:rPr>
        <w:t xml:space="preserve">    ]</w:t>
      </w:r>
    </w:p>
    <w:p>
      <w:pPr>
        <w:spacing w:after="0"/>
        <w:ind w:left="432"/>
      </w:pPr>
      <w:r>
        <w:rPr>
          <w:rFonts w:ascii="Consolas" w:hAnsi="Consolas"/>
          <w:sz w:val="15"/>
        </w:rPr>
        <w:t xml:space="preserve">  },</w:t>
      </w:r>
    </w:p>
    <w:p>
      <w:pPr>
        <w:spacing w:after="0"/>
        <w:ind w:left="432"/>
      </w:pPr>
      <w:r>
        <w:rPr>
          <w:rFonts w:ascii="Consolas" w:hAnsi="Consolas"/>
          <w:sz w:val="15"/>
        </w:rPr>
        <w:t xml:space="preserve">  "then": {</w:t>
      </w:r>
    </w:p>
    <w:p>
      <w:pPr>
        <w:spacing w:after="0"/>
        <w:ind w:left="432"/>
      </w:pPr>
      <w:r>
        <w:rPr>
          <w:rFonts w:ascii="Consolas" w:hAnsi="Consolas"/>
          <w:sz w:val="15"/>
        </w:rPr>
        <w:t xml:space="preserve">    "result": "APPLICABLE",</w:t>
      </w:r>
    </w:p>
    <w:p>
      <w:pPr>
        <w:spacing w:after="0"/>
        <w:ind w:left="432"/>
      </w:pPr>
      <w:r>
        <w:rPr>
          <w:rFonts w:ascii="Consolas" w:hAnsi="Consolas"/>
          <w:sz w:val="15"/>
        </w:rPr>
        <w:t xml:space="preserve">    "activate": [</w:t>
      </w:r>
    </w:p>
    <w:p>
      <w:pPr>
        <w:spacing w:after="0"/>
        <w:ind w:left="432"/>
      </w:pPr>
      <w:r>
        <w:rPr>
          <w:rFonts w:ascii="Consolas" w:hAnsi="Consolas"/>
          <w:sz w:val="15"/>
        </w:rPr>
        <w:t xml:space="preserve">      {"type":"FIELD","id":"tug-equipment-readiness.emergency_release_state"},</w:t>
      </w:r>
    </w:p>
    <w:p>
      <w:pPr>
        <w:spacing w:after="0"/>
        <w:ind w:left="432"/>
      </w:pPr>
      <w:r>
        <w:rPr>
          <w:rFonts w:ascii="Consolas" w:hAnsi="Consolas"/>
          <w:sz w:val="15"/>
        </w:rPr>
        <w:t xml:space="preserve">      {"type":"CONTROL","id":"CTRL-TUG-ERS"},</w:t>
      </w:r>
    </w:p>
    <w:p>
      <w:pPr>
        <w:spacing w:after="0"/>
        <w:ind w:left="432"/>
      </w:pPr>
      <w:r>
        <w:rPr>
          <w:rFonts w:ascii="Consolas" w:hAnsi="Consolas"/>
          <w:sz w:val="15"/>
        </w:rPr>
        <w:t xml:space="preserve">      {"type":"VERIFICATION_GATE","id":"VERIFY-TUG-ERS"}</w:t>
      </w:r>
    </w:p>
    <w:p>
      <w:pPr>
        <w:spacing w:after="0"/>
        <w:ind w:left="432"/>
      </w:pPr>
      <w:r>
        <w:rPr>
          <w:rFonts w:ascii="Consolas" w:hAnsi="Consolas"/>
          <w:sz w:val="15"/>
        </w:rPr>
        <w:t xml:space="preserve">    ]</w:t>
      </w:r>
    </w:p>
    <w:p>
      <w:pPr>
        <w:spacing w:after="0"/>
        <w:ind w:left="432"/>
      </w:pPr>
      <w:r>
        <w:rPr>
          <w:rFonts w:ascii="Consolas" w:hAnsi="Consolas"/>
          <w:sz w:val="15"/>
        </w:rPr>
        <w:t xml:space="preserve">  },</w:t>
      </w:r>
    </w:p>
    <w:p>
      <w:pPr>
        <w:spacing w:after="0"/>
        <w:ind w:left="432"/>
      </w:pPr>
      <w:r>
        <w:rPr>
          <w:rFonts w:ascii="Consolas" w:hAnsi="Consolas"/>
          <w:sz w:val="15"/>
        </w:rPr>
        <w:t xml:space="preserve">  "unknownPolicy": "REVIEW_REQUIRED"</w:t>
      </w:r>
    </w:p>
    <w:p>
      <w:pPr>
        <w:spacing w:after="0"/>
        <w:ind w:left="432"/>
      </w:pPr>
      <w:r>
        <w:rPr>
          <w:rFonts w:ascii="Consolas" w:hAnsi="Consolas"/>
          <w:sz w:val="15"/>
        </w:rPr>
        <w:t>}</w:t>
      </w:r>
    </w:p>
    <w:p>
      <w:pPr>
        <w:pStyle w:val="Heading1"/>
      </w:pPr>
      <w:r>
        <w:t>7. Rule Operatörleri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Operator</w:t>
            </w:r>
          </w:p>
        </w:tc>
        <w:tc>
          <w:tcPr>
            <w:tcW w:type="dxa" w:w="3408"/>
            <w:vAlign w:val="center"/>
            <w:shd w:fill="17365D"/>
          </w:tcPr>
          <w:p>
            <w:pPr>
              <w:spacing w:after="0"/>
            </w:pPr>
            <w:r/>
            <w:r>
              <w:rPr>
                <w:rFonts w:ascii="Aptos" w:hAnsi="Aptos"/>
                <w:b/>
                <w:color w:val="FFFFFF"/>
                <w:sz w:val="15"/>
              </w:rPr>
              <w:t>Semantik</w:t>
            </w:r>
          </w:p>
        </w:tc>
        <w:tc>
          <w:tcPr>
            <w:tcW w:type="dxa" w:w="3408"/>
            <w:vAlign w:val="center"/>
            <w:shd w:fill="17365D"/>
          </w:tcPr>
          <w:p>
            <w:pPr>
              <w:spacing w:after="0"/>
            </w:pPr>
            <w:r/>
            <w:r>
              <w:rPr>
                <w:rFonts w:ascii="Aptos" w:hAnsi="Aptos"/>
                <w:b/>
                <w:color w:val="FFFFFF"/>
                <w:sz w:val="15"/>
              </w:rPr>
              <w:t>UNKNOWN durumu</w:t>
            </w:r>
          </w:p>
        </w:tc>
      </w:tr>
      <w:tr>
        <w:tc>
          <w:tcPr>
            <w:tcW w:type="dxa" w:w="3408"/>
            <w:vAlign w:val="center"/>
          </w:tcPr>
          <w:p>
            <w:pPr>
              <w:spacing w:after="0"/>
            </w:pPr>
            <w:r/>
            <w:r>
              <w:rPr>
                <w:rFonts w:ascii="Aptos" w:hAnsi="Aptos"/>
                <w:b w:val="0"/>
                <w:sz w:val="15"/>
              </w:rPr>
              <w:t>EQ / NE</w:t>
            </w:r>
          </w:p>
        </w:tc>
        <w:tc>
          <w:tcPr>
            <w:tcW w:type="dxa" w:w="3408"/>
            <w:vAlign w:val="center"/>
          </w:tcPr>
          <w:p>
            <w:pPr>
              <w:spacing w:after="0"/>
            </w:pPr>
            <w:r/>
            <w:r>
              <w:rPr>
                <w:rFonts w:ascii="Aptos" w:hAnsi="Aptos"/>
                <w:b w:val="0"/>
                <w:sz w:val="15"/>
              </w:rPr>
              <w:t>Equality / inequality</w:t>
            </w:r>
          </w:p>
        </w:tc>
        <w:tc>
          <w:tcPr>
            <w:tcW w:type="dxa" w:w="3408"/>
            <w:vAlign w:val="center"/>
          </w:tcPr>
          <w:p>
            <w:pPr>
              <w:spacing w:after="0"/>
            </w:pPr>
            <w:r/>
            <w:r>
              <w:rPr>
                <w:rFonts w:ascii="Aptos" w:hAnsi="Aptos"/>
                <w:b w:val="0"/>
                <w:sz w:val="15"/>
              </w:rPr>
              <w:t>Input missing → UNKNOWN</w:t>
            </w:r>
          </w:p>
        </w:tc>
      </w:tr>
      <w:tr>
        <w:tc>
          <w:tcPr>
            <w:tcW w:type="dxa" w:w="3408"/>
            <w:vAlign w:val="center"/>
            <w:shd w:fill="F4F7FA"/>
          </w:tcPr>
          <w:p>
            <w:pPr>
              <w:spacing w:after="0"/>
            </w:pPr>
            <w:r/>
            <w:r>
              <w:rPr>
                <w:rFonts w:ascii="Aptos" w:hAnsi="Aptos"/>
                <w:b w:val="0"/>
                <w:sz w:val="15"/>
              </w:rPr>
              <w:t>GT/GTE/LT/LTE</w:t>
            </w:r>
          </w:p>
        </w:tc>
        <w:tc>
          <w:tcPr>
            <w:tcW w:type="dxa" w:w="3408"/>
            <w:vAlign w:val="center"/>
            <w:shd w:fill="F4F7FA"/>
          </w:tcPr>
          <w:p>
            <w:pPr>
              <w:spacing w:after="0"/>
            </w:pPr>
            <w:r/>
            <w:r>
              <w:rPr>
                <w:rFonts w:ascii="Aptos" w:hAnsi="Aptos"/>
                <w:b w:val="0"/>
                <w:sz w:val="15"/>
              </w:rPr>
              <w:t>Numeric compare</w:t>
            </w:r>
          </w:p>
        </w:tc>
        <w:tc>
          <w:tcPr>
            <w:tcW w:type="dxa" w:w="3408"/>
            <w:vAlign w:val="center"/>
            <w:shd w:fill="F4F7FA"/>
          </w:tcPr>
          <w:p>
            <w:pPr>
              <w:spacing w:after="0"/>
            </w:pPr>
            <w:r/>
            <w:r>
              <w:rPr>
                <w:rFonts w:ascii="Aptos" w:hAnsi="Aptos"/>
                <w:b w:val="0"/>
                <w:sz w:val="15"/>
              </w:rPr>
              <w:t>Missing/non-verifiable → UNKNOWN</w:t>
            </w:r>
          </w:p>
        </w:tc>
      </w:tr>
      <w:tr>
        <w:tc>
          <w:tcPr>
            <w:tcW w:type="dxa" w:w="3408"/>
            <w:vAlign w:val="center"/>
          </w:tcPr>
          <w:p>
            <w:pPr>
              <w:spacing w:after="0"/>
            </w:pPr>
            <w:r/>
            <w:r>
              <w:rPr>
                <w:rFonts w:ascii="Aptos" w:hAnsi="Aptos"/>
                <w:b w:val="0"/>
                <w:sz w:val="15"/>
              </w:rPr>
              <w:t>IN / NOT_IN</w:t>
            </w:r>
          </w:p>
        </w:tc>
        <w:tc>
          <w:tcPr>
            <w:tcW w:type="dxa" w:w="3408"/>
            <w:vAlign w:val="center"/>
          </w:tcPr>
          <w:p>
            <w:pPr>
              <w:spacing w:after="0"/>
            </w:pPr>
            <w:r/>
            <w:r>
              <w:rPr>
                <w:rFonts w:ascii="Aptos" w:hAnsi="Aptos"/>
                <w:b w:val="0"/>
                <w:sz w:val="15"/>
              </w:rPr>
              <w:t>Controlled-list membership</w:t>
            </w:r>
          </w:p>
        </w:tc>
        <w:tc>
          <w:tcPr>
            <w:tcW w:type="dxa" w:w="3408"/>
            <w:vAlign w:val="center"/>
          </w:tcPr>
          <w:p>
            <w:pPr>
              <w:spacing w:after="0"/>
            </w:pPr>
            <w:r/>
            <w:r>
              <w:rPr>
                <w:rFonts w:ascii="Aptos" w:hAnsi="Aptos"/>
                <w:b w:val="0"/>
                <w:sz w:val="15"/>
              </w:rPr>
              <w:t>Missing → UNKNOWN</w:t>
            </w:r>
          </w:p>
        </w:tc>
      </w:tr>
      <w:tr>
        <w:tc>
          <w:tcPr>
            <w:tcW w:type="dxa" w:w="3408"/>
            <w:vAlign w:val="center"/>
            <w:shd w:fill="F4F7FA"/>
          </w:tcPr>
          <w:p>
            <w:pPr>
              <w:spacing w:after="0"/>
            </w:pPr>
            <w:r/>
            <w:r>
              <w:rPr>
                <w:rFonts w:ascii="Aptos" w:hAnsi="Aptos"/>
                <w:b w:val="0"/>
                <w:sz w:val="15"/>
              </w:rPr>
              <w:t>EXISTS</w:t>
            </w:r>
          </w:p>
        </w:tc>
        <w:tc>
          <w:tcPr>
            <w:tcW w:type="dxa" w:w="3408"/>
            <w:vAlign w:val="center"/>
            <w:shd w:fill="F4F7FA"/>
          </w:tcPr>
          <w:p>
            <w:pPr>
              <w:spacing w:after="0"/>
            </w:pPr>
            <w:r/>
            <w:r>
              <w:rPr>
                <w:rFonts w:ascii="Aptos" w:hAnsi="Aptos"/>
                <w:b w:val="0"/>
                <w:sz w:val="15"/>
              </w:rPr>
              <w:t>Input/evidence existence</w:t>
            </w:r>
          </w:p>
        </w:tc>
        <w:tc>
          <w:tcPr>
            <w:tcW w:type="dxa" w:w="3408"/>
            <w:vAlign w:val="center"/>
            <w:shd w:fill="F4F7FA"/>
          </w:tcPr>
          <w:p>
            <w:pPr>
              <w:spacing w:after="0"/>
            </w:pPr>
            <w:r/>
            <w:r>
              <w:rPr>
                <w:rFonts w:ascii="Aptos" w:hAnsi="Aptos"/>
                <w:b w:val="0"/>
                <w:sz w:val="15"/>
              </w:rPr>
              <w:t>Can be FALSE if source is authoritative and empty is meaningful</w:t>
            </w:r>
          </w:p>
        </w:tc>
      </w:tr>
      <w:tr>
        <w:tc>
          <w:tcPr>
            <w:tcW w:type="dxa" w:w="3408"/>
            <w:vAlign w:val="center"/>
          </w:tcPr>
          <w:p>
            <w:pPr>
              <w:spacing w:after="0"/>
            </w:pPr>
            <w:r/>
            <w:r>
              <w:rPr>
                <w:rFonts w:ascii="Aptos" w:hAnsi="Aptos"/>
                <w:b w:val="0"/>
                <w:sz w:val="15"/>
              </w:rPr>
              <w:t>IS_TRUE / IS_FALSE</w:t>
            </w:r>
          </w:p>
        </w:tc>
        <w:tc>
          <w:tcPr>
            <w:tcW w:type="dxa" w:w="3408"/>
            <w:vAlign w:val="center"/>
          </w:tcPr>
          <w:p>
            <w:pPr>
              <w:spacing w:after="0"/>
            </w:pPr>
            <w:r/>
            <w:r>
              <w:rPr>
                <w:rFonts w:ascii="Aptos" w:hAnsi="Aptos"/>
                <w:b w:val="0"/>
                <w:sz w:val="15"/>
              </w:rPr>
              <w:t>Controlled boolean</w:t>
            </w:r>
          </w:p>
        </w:tc>
        <w:tc>
          <w:tcPr>
            <w:tcW w:type="dxa" w:w="3408"/>
            <w:vAlign w:val="center"/>
          </w:tcPr>
          <w:p>
            <w:pPr>
              <w:spacing w:after="0"/>
            </w:pPr>
            <w:r/>
            <w:r>
              <w:rPr>
                <w:rFonts w:ascii="Aptos" w:hAnsi="Aptos"/>
                <w:b w:val="0"/>
                <w:sz w:val="15"/>
              </w:rPr>
              <w:t>Unverified/absent → UNKNOWN</w:t>
            </w:r>
          </w:p>
        </w:tc>
      </w:tr>
      <w:tr>
        <w:tc>
          <w:tcPr>
            <w:tcW w:type="dxa" w:w="3408"/>
            <w:vAlign w:val="center"/>
            <w:shd w:fill="F4F7FA"/>
          </w:tcPr>
          <w:p>
            <w:pPr>
              <w:spacing w:after="0"/>
            </w:pPr>
            <w:r/>
            <w:r>
              <w:rPr>
                <w:rFonts w:ascii="Aptos" w:hAnsi="Aptos"/>
                <w:b w:val="0"/>
                <w:sz w:val="15"/>
              </w:rPr>
              <w:t>DATE_GTE / DATE_LT</w:t>
            </w:r>
          </w:p>
        </w:tc>
        <w:tc>
          <w:tcPr>
            <w:tcW w:type="dxa" w:w="3408"/>
            <w:vAlign w:val="center"/>
            <w:shd w:fill="F4F7FA"/>
          </w:tcPr>
          <w:p>
            <w:pPr>
              <w:spacing w:after="0"/>
            </w:pPr>
            <w:r/>
            <w:r>
              <w:rPr>
                <w:rFonts w:ascii="Aptos" w:hAnsi="Aptos"/>
                <w:b w:val="0"/>
                <w:sz w:val="15"/>
              </w:rPr>
              <w:t>Effective/build/certificate dates</w:t>
            </w:r>
          </w:p>
        </w:tc>
        <w:tc>
          <w:tcPr>
            <w:tcW w:type="dxa" w:w="3408"/>
            <w:vAlign w:val="center"/>
            <w:shd w:fill="F4F7FA"/>
          </w:tcPr>
          <w:p>
            <w:pPr>
              <w:spacing w:after="0"/>
            </w:pPr>
            <w:r/>
            <w:r>
              <w:rPr>
                <w:rFonts w:ascii="Aptos" w:hAnsi="Aptos"/>
                <w:b w:val="0"/>
                <w:sz w:val="15"/>
              </w:rPr>
              <w:t>Unknown date → UNKNOWN</w:t>
            </w:r>
          </w:p>
        </w:tc>
      </w:tr>
      <w:tr>
        <w:tc>
          <w:tcPr>
            <w:tcW w:type="dxa" w:w="3408"/>
            <w:vAlign w:val="center"/>
          </w:tcPr>
          <w:p>
            <w:pPr>
              <w:spacing w:after="0"/>
            </w:pPr>
            <w:r/>
            <w:r>
              <w:rPr>
                <w:rFonts w:ascii="Aptos" w:hAnsi="Aptos"/>
                <w:b w:val="0"/>
                <w:sz w:val="15"/>
              </w:rPr>
              <w:t>CONTAINS</w:t>
            </w:r>
          </w:p>
        </w:tc>
        <w:tc>
          <w:tcPr>
            <w:tcW w:type="dxa" w:w="3408"/>
            <w:vAlign w:val="center"/>
          </w:tcPr>
          <w:p>
            <w:pPr>
              <w:spacing w:after="0"/>
            </w:pPr>
            <w:r/>
            <w:r>
              <w:rPr>
                <w:rFonts w:ascii="Aptos" w:hAnsi="Aptos"/>
                <w:b w:val="0"/>
                <w:sz w:val="15"/>
              </w:rPr>
              <w:t>Controlled multi-value relation</w:t>
            </w:r>
          </w:p>
        </w:tc>
        <w:tc>
          <w:tcPr>
            <w:tcW w:type="dxa" w:w="3408"/>
            <w:vAlign w:val="center"/>
          </w:tcPr>
          <w:p>
            <w:pPr>
              <w:spacing w:after="0"/>
            </w:pPr>
            <w:r/>
            <w:r>
              <w:rPr>
                <w:rFonts w:ascii="Aptos" w:hAnsi="Aptos"/>
                <w:b w:val="0"/>
                <w:sz w:val="15"/>
              </w:rPr>
              <w:t>Unknown collection → UNKNOWN</w:t>
            </w:r>
          </w:p>
        </w:tc>
      </w:tr>
    </w:tbl>
    <w:p>
      <w:pPr>
        <w:pStyle w:val="Heading1"/>
      </w:pPr>
      <w:r>
        <w:t>8. Kaynak Katmanları ve Conflict Yönetimi</w:t>
      </w:r>
    </w:p>
    <w:p>
      <w:r>
        <w:t>Priority alanı legal üstünlük sıralaması değildir. Aynı bağlama birden fazla yükümlülük uygulanabilir; motor bunların hepsini korur.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Katman</w:t>
            </w:r>
          </w:p>
        </w:tc>
        <w:tc>
          <w:tcPr>
            <w:tcW w:type="dxa" w:w="3408"/>
            <w:vAlign w:val="center"/>
            <w:shd w:fill="17365D"/>
          </w:tcPr>
          <w:p>
            <w:pPr>
              <w:spacing w:after="0"/>
            </w:pPr>
            <w:r/>
            <w:r>
              <w:rPr>
                <w:rFonts w:ascii="Aptos" w:hAnsi="Aptos"/>
                <w:b/>
                <w:color w:val="FFFFFF"/>
                <w:sz w:val="15"/>
              </w:rPr>
              <w:t>Örnek</w:t>
            </w:r>
          </w:p>
        </w:tc>
        <w:tc>
          <w:tcPr>
            <w:tcW w:type="dxa" w:w="3408"/>
            <w:vAlign w:val="center"/>
            <w:shd w:fill="17365D"/>
          </w:tcPr>
          <w:p>
            <w:pPr>
              <w:spacing w:after="0"/>
            </w:pPr>
            <w:r/>
            <w:r>
              <w:rPr>
                <w:rFonts w:ascii="Aptos" w:hAnsi="Aptos"/>
                <w:b/>
                <w:color w:val="FFFFFF"/>
                <w:sz w:val="15"/>
              </w:rPr>
              <w:t>Conflict davranışı</w:t>
            </w:r>
          </w:p>
        </w:tc>
      </w:tr>
      <w:tr>
        <w:tc>
          <w:tcPr>
            <w:tcW w:type="dxa" w:w="3408"/>
            <w:vAlign w:val="center"/>
          </w:tcPr>
          <w:p>
            <w:pPr>
              <w:spacing w:after="0"/>
            </w:pPr>
            <w:r/>
            <w:r>
              <w:rPr>
                <w:rFonts w:ascii="Aptos" w:hAnsi="Aptos"/>
                <w:b w:val="0"/>
                <w:sz w:val="15"/>
              </w:rPr>
              <w:t>INTERNATIONAL</w:t>
            </w:r>
          </w:p>
        </w:tc>
        <w:tc>
          <w:tcPr>
            <w:tcW w:type="dxa" w:w="3408"/>
            <w:vAlign w:val="center"/>
          </w:tcPr>
          <w:p>
            <w:pPr>
              <w:spacing w:after="0"/>
            </w:pPr>
            <w:r/>
            <w:r>
              <w:rPr>
                <w:rFonts w:ascii="Aptos" w:hAnsi="Aptos"/>
                <w:b w:val="0"/>
                <w:sz w:val="15"/>
              </w:rPr>
              <w:t>ISM, SOLAS, STCW, MARPOL</w:t>
            </w:r>
          </w:p>
        </w:tc>
        <w:tc>
          <w:tcPr>
            <w:tcW w:type="dxa" w:w="3408"/>
            <w:vAlign w:val="center"/>
          </w:tcPr>
          <w:p>
            <w:pPr>
              <w:spacing w:after="0"/>
            </w:pPr>
            <w:r/>
            <w:r>
              <w:rPr>
                <w:rFonts w:ascii="Aptos" w:hAnsi="Aptos"/>
                <w:b w:val="0"/>
                <w:sz w:val="15"/>
              </w:rPr>
              <w:t>Applicable obligations korunur.</w:t>
            </w:r>
          </w:p>
        </w:tc>
      </w:tr>
      <w:tr>
        <w:tc>
          <w:tcPr>
            <w:tcW w:type="dxa" w:w="3408"/>
            <w:vAlign w:val="center"/>
            <w:shd w:fill="F4F7FA"/>
          </w:tcPr>
          <w:p>
            <w:pPr>
              <w:spacing w:after="0"/>
            </w:pPr>
            <w:r/>
            <w:r>
              <w:rPr>
                <w:rFonts w:ascii="Aptos" w:hAnsi="Aptos"/>
                <w:b w:val="0"/>
                <w:sz w:val="15"/>
              </w:rPr>
              <w:t>FLAG</w:t>
            </w:r>
          </w:p>
        </w:tc>
        <w:tc>
          <w:tcPr>
            <w:tcW w:type="dxa" w:w="3408"/>
            <w:vAlign w:val="center"/>
            <w:shd w:fill="F4F7FA"/>
          </w:tcPr>
          <w:p>
            <w:pPr>
              <w:spacing w:after="0"/>
            </w:pPr>
            <w:r/>
            <w:r>
              <w:rPr>
                <w:rFonts w:ascii="Aptos" w:hAnsi="Aptos"/>
                <w:b w:val="0"/>
                <w:sz w:val="15"/>
              </w:rPr>
              <w:t>Türkiye veya başka bayrak overlay</w:t>
            </w:r>
          </w:p>
        </w:tc>
        <w:tc>
          <w:tcPr>
            <w:tcW w:type="dxa" w:w="3408"/>
            <w:vAlign w:val="center"/>
            <w:shd w:fill="F4F7FA"/>
          </w:tcPr>
          <w:p>
            <w:pPr>
              <w:spacing w:after="0"/>
            </w:pPr>
            <w:r/>
            <w:r>
              <w:rPr>
                <w:rFonts w:ascii="Aptos" w:hAnsi="Aptos"/>
                <w:b w:val="0"/>
                <w:sz w:val="15"/>
              </w:rPr>
              <w:t>International rule ile birlikte değerlendirilir.</w:t>
            </w:r>
          </w:p>
        </w:tc>
      </w:tr>
      <w:tr>
        <w:tc>
          <w:tcPr>
            <w:tcW w:type="dxa" w:w="3408"/>
            <w:vAlign w:val="center"/>
          </w:tcPr>
          <w:p>
            <w:pPr>
              <w:spacing w:after="0"/>
            </w:pPr>
            <w:r/>
            <w:r>
              <w:rPr>
                <w:rFonts w:ascii="Aptos" w:hAnsi="Aptos"/>
                <w:b w:val="0"/>
                <w:sz w:val="15"/>
              </w:rPr>
              <w:t>CLASS_RO</w:t>
            </w:r>
          </w:p>
        </w:tc>
        <w:tc>
          <w:tcPr>
            <w:tcW w:type="dxa" w:w="3408"/>
            <w:vAlign w:val="center"/>
          </w:tcPr>
          <w:p>
            <w:pPr>
              <w:spacing w:after="0"/>
            </w:pPr>
            <w:r/>
            <w:r>
              <w:rPr>
                <w:rFonts w:ascii="Aptos" w:hAnsi="Aptos"/>
                <w:b w:val="0"/>
                <w:sz w:val="15"/>
              </w:rPr>
              <w:t>IACS/class-specific survey/equipment rule</w:t>
            </w:r>
          </w:p>
        </w:tc>
        <w:tc>
          <w:tcPr>
            <w:tcW w:type="dxa" w:w="3408"/>
            <w:vAlign w:val="center"/>
          </w:tcPr>
          <w:p>
            <w:pPr>
              <w:spacing w:after="0"/>
            </w:pPr>
            <w:r/>
            <w:r>
              <w:rPr>
                <w:rFonts w:ascii="Aptos" w:hAnsi="Aptos"/>
                <w:b w:val="0"/>
                <w:sz w:val="15"/>
              </w:rPr>
              <w:t>Yalnız gerçek class/rule-pack doğrulanırsa aktive edilir.</w:t>
            </w:r>
          </w:p>
        </w:tc>
      </w:tr>
      <w:tr>
        <w:tc>
          <w:tcPr>
            <w:tcW w:type="dxa" w:w="3408"/>
            <w:vAlign w:val="center"/>
            <w:shd w:fill="F4F7FA"/>
          </w:tcPr>
          <w:p>
            <w:pPr>
              <w:spacing w:after="0"/>
            </w:pPr>
            <w:r/>
            <w:r>
              <w:rPr>
                <w:rFonts w:ascii="Aptos" w:hAnsi="Aptos"/>
                <w:b w:val="0"/>
                <w:sz w:val="15"/>
              </w:rPr>
              <w:t>COMPANY_SMS</w:t>
            </w:r>
          </w:p>
        </w:tc>
        <w:tc>
          <w:tcPr>
            <w:tcW w:type="dxa" w:w="3408"/>
            <w:vAlign w:val="center"/>
            <w:shd w:fill="F4F7FA"/>
          </w:tcPr>
          <w:p>
            <w:pPr>
              <w:spacing w:after="0"/>
            </w:pPr>
            <w:r/>
            <w:r>
              <w:rPr>
                <w:rFonts w:ascii="Aptos" w:hAnsi="Aptos"/>
                <w:b w:val="0"/>
                <w:sz w:val="15"/>
              </w:rPr>
              <w:t>Company procedure/limit</w:t>
            </w:r>
          </w:p>
        </w:tc>
        <w:tc>
          <w:tcPr>
            <w:tcW w:type="dxa" w:w="3408"/>
            <w:vAlign w:val="center"/>
            <w:shd w:fill="F4F7FA"/>
          </w:tcPr>
          <w:p>
            <w:pPr>
              <w:spacing w:after="0"/>
            </w:pPr>
            <w:r/>
            <w:r>
              <w:rPr>
                <w:rFonts w:ascii="Aptos" w:hAnsi="Aptos"/>
                <w:b w:val="0"/>
                <w:sz w:val="15"/>
              </w:rPr>
              <w:t>Law gibi etiketlenmez; daha sıkı internal control olarak birlikte yürür.</w:t>
            </w:r>
          </w:p>
        </w:tc>
      </w:tr>
      <w:tr>
        <w:tc>
          <w:tcPr>
            <w:tcW w:type="dxa" w:w="3408"/>
            <w:vAlign w:val="center"/>
          </w:tcPr>
          <w:p>
            <w:pPr>
              <w:spacing w:after="0"/>
            </w:pPr>
            <w:r/>
            <w:r>
              <w:rPr>
                <w:rFonts w:ascii="Aptos" w:hAnsi="Aptos"/>
                <w:b w:val="0"/>
                <w:sz w:val="15"/>
              </w:rPr>
              <w:t>OEM</w:t>
            </w:r>
          </w:p>
        </w:tc>
        <w:tc>
          <w:tcPr>
            <w:tcW w:type="dxa" w:w="3408"/>
            <w:vAlign w:val="center"/>
          </w:tcPr>
          <w:p>
            <w:pPr>
              <w:spacing w:after="0"/>
            </w:pPr>
            <w:r/>
            <w:r>
              <w:rPr>
                <w:rFonts w:ascii="Aptos" w:hAnsi="Aptos"/>
                <w:b w:val="0"/>
                <w:sz w:val="15"/>
              </w:rPr>
              <w:t>Maker operating/maintenance limits</w:t>
            </w:r>
          </w:p>
        </w:tc>
        <w:tc>
          <w:tcPr>
            <w:tcW w:type="dxa" w:w="3408"/>
            <w:vAlign w:val="center"/>
          </w:tcPr>
          <w:p>
            <w:pPr>
              <w:spacing w:after="0"/>
            </w:pPr>
            <w:r/>
            <w:r>
              <w:rPr>
                <w:rFonts w:ascii="Aptos" w:hAnsi="Aptos"/>
                <w:b w:val="0"/>
                <w:sz w:val="15"/>
              </w:rPr>
              <w:t>Asset-specific control/evidence.</w:t>
            </w:r>
          </w:p>
        </w:tc>
      </w:tr>
      <w:tr>
        <w:tc>
          <w:tcPr>
            <w:tcW w:type="dxa" w:w="3408"/>
            <w:vAlign w:val="center"/>
            <w:shd w:fill="F4F7FA"/>
          </w:tcPr>
          <w:p>
            <w:pPr>
              <w:spacing w:after="0"/>
            </w:pPr>
            <w:r/>
            <w:r>
              <w:rPr>
                <w:rFonts w:ascii="Aptos" w:hAnsi="Aptos"/>
                <w:b w:val="0"/>
                <w:sz w:val="15"/>
              </w:rPr>
              <w:t>INDUSTRY_ASSURANCE</w:t>
            </w:r>
          </w:p>
        </w:tc>
        <w:tc>
          <w:tcPr>
            <w:tcW w:type="dxa" w:w="3408"/>
            <w:vAlign w:val="center"/>
            <w:shd w:fill="F4F7FA"/>
          </w:tcPr>
          <w:p>
            <w:pPr>
              <w:spacing w:after="0"/>
            </w:pPr>
            <w:r/>
            <w:r>
              <w:rPr>
                <w:rFonts w:ascii="Aptos" w:hAnsi="Aptos"/>
                <w:b w:val="0"/>
                <w:sz w:val="15"/>
              </w:rPr>
              <w:t>SIRE/TMSA/ISGOTT</w:t>
            </w:r>
          </w:p>
        </w:tc>
        <w:tc>
          <w:tcPr>
            <w:tcW w:type="dxa" w:w="3408"/>
            <w:vAlign w:val="center"/>
            <w:shd w:fill="F4F7FA"/>
          </w:tcPr>
          <w:p>
            <w:pPr>
              <w:spacing w:after="0"/>
            </w:pPr>
            <w:r/>
            <w:r>
              <w:rPr>
                <w:rFonts w:ascii="Aptos" w:hAnsi="Aptos"/>
                <w:b w:val="0"/>
                <w:sz w:val="15"/>
              </w:rPr>
              <w:t>Statutory state'ten ayrı assurance state.</w:t>
            </w:r>
          </w:p>
        </w:tc>
      </w:tr>
      <w:tr>
        <w:tc>
          <w:tcPr>
            <w:tcW w:type="dxa" w:w="3408"/>
            <w:vAlign w:val="center"/>
          </w:tcPr>
          <w:p>
            <w:pPr>
              <w:spacing w:after="0"/>
            </w:pPr>
            <w:r/>
            <w:r>
              <w:rPr>
                <w:rFonts w:ascii="Aptos" w:hAnsi="Aptos"/>
                <w:b w:val="0"/>
                <w:sz w:val="15"/>
              </w:rPr>
              <w:t>PRODUCT_CONTROL</w:t>
            </w:r>
          </w:p>
        </w:tc>
        <w:tc>
          <w:tcPr>
            <w:tcW w:type="dxa" w:w="3408"/>
            <w:vAlign w:val="center"/>
          </w:tcPr>
          <w:p>
            <w:pPr>
              <w:spacing w:after="0"/>
            </w:pPr>
            <w:r/>
            <w:r>
              <w:rPr>
                <w:rFonts w:ascii="Aptos" w:hAnsi="Aptos"/>
                <w:b w:val="0"/>
                <w:sz w:val="15"/>
              </w:rPr>
              <w:t>Conflict/offline/human authority gibi sistem güvenlik kuralı</w:t>
            </w:r>
          </w:p>
        </w:tc>
        <w:tc>
          <w:tcPr>
            <w:tcW w:type="dxa" w:w="3408"/>
            <w:vAlign w:val="center"/>
          </w:tcPr>
          <w:p>
            <w:pPr>
              <w:spacing w:after="0"/>
            </w:pPr>
            <w:r/>
            <w:r>
              <w:rPr>
                <w:rFonts w:ascii="Aptos" w:hAnsi="Aptos"/>
                <w:b w:val="0"/>
                <w:sz w:val="15"/>
              </w:rPr>
              <w:t>Regülasyon gibi sunulmaz.</w:t>
            </w:r>
          </w:p>
        </w:tc>
      </w:tr>
    </w:tbl>
    <w:p>
      <w:pPr>
        <w:pStyle w:val="ListBullet"/>
        <w:spacing w:after="40"/>
      </w:pPr>
      <w:r>
        <w:t>İki authoritative source çelişirse numeric priority ile biri silinmez.</w:t>
      </w:r>
    </w:p>
    <w:p>
      <w:pPr>
        <w:pStyle w:val="ListBullet"/>
        <w:spacing w:after="40"/>
      </w:pPr>
      <w:r>
        <w:t>ConflictRecord oluşturulur; source owner + reviewer'a yönlenir.</w:t>
      </w:r>
    </w:p>
    <w:p>
      <w:pPr>
        <w:pStyle w:val="ListBullet"/>
        <w:spacing w:after="40"/>
      </w:pPr>
      <w:r>
        <w:t>Çelişki kritikse ilgili readiness REVIEW_REQUIRED olur.</w:t>
      </w:r>
    </w:p>
    <w:p>
      <w:pPr>
        <w:pStyle w:val="ListBullet"/>
        <w:spacing w:after="40"/>
      </w:pPr>
      <w:r>
        <w:t>Human override source metnini değiştirmez; yalnız context-bound controlled decision'dır.</w:t>
      </w:r>
    </w:p>
    <w:p>
      <w:pPr>
        <w:pStyle w:val="Heading1"/>
      </w:pPr>
      <w:r>
        <w:t>9. Gemi Modu Örnek Aktivasyonları</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Rule</w:t>
            </w:r>
          </w:p>
        </w:tc>
        <w:tc>
          <w:tcPr>
            <w:tcW w:type="dxa" w:w="3408"/>
            <w:vAlign w:val="center"/>
            <w:shd w:fill="17365D"/>
          </w:tcPr>
          <w:p>
            <w:pPr>
              <w:spacing w:after="0"/>
            </w:pPr>
            <w:r/>
            <w:r>
              <w:rPr>
                <w:rFonts w:ascii="Aptos" w:hAnsi="Aptos"/>
                <w:b/>
                <w:color w:val="FFFFFF"/>
                <w:sz w:val="15"/>
              </w:rPr>
              <w:t>Temel predicate</w:t>
            </w:r>
          </w:p>
        </w:tc>
        <w:tc>
          <w:tcPr>
            <w:tcW w:type="dxa" w:w="3408"/>
            <w:vAlign w:val="center"/>
            <w:shd w:fill="17365D"/>
          </w:tcPr>
          <w:p>
            <w:pPr>
              <w:spacing w:after="0"/>
            </w:pPr>
            <w:r/>
            <w:r>
              <w:rPr>
                <w:rFonts w:ascii="Aptos" w:hAnsi="Aptos"/>
                <w:b/>
                <w:color w:val="FFFFFF"/>
                <w:sz w:val="15"/>
              </w:rPr>
              <w:t>Aktivasyon</w:t>
            </w:r>
          </w:p>
        </w:tc>
      </w:tr>
      <w:tr>
        <w:tc>
          <w:tcPr>
            <w:tcW w:type="dxa" w:w="3408"/>
            <w:vAlign w:val="center"/>
          </w:tcPr>
          <w:p>
            <w:pPr>
              <w:spacing w:after="0"/>
            </w:pPr>
            <w:r/>
            <w:r>
              <w:rPr>
                <w:rFonts w:ascii="Aptos" w:hAnsi="Aptos"/>
                <w:b w:val="0"/>
                <w:sz w:val="15"/>
              </w:rPr>
              <w:t>STCW V Tanker</w:t>
            </w:r>
          </w:p>
        </w:tc>
        <w:tc>
          <w:tcPr>
            <w:tcW w:type="dxa" w:w="3408"/>
            <w:vAlign w:val="center"/>
          </w:tcPr>
          <w:p>
            <w:pPr>
              <w:spacing w:after="0"/>
            </w:pPr>
            <w:r/>
            <w:r>
              <w:rPr>
                <w:rFonts w:ascii="Aptos" w:hAnsi="Aptos"/>
                <w:b w:val="0"/>
                <w:sz w:val="15"/>
              </w:rPr>
              <w:t>mode=SHIP + vessel type Oil/Chemical/Gas tanker</w:t>
            </w:r>
          </w:p>
        </w:tc>
        <w:tc>
          <w:tcPr>
            <w:tcW w:type="dxa" w:w="3408"/>
            <w:vAlign w:val="center"/>
          </w:tcPr>
          <w:p>
            <w:pPr>
              <w:spacing w:after="0"/>
            </w:pPr>
            <w:r/>
            <w:r>
              <w:rPr>
                <w:rFonts w:ascii="Aptos" w:hAnsi="Aptos"/>
                <w:b w:val="0"/>
                <w:sz w:val="15"/>
              </w:rPr>
              <w:t>Special training/endorsement controls + Crew Eligibility</w:t>
            </w:r>
          </w:p>
        </w:tc>
      </w:tr>
      <w:tr>
        <w:tc>
          <w:tcPr>
            <w:tcW w:type="dxa" w:w="3408"/>
            <w:vAlign w:val="center"/>
            <w:shd w:fill="F4F7FA"/>
          </w:tcPr>
          <w:p>
            <w:pPr>
              <w:spacing w:after="0"/>
            </w:pPr>
            <w:r/>
            <w:r>
              <w:rPr>
                <w:rFonts w:ascii="Aptos" w:hAnsi="Aptos"/>
                <w:b w:val="0"/>
                <w:sz w:val="15"/>
              </w:rPr>
              <w:t>IMDG 42-24</w:t>
            </w:r>
          </w:p>
        </w:tc>
        <w:tc>
          <w:tcPr>
            <w:tcW w:type="dxa" w:w="3408"/>
            <w:vAlign w:val="center"/>
            <w:shd w:fill="F4F7FA"/>
          </w:tcPr>
          <w:p>
            <w:pPr>
              <w:spacing w:after="0"/>
            </w:pPr>
            <w:r/>
            <w:r>
              <w:rPr>
                <w:rFonts w:ascii="Aptos" w:hAnsi="Aptos"/>
                <w:b w:val="0"/>
                <w:sz w:val="15"/>
              </w:rPr>
              <w:t>mode=SHIP + packaged DG=true + evaluationDate ≥ 2026-01-01</w:t>
            </w:r>
          </w:p>
        </w:tc>
        <w:tc>
          <w:tcPr>
            <w:tcW w:type="dxa" w:w="3408"/>
            <w:vAlign w:val="center"/>
            <w:shd w:fill="F4F7FA"/>
          </w:tcPr>
          <w:p>
            <w:pPr>
              <w:spacing w:after="0"/>
            </w:pPr>
            <w:r/>
            <w:r>
              <w:rPr>
                <w:rFonts w:ascii="Aptos" w:hAnsi="Aptos"/>
                <w:b w:val="0"/>
                <w:sz w:val="15"/>
              </w:rPr>
              <w:t>IMDG Control + manifest/declaration/segregation evidence</w:t>
            </w:r>
          </w:p>
        </w:tc>
      </w:tr>
      <w:tr>
        <w:tc>
          <w:tcPr>
            <w:tcW w:type="dxa" w:w="3408"/>
            <w:vAlign w:val="center"/>
          </w:tcPr>
          <w:p>
            <w:pPr>
              <w:spacing w:after="0"/>
            </w:pPr>
            <w:r/>
            <w:r>
              <w:rPr>
                <w:rFonts w:ascii="Aptos" w:hAnsi="Aptos"/>
                <w:b w:val="0"/>
                <w:sz w:val="15"/>
              </w:rPr>
              <w:t>MARPOL II</w:t>
            </w:r>
          </w:p>
        </w:tc>
        <w:tc>
          <w:tcPr>
            <w:tcW w:type="dxa" w:w="3408"/>
            <w:vAlign w:val="center"/>
          </w:tcPr>
          <w:p>
            <w:pPr>
              <w:spacing w:after="0"/>
            </w:pPr>
            <w:r/>
            <w:r>
              <w:rPr>
                <w:rFonts w:ascii="Aptos" w:hAnsi="Aptos"/>
                <w:b w:val="0"/>
                <w:sz w:val="15"/>
              </w:rPr>
              <w:t>Chemical tanker + applicable NLS cargo</w:t>
            </w:r>
          </w:p>
        </w:tc>
        <w:tc>
          <w:tcPr>
            <w:tcW w:type="dxa" w:w="3408"/>
            <w:vAlign w:val="center"/>
          </w:tcPr>
          <w:p>
            <w:pPr>
              <w:spacing w:after="0"/>
            </w:pPr>
            <w:r/>
            <w:r>
              <w:rPr>
                <w:rFonts w:ascii="Aptos" w:hAnsi="Aptos"/>
                <w:b w:val="0"/>
                <w:sz w:val="15"/>
              </w:rPr>
              <w:t>Chemical Tanker Workspace + record/P&amp;A controls</w:t>
            </w:r>
          </w:p>
        </w:tc>
      </w:tr>
      <w:tr>
        <w:tc>
          <w:tcPr>
            <w:tcW w:type="dxa" w:w="3408"/>
            <w:vAlign w:val="center"/>
            <w:shd w:fill="F4F7FA"/>
          </w:tcPr>
          <w:p>
            <w:pPr>
              <w:spacing w:after="0"/>
            </w:pPr>
            <w:r/>
            <w:r>
              <w:rPr>
                <w:rFonts w:ascii="Aptos" w:hAnsi="Aptos"/>
                <w:b w:val="0"/>
                <w:sz w:val="15"/>
              </w:rPr>
              <w:t>IBC</w:t>
            </w:r>
          </w:p>
        </w:tc>
        <w:tc>
          <w:tcPr>
            <w:tcW w:type="dxa" w:w="3408"/>
            <w:vAlign w:val="center"/>
            <w:shd w:fill="F4F7FA"/>
          </w:tcPr>
          <w:p>
            <w:pPr>
              <w:spacing w:after="0"/>
            </w:pPr>
            <w:r/>
            <w:r>
              <w:rPr>
                <w:rFonts w:ascii="Aptos" w:hAnsi="Aptos"/>
                <w:b w:val="0"/>
                <w:sz w:val="15"/>
              </w:rPr>
              <w:t>Chemical tanker + IBC applicability</w:t>
            </w:r>
          </w:p>
        </w:tc>
        <w:tc>
          <w:tcPr>
            <w:tcW w:type="dxa" w:w="3408"/>
            <w:vAlign w:val="center"/>
            <w:shd w:fill="F4F7FA"/>
          </w:tcPr>
          <w:p>
            <w:pPr>
              <w:spacing w:after="0"/>
            </w:pPr>
            <w:r/>
            <w:r>
              <w:rPr>
                <w:rFonts w:ascii="Aptos" w:hAnsi="Aptos"/>
                <w:b w:val="0"/>
                <w:sz w:val="15"/>
              </w:rPr>
              <w:t>IBC cargo/tank compatibility/control pack</w:t>
            </w:r>
          </w:p>
        </w:tc>
      </w:tr>
      <w:tr>
        <w:tc>
          <w:tcPr>
            <w:tcW w:type="dxa" w:w="3408"/>
            <w:vAlign w:val="center"/>
          </w:tcPr>
          <w:p>
            <w:pPr>
              <w:spacing w:after="0"/>
            </w:pPr>
            <w:r/>
            <w:r>
              <w:rPr>
                <w:rFonts w:ascii="Aptos" w:hAnsi="Aptos"/>
                <w:b w:val="0"/>
                <w:sz w:val="15"/>
              </w:rPr>
              <w:t>IGC</w:t>
            </w:r>
          </w:p>
        </w:tc>
        <w:tc>
          <w:tcPr>
            <w:tcW w:type="dxa" w:w="3408"/>
            <w:vAlign w:val="center"/>
          </w:tcPr>
          <w:p>
            <w:pPr>
              <w:spacing w:after="0"/>
            </w:pPr>
            <w:r/>
            <w:r>
              <w:rPr>
                <w:rFonts w:ascii="Aptos" w:hAnsi="Aptos"/>
                <w:b w:val="0"/>
                <w:sz w:val="15"/>
              </w:rPr>
              <w:t>Gas carrier + IGC applicability</w:t>
            </w:r>
          </w:p>
        </w:tc>
        <w:tc>
          <w:tcPr>
            <w:tcW w:type="dxa" w:w="3408"/>
            <w:vAlign w:val="center"/>
          </w:tcPr>
          <w:p>
            <w:pPr>
              <w:spacing w:after="0"/>
            </w:pPr>
            <w:r/>
            <w:r>
              <w:rPr>
                <w:rFonts w:ascii="Aptos" w:hAnsi="Aptos"/>
                <w:b w:val="0"/>
                <w:sz w:val="15"/>
              </w:rPr>
              <w:t>Gas carrier cargo/equipment control pack</w:t>
            </w:r>
          </w:p>
        </w:tc>
      </w:tr>
      <w:tr>
        <w:tc>
          <w:tcPr>
            <w:tcW w:type="dxa" w:w="3408"/>
            <w:vAlign w:val="center"/>
            <w:shd w:fill="F4F7FA"/>
          </w:tcPr>
          <w:p>
            <w:pPr>
              <w:spacing w:after="0"/>
            </w:pPr>
            <w:r/>
            <w:r>
              <w:rPr>
                <w:rFonts w:ascii="Aptos" w:hAnsi="Aptos"/>
                <w:b w:val="0"/>
                <w:sz w:val="15"/>
              </w:rPr>
              <w:t>BWM</w:t>
            </w:r>
          </w:p>
        </w:tc>
        <w:tc>
          <w:tcPr>
            <w:tcW w:type="dxa" w:w="3408"/>
            <w:vAlign w:val="center"/>
            <w:shd w:fill="F4F7FA"/>
          </w:tcPr>
          <w:p>
            <w:pPr>
              <w:spacing w:after="0"/>
            </w:pPr>
            <w:r/>
            <w:r>
              <w:rPr>
                <w:rFonts w:ascii="Aptos" w:hAnsi="Aptos"/>
                <w:b w:val="0"/>
                <w:sz w:val="15"/>
              </w:rPr>
              <w:t>Ship/date/equipment applicability</w:t>
            </w:r>
          </w:p>
        </w:tc>
        <w:tc>
          <w:tcPr>
            <w:tcW w:type="dxa" w:w="3408"/>
            <w:vAlign w:val="center"/>
            <w:shd w:fill="F4F7FA"/>
          </w:tcPr>
          <w:p>
            <w:pPr>
              <w:spacing w:after="0"/>
            </w:pPr>
            <w:r/>
            <w:r>
              <w:rPr>
                <w:rFonts w:ascii="Aptos" w:hAnsi="Aptos"/>
                <w:b w:val="0"/>
                <w:sz w:val="15"/>
              </w:rPr>
              <w:t>BWMP + record book + certificate/treatment controls</w:t>
            </w:r>
          </w:p>
        </w:tc>
      </w:tr>
      <w:tr>
        <w:tc>
          <w:tcPr>
            <w:tcW w:type="dxa" w:w="3408"/>
            <w:vAlign w:val="center"/>
          </w:tcPr>
          <w:p>
            <w:pPr>
              <w:spacing w:after="0"/>
            </w:pPr>
            <w:r/>
            <w:r>
              <w:rPr>
                <w:rFonts w:ascii="Aptos" w:hAnsi="Aptos"/>
                <w:b w:val="0"/>
                <w:sz w:val="15"/>
              </w:rPr>
              <w:t>ISPS</w:t>
            </w:r>
          </w:p>
        </w:tc>
        <w:tc>
          <w:tcPr>
            <w:tcW w:type="dxa" w:w="3408"/>
            <w:vAlign w:val="center"/>
          </w:tcPr>
          <w:p>
            <w:pPr>
              <w:spacing w:after="0"/>
            </w:pPr>
            <w:r/>
            <w:r>
              <w:rPr>
                <w:rFonts w:ascii="Aptos" w:hAnsi="Aptos"/>
                <w:b w:val="0"/>
                <w:sz w:val="15"/>
              </w:rPr>
              <w:t>ISPS applicable</w:t>
            </w:r>
          </w:p>
        </w:tc>
        <w:tc>
          <w:tcPr>
            <w:tcW w:type="dxa" w:w="3408"/>
            <w:vAlign w:val="center"/>
          </w:tcPr>
          <w:p>
            <w:pPr>
              <w:spacing w:after="0"/>
            </w:pPr>
            <w:r/>
            <w:r>
              <w:rPr>
                <w:rFonts w:ascii="Aptos" w:hAnsi="Aptos"/>
                <w:b w:val="0"/>
                <w:sz w:val="15"/>
              </w:rPr>
              <w:t>Security roles/drills/incidents/certificate controls</w:t>
            </w:r>
          </w:p>
        </w:tc>
      </w:tr>
    </w:tbl>
    <w:p>
      <w:pPr>
        <w:pStyle w:val="Heading1"/>
      </w:pPr>
      <w:r>
        <w:t>10. Römorkör Modu Örnek Aktivasyonları</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Rule</w:t>
            </w:r>
          </w:p>
        </w:tc>
        <w:tc>
          <w:tcPr>
            <w:tcW w:type="dxa" w:w="3408"/>
            <w:vAlign w:val="center"/>
            <w:shd w:fill="17365D"/>
          </w:tcPr>
          <w:p>
            <w:pPr>
              <w:spacing w:after="0"/>
            </w:pPr>
            <w:r/>
            <w:r>
              <w:rPr>
                <w:rFonts w:ascii="Aptos" w:hAnsi="Aptos"/>
                <w:b/>
                <w:color w:val="FFFFFF"/>
                <w:sz w:val="15"/>
              </w:rPr>
              <w:t>Temel predicate</w:t>
            </w:r>
          </w:p>
        </w:tc>
        <w:tc>
          <w:tcPr>
            <w:tcW w:type="dxa" w:w="3408"/>
            <w:vAlign w:val="center"/>
            <w:shd w:fill="17365D"/>
          </w:tcPr>
          <w:p>
            <w:pPr>
              <w:spacing w:after="0"/>
            </w:pPr>
            <w:r/>
            <w:r>
              <w:rPr>
                <w:rFonts w:ascii="Aptos" w:hAnsi="Aptos"/>
                <w:b/>
                <w:color w:val="FFFFFF"/>
                <w:sz w:val="15"/>
              </w:rPr>
              <w:t>Aktivasyon</w:t>
            </w:r>
          </w:p>
        </w:tc>
      </w:tr>
      <w:tr>
        <w:tc>
          <w:tcPr>
            <w:tcW w:type="dxa" w:w="3408"/>
            <w:vAlign w:val="center"/>
          </w:tcPr>
          <w:p>
            <w:pPr>
              <w:spacing w:after="0"/>
            </w:pPr>
            <w:r/>
            <w:r>
              <w:rPr>
                <w:rFonts w:ascii="Aptos" w:hAnsi="Aptos"/>
                <w:b w:val="0"/>
                <w:sz w:val="15"/>
              </w:rPr>
              <w:t>ISM §7 Tug</w:t>
            </w:r>
          </w:p>
        </w:tc>
        <w:tc>
          <w:tcPr>
            <w:tcW w:type="dxa" w:w="3408"/>
            <w:vAlign w:val="center"/>
          </w:tcPr>
          <w:p>
            <w:pPr>
              <w:spacing w:after="0"/>
            </w:pPr>
            <w:r/>
            <w:r>
              <w:rPr>
                <w:rFonts w:ascii="Aptos" w:hAnsi="Aptos"/>
                <w:b w:val="0"/>
                <w:sz w:val="15"/>
              </w:rPr>
              <w:t>mode=TUG + ISM applicable</w:t>
            </w:r>
          </w:p>
        </w:tc>
        <w:tc>
          <w:tcPr>
            <w:tcW w:type="dxa" w:w="3408"/>
            <w:vAlign w:val="center"/>
          </w:tcPr>
          <w:p>
            <w:pPr>
              <w:spacing w:after="0"/>
            </w:pPr>
            <w:r/>
            <w:r>
              <w:rPr>
                <w:rFonts w:ascii="Aptos" w:hAnsi="Aptos"/>
                <w:b w:val="0"/>
                <w:sz w:val="15"/>
              </w:rPr>
              <w:t>Job Detail + Towage Plan + Risk/Briefing + Execution</w:t>
            </w:r>
          </w:p>
        </w:tc>
      </w:tr>
      <w:tr>
        <w:tc>
          <w:tcPr>
            <w:tcW w:type="dxa" w:w="3408"/>
            <w:vAlign w:val="center"/>
            <w:shd w:fill="F4F7FA"/>
          </w:tcPr>
          <w:p>
            <w:pPr>
              <w:spacing w:after="0"/>
            </w:pPr>
            <w:r/>
            <w:r>
              <w:rPr>
                <w:rFonts w:ascii="Aptos" w:hAnsi="Aptos"/>
                <w:b w:val="0"/>
                <w:sz w:val="15"/>
              </w:rPr>
              <w:t>TR Tug MSMD</w:t>
            </w:r>
          </w:p>
        </w:tc>
        <w:tc>
          <w:tcPr>
            <w:tcW w:type="dxa" w:w="3408"/>
            <w:vAlign w:val="center"/>
            <w:shd w:fill="F4F7FA"/>
          </w:tcPr>
          <w:p>
            <w:pPr>
              <w:spacing w:after="0"/>
            </w:pPr>
            <w:r/>
            <w:r>
              <w:rPr>
                <w:rFonts w:ascii="Aptos" w:hAnsi="Aptos"/>
                <w:b w:val="0"/>
                <w:sz w:val="15"/>
              </w:rPr>
              <w:t>mode=TUG + flag=TR</w:t>
            </w:r>
          </w:p>
        </w:tc>
        <w:tc>
          <w:tcPr>
            <w:tcW w:type="dxa" w:w="3408"/>
            <w:vAlign w:val="center"/>
            <w:shd w:fill="F4F7FA"/>
          </w:tcPr>
          <w:p>
            <w:pPr>
              <w:spacing w:after="0"/>
            </w:pPr>
            <w:r/>
            <w:r>
              <w:rPr>
                <w:rFonts w:ascii="Aptos" w:hAnsi="Aptos"/>
                <w:b w:val="0"/>
                <w:sz w:val="15"/>
              </w:rPr>
              <w:t>minimum_manning_state + MSMD evidence control</w:t>
            </w:r>
          </w:p>
        </w:tc>
      </w:tr>
      <w:tr>
        <w:tc>
          <w:tcPr>
            <w:tcW w:type="dxa" w:w="3408"/>
            <w:vAlign w:val="center"/>
          </w:tcPr>
          <w:p>
            <w:pPr>
              <w:spacing w:after="0"/>
            </w:pPr>
            <w:r/>
            <w:r>
              <w:rPr>
                <w:rFonts w:ascii="Aptos" w:hAnsi="Aptos"/>
                <w:b w:val="0"/>
                <w:sz w:val="15"/>
              </w:rPr>
              <w:t>TR 2025 BP/Service</w:t>
            </w:r>
          </w:p>
        </w:tc>
        <w:tc>
          <w:tcPr>
            <w:tcW w:type="dxa" w:w="3408"/>
            <w:vAlign w:val="center"/>
          </w:tcPr>
          <w:p>
            <w:pPr>
              <w:spacing w:after="0"/>
            </w:pPr>
            <w:r/>
            <w:r>
              <w:rPr>
                <w:rFonts w:ascii="Aptos" w:hAnsi="Aptos"/>
                <w:b w:val="0"/>
                <w:sz w:val="15"/>
              </w:rPr>
              <w:t>mode=TUG + flag=TR + authorized service context</w:t>
            </w:r>
          </w:p>
        </w:tc>
        <w:tc>
          <w:tcPr>
            <w:tcW w:type="dxa" w:w="3408"/>
            <w:vAlign w:val="center"/>
          </w:tcPr>
          <w:p>
            <w:pPr>
              <w:spacing w:after="0"/>
            </w:pPr>
            <w:r/>
            <w:r>
              <w:rPr>
                <w:rFonts w:ascii="Aptos" w:hAnsi="Aptos"/>
                <w:b w:val="0"/>
                <w:sz w:val="15"/>
              </w:rPr>
              <w:t>BP/class/fire/insurance/service compliance controls</w:t>
            </w:r>
          </w:p>
        </w:tc>
      </w:tr>
      <w:tr>
        <w:tc>
          <w:tcPr>
            <w:tcW w:type="dxa" w:w="3408"/>
            <w:vAlign w:val="center"/>
            <w:shd w:fill="F4F7FA"/>
          </w:tcPr>
          <w:p>
            <w:pPr>
              <w:spacing w:after="0"/>
            </w:pPr>
            <w:r/>
            <w:r>
              <w:rPr>
                <w:rFonts w:ascii="Aptos" w:hAnsi="Aptos"/>
                <w:b w:val="0"/>
                <w:sz w:val="15"/>
              </w:rPr>
              <w:t>IACS M79</w:t>
            </w:r>
          </w:p>
        </w:tc>
        <w:tc>
          <w:tcPr>
            <w:tcW w:type="dxa" w:w="3408"/>
            <w:vAlign w:val="center"/>
            <w:shd w:fill="F4F7FA"/>
          </w:tcPr>
          <w:p>
            <w:pPr>
              <w:spacing w:after="0"/>
            </w:pPr>
            <w:r/>
            <w:r>
              <w:rPr>
                <w:rFonts w:ascii="Aptos" w:hAnsi="Aptos"/>
                <w:b w:val="0"/>
                <w:sz w:val="15"/>
              </w:rPr>
              <w:t>TUG + winch + actual M79 class pack + contract date + operation profile</w:t>
            </w:r>
          </w:p>
        </w:tc>
        <w:tc>
          <w:tcPr>
            <w:tcW w:type="dxa" w:w="3408"/>
            <w:vAlign w:val="center"/>
            <w:shd w:fill="F4F7FA"/>
          </w:tcPr>
          <w:p>
            <w:pPr>
              <w:spacing w:after="0"/>
            </w:pPr>
            <w:r/>
            <w:r>
              <w:rPr>
                <w:rFonts w:ascii="Aptos" w:hAnsi="Aptos"/>
                <w:b w:val="0"/>
                <w:sz w:val="15"/>
              </w:rPr>
              <w:t>Emergency release field/control/verification</w:t>
            </w:r>
          </w:p>
        </w:tc>
      </w:tr>
      <w:tr>
        <w:tc>
          <w:tcPr>
            <w:tcW w:type="dxa" w:w="3408"/>
            <w:vAlign w:val="center"/>
          </w:tcPr>
          <w:p>
            <w:pPr>
              <w:spacing w:after="0"/>
            </w:pPr>
            <w:r/>
            <w:r>
              <w:rPr>
                <w:rFonts w:ascii="Aptos" w:hAnsi="Aptos"/>
                <w:b w:val="0"/>
                <w:sz w:val="15"/>
              </w:rPr>
              <w:t>IACS Z18</w:t>
            </w:r>
          </w:p>
        </w:tc>
        <w:tc>
          <w:tcPr>
            <w:tcW w:type="dxa" w:w="3408"/>
            <w:vAlign w:val="center"/>
          </w:tcPr>
          <w:p>
            <w:pPr>
              <w:spacing w:after="0"/>
            </w:pPr>
            <w:r/>
            <w:r>
              <w:rPr>
                <w:rFonts w:ascii="Aptos" w:hAnsi="Aptos"/>
                <w:b w:val="0"/>
                <w:sz w:val="15"/>
              </w:rPr>
              <w:t>M79 active + survey window</w:t>
            </w:r>
          </w:p>
        </w:tc>
        <w:tc>
          <w:tcPr>
            <w:tcW w:type="dxa" w:w="3408"/>
            <w:vAlign w:val="center"/>
          </w:tcPr>
          <w:p>
            <w:pPr>
              <w:spacing w:after="0"/>
            </w:pPr>
            <w:r/>
            <w:r>
              <w:rPr>
                <w:rFonts w:ascii="Aptos" w:hAnsi="Aptos"/>
                <w:b w:val="0"/>
                <w:sz w:val="15"/>
              </w:rPr>
              <w:t>Annual/special survey evidence</w:t>
            </w:r>
          </w:p>
        </w:tc>
      </w:tr>
      <w:tr>
        <w:tc>
          <w:tcPr>
            <w:tcW w:type="dxa" w:w="3408"/>
            <w:vAlign w:val="center"/>
            <w:shd w:fill="F4F7FA"/>
          </w:tcPr>
          <w:p>
            <w:pPr>
              <w:spacing w:after="0"/>
            </w:pPr>
            <w:r/>
            <w:r>
              <w:rPr>
                <w:rFonts w:ascii="Aptos" w:hAnsi="Aptos"/>
                <w:b w:val="0"/>
                <w:sz w:val="15"/>
              </w:rPr>
              <w:t>Harbour Assist Flow</w:t>
            </w:r>
          </w:p>
        </w:tc>
        <w:tc>
          <w:tcPr>
            <w:tcW w:type="dxa" w:w="3408"/>
            <w:vAlign w:val="center"/>
            <w:shd w:fill="F4F7FA"/>
          </w:tcPr>
          <w:p>
            <w:pPr>
              <w:spacing w:after="0"/>
            </w:pPr>
            <w:r/>
            <w:r>
              <w:rPr>
                <w:rFonts w:ascii="Aptos" w:hAnsi="Aptos"/>
                <w:b w:val="0"/>
                <w:sz w:val="15"/>
              </w:rPr>
              <w:t>jobType harbour/escort/berthing assist</w:t>
            </w:r>
          </w:p>
        </w:tc>
        <w:tc>
          <w:tcPr>
            <w:tcW w:type="dxa" w:w="3408"/>
            <w:vAlign w:val="center"/>
            <w:shd w:fill="F4F7FA"/>
          </w:tcPr>
          <w:p>
            <w:pPr>
              <w:spacing w:after="0"/>
            </w:pPr>
            <w:r/>
            <w:r>
              <w:rPr>
                <w:rFonts w:ascii="Aptos" w:hAnsi="Aptos"/>
                <w:b w:val="0"/>
                <w:sz w:val="15"/>
              </w:rPr>
              <w:t>Fast Job→Assignment→Readiness→Plan→Execution flow</w:t>
            </w:r>
          </w:p>
        </w:tc>
      </w:tr>
      <w:tr>
        <w:tc>
          <w:tcPr>
            <w:tcW w:type="dxa" w:w="3408"/>
            <w:vAlign w:val="center"/>
          </w:tcPr>
          <w:p>
            <w:pPr>
              <w:spacing w:after="0"/>
            </w:pPr>
            <w:r/>
            <w:r>
              <w:rPr>
                <w:rFonts w:ascii="Aptos" w:hAnsi="Aptos"/>
                <w:b w:val="0"/>
                <w:sz w:val="15"/>
              </w:rPr>
              <w:t>Ocean Towage Flow</w:t>
            </w:r>
          </w:p>
        </w:tc>
        <w:tc>
          <w:tcPr>
            <w:tcW w:type="dxa" w:w="3408"/>
            <w:vAlign w:val="center"/>
          </w:tcPr>
          <w:p>
            <w:pPr>
              <w:spacing w:after="0"/>
            </w:pPr>
            <w:r/>
            <w:r>
              <w:rPr>
                <w:rFonts w:ascii="Aptos" w:hAnsi="Aptos"/>
                <w:b w:val="0"/>
                <w:sz w:val="15"/>
              </w:rPr>
              <w:t>jobType sea/ocean towage</w:t>
            </w:r>
          </w:p>
        </w:tc>
        <w:tc>
          <w:tcPr>
            <w:tcW w:type="dxa" w:w="3408"/>
            <w:vAlign w:val="center"/>
          </w:tcPr>
          <w:p>
            <w:pPr>
              <w:spacing w:after="0"/>
            </w:pPr>
            <w:r/>
            <w:r>
              <w:rPr>
                <w:rFonts w:ascii="Aptos" w:hAnsi="Aptos"/>
                <w:b w:val="0"/>
                <w:sz w:val="15"/>
              </w:rPr>
              <w:t>Suitability/certification/deeper class/route evidence pack</w:t>
            </w:r>
          </w:p>
        </w:tc>
      </w:tr>
      <w:tr>
        <w:tc>
          <w:tcPr>
            <w:tcW w:type="dxa" w:w="3408"/>
            <w:vAlign w:val="center"/>
            <w:shd w:fill="F4F7FA"/>
          </w:tcPr>
          <w:p>
            <w:pPr>
              <w:spacing w:after="0"/>
            </w:pPr>
            <w:r/>
            <w:r>
              <w:rPr>
                <w:rFonts w:ascii="Aptos" w:hAnsi="Aptos"/>
                <w:b w:val="0"/>
                <w:sz w:val="15"/>
              </w:rPr>
              <w:t>Escort crew overlay</w:t>
            </w:r>
          </w:p>
        </w:tc>
        <w:tc>
          <w:tcPr>
            <w:tcW w:type="dxa" w:w="3408"/>
            <w:vAlign w:val="center"/>
            <w:shd w:fill="F4F7FA"/>
          </w:tcPr>
          <w:p>
            <w:pPr>
              <w:spacing w:after="0"/>
            </w:pPr>
            <w:r/>
            <w:r>
              <w:rPr>
                <w:rFonts w:ascii="Aptos" w:hAnsi="Aptos"/>
                <w:b w:val="0"/>
                <w:sz w:val="15"/>
              </w:rPr>
              <w:t>validated source + strait/escort context</w:t>
            </w:r>
          </w:p>
        </w:tc>
        <w:tc>
          <w:tcPr>
            <w:tcW w:type="dxa" w:w="3408"/>
            <w:vAlign w:val="center"/>
            <w:shd w:fill="F4F7FA"/>
          </w:tcPr>
          <w:p>
            <w:pPr>
              <w:spacing w:after="0"/>
            </w:pPr>
            <w:r/>
            <w:r>
              <w:rPr>
                <w:rFonts w:ascii="Aptos" w:hAnsi="Aptos"/>
                <w:b w:val="0"/>
                <w:sz w:val="15"/>
              </w:rPr>
              <w:t>Additional crew requirement and Safe Manning re-evaluation</w:t>
            </w:r>
          </w:p>
        </w:tc>
      </w:tr>
    </w:tbl>
    <w:p>
      <w:pPr>
        <w:pStyle w:val="Heading1"/>
      </w:pPr>
      <w:r>
        <w:t>11. Output Activation Modeli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Output type</w:t>
            </w:r>
          </w:p>
        </w:tc>
        <w:tc>
          <w:tcPr>
            <w:tcW w:type="dxa" w:w="3408"/>
            <w:vAlign w:val="center"/>
            <w:shd w:fill="17365D"/>
          </w:tcPr>
          <w:p>
            <w:pPr>
              <w:spacing w:after="0"/>
            </w:pPr>
            <w:r/>
            <w:r>
              <w:rPr>
                <w:rFonts w:ascii="Aptos" w:hAnsi="Aptos"/>
                <w:b/>
                <w:color w:val="FFFFFF"/>
                <w:sz w:val="15"/>
              </w:rPr>
              <w:t>Ne yapar</w:t>
            </w:r>
          </w:p>
        </w:tc>
        <w:tc>
          <w:tcPr>
            <w:tcW w:type="dxa" w:w="3408"/>
            <w:vAlign w:val="center"/>
            <w:shd w:fill="17365D"/>
          </w:tcPr>
          <w:p>
            <w:pPr>
              <w:spacing w:after="0"/>
            </w:pPr>
            <w:r/>
            <w:r>
              <w:rPr>
                <w:rFonts w:ascii="Aptos" w:hAnsi="Aptos"/>
                <w:b/>
                <w:color w:val="FFFFFF"/>
                <w:sz w:val="15"/>
              </w:rPr>
              <w:t>Örnek</w:t>
            </w:r>
          </w:p>
        </w:tc>
      </w:tr>
      <w:tr>
        <w:tc>
          <w:tcPr>
            <w:tcW w:type="dxa" w:w="3408"/>
            <w:vAlign w:val="center"/>
          </w:tcPr>
          <w:p>
            <w:pPr>
              <w:spacing w:after="0"/>
            </w:pPr>
            <w:r/>
            <w:r>
              <w:rPr>
                <w:rFonts w:ascii="Aptos" w:hAnsi="Aptos"/>
                <w:b w:val="0"/>
                <w:sz w:val="15"/>
              </w:rPr>
              <w:t>REQUIREMENT</w:t>
            </w:r>
          </w:p>
        </w:tc>
        <w:tc>
          <w:tcPr>
            <w:tcW w:type="dxa" w:w="3408"/>
            <w:vAlign w:val="center"/>
          </w:tcPr>
          <w:p>
            <w:pPr>
              <w:spacing w:after="0"/>
            </w:pPr>
            <w:r/>
            <w:r>
              <w:rPr>
                <w:rFonts w:ascii="Aptos" w:hAnsi="Aptos"/>
                <w:b w:val="0"/>
                <w:sz w:val="15"/>
              </w:rPr>
              <w:t>Requirement context'te applicable olur</w:t>
            </w:r>
          </w:p>
        </w:tc>
        <w:tc>
          <w:tcPr>
            <w:tcW w:type="dxa" w:w="3408"/>
            <w:vAlign w:val="center"/>
          </w:tcPr>
          <w:p>
            <w:pPr>
              <w:spacing w:after="0"/>
            </w:pPr>
            <w:r/>
            <w:r>
              <w:rPr>
                <w:rFonts w:ascii="Aptos" w:hAnsi="Aptos"/>
                <w:b w:val="0"/>
                <w:sz w:val="15"/>
              </w:rPr>
              <w:t>REQ-ISM-007</w:t>
            </w:r>
          </w:p>
        </w:tc>
      </w:tr>
      <w:tr>
        <w:tc>
          <w:tcPr>
            <w:tcW w:type="dxa" w:w="3408"/>
            <w:vAlign w:val="center"/>
            <w:shd w:fill="F4F7FA"/>
          </w:tcPr>
          <w:p>
            <w:pPr>
              <w:spacing w:after="0"/>
            </w:pPr>
            <w:r/>
            <w:r>
              <w:rPr>
                <w:rFonts w:ascii="Aptos" w:hAnsi="Aptos"/>
                <w:b w:val="0"/>
                <w:sz w:val="15"/>
              </w:rPr>
              <w:t>CONTROL</w:t>
            </w:r>
          </w:p>
        </w:tc>
        <w:tc>
          <w:tcPr>
            <w:tcW w:type="dxa" w:w="3408"/>
            <w:vAlign w:val="center"/>
            <w:shd w:fill="F4F7FA"/>
          </w:tcPr>
          <w:p>
            <w:pPr>
              <w:spacing w:after="0"/>
            </w:pPr>
            <w:r/>
            <w:r>
              <w:rPr>
                <w:rFonts w:ascii="Aptos" w:hAnsi="Aptos"/>
                <w:b w:val="0"/>
                <w:sz w:val="15"/>
              </w:rPr>
              <w:t>Operasyonel kontrol ve owner/frequency/evidence policy aktive olur</w:t>
            </w:r>
          </w:p>
        </w:tc>
        <w:tc>
          <w:tcPr>
            <w:tcW w:type="dxa" w:w="3408"/>
            <w:vAlign w:val="center"/>
            <w:shd w:fill="F4F7FA"/>
          </w:tcPr>
          <w:p>
            <w:pPr>
              <w:spacing w:after="0"/>
            </w:pPr>
            <w:r/>
            <w:r>
              <w:rPr>
                <w:rFonts w:ascii="Aptos" w:hAnsi="Aptos"/>
                <w:b w:val="0"/>
                <w:sz w:val="15"/>
              </w:rPr>
              <w:t>CTRL-TUG-ERS</w:t>
            </w:r>
          </w:p>
        </w:tc>
      </w:tr>
      <w:tr>
        <w:tc>
          <w:tcPr>
            <w:tcW w:type="dxa" w:w="3408"/>
            <w:vAlign w:val="center"/>
          </w:tcPr>
          <w:p>
            <w:pPr>
              <w:spacing w:after="0"/>
            </w:pPr>
            <w:r/>
            <w:r>
              <w:rPr>
                <w:rFonts w:ascii="Aptos" w:hAnsi="Aptos"/>
                <w:b w:val="0"/>
                <w:sz w:val="15"/>
              </w:rPr>
              <w:t>SCREEN</w:t>
            </w:r>
          </w:p>
        </w:tc>
        <w:tc>
          <w:tcPr>
            <w:tcW w:type="dxa" w:w="3408"/>
            <w:vAlign w:val="center"/>
          </w:tcPr>
          <w:p>
            <w:pPr>
              <w:spacing w:after="0"/>
            </w:pPr>
            <w:r/>
            <w:r>
              <w:rPr>
                <w:rFonts w:ascii="Aptos" w:hAnsi="Aptos"/>
                <w:b w:val="0"/>
                <w:sz w:val="15"/>
              </w:rPr>
              <w:t>İlgili yüzey context/role bazında gösterilebilir</w:t>
            </w:r>
          </w:p>
        </w:tc>
        <w:tc>
          <w:tcPr>
            <w:tcW w:type="dxa" w:w="3408"/>
            <w:vAlign w:val="center"/>
          </w:tcPr>
          <w:p>
            <w:pPr>
              <w:spacing w:after="0"/>
            </w:pPr>
            <w:r/>
            <w:r>
              <w:rPr>
                <w:rFonts w:ascii="Aptos" w:hAnsi="Aptos"/>
                <w:b w:val="0"/>
                <w:sz w:val="15"/>
              </w:rPr>
              <w:t>towage-plan</w:t>
            </w:r>
          </w:p>
        </w:tc>
      </w:tr>
      <w:tr>
        <w:tc>
          <w:tcPr>
            <w:tcW w:type="dxa" w:w="3408"/>
            <w:vAlign w:val="center"/>
            <w:shd w:fill="F4F7FA"/>
          </w:tcPr>
          <w:p>
            <w:pPr>
              <w:spacing w:after="0"/>
            </w:pPr>
            <w:r/>
            <w:r>
              <w:rPr>
                <w:rFonts w:ascii="Aptos" w:hAnsi="Aptos"/>
                <w:b w:val="0"/>
                <w:sz w:val="15"/>
              </w:rPr>
              <w:t>FIELD</w:t>
            </w:r>
          </w:p>
        </w:tc>
        <w:tc>
          <w:tcPr>
            <w:tcW w:type="dxa" w:w="3408"/>
            <w:vAlign w:val="center"/>
            <w:shd w:fill="F4F7FA"/>
          </w:tcPr>
          <w:p>
            <w:pPr>
              <w:spacing w:after="0"/>
            </w:pPr>
            <w:r/>
            <w:r>
              <w:rPr>
                <w:rFonts w:ascii="Aptos" w:hAnsi="Aptos"/>
                <w:b w:val="0"/>
                <w:sz w:val="15"/>
              </w:rPr>
              <w:t>Alan görünür/zorunlu/read-only olur</w:t>
            </w:r>
          </w:p>
        </w:tc>
        <w:tc>
          <w:tcPr>
            <w:tcW w:type="dxa" w:w="3408"/>
            <w:vAlign w:val="center"/>
            <w:shd w:fill="F4F7FA"/>
          </w:tcPr>
          <w:p>
            <w:pPr>
              <w:spacing w:after="0"/>
            </w:pPr>
            <w:r/>
            <w:r>
              <w:rPr>
                <w:rFonts w:ascii="Aptos" w:hAnsi="Aptos"/>
                <w:b w:val="0"/>
                <w:sz w:val="15"/>
              </w:rPr>
              <w:t>emergency_release_state</w:t>
            </w:r>
          </w:p>
        </w:tc>
      </w:tr>
      <w:tr>
        <w:tc>
          <w:tcPr>
            <w:tcW w:type="dxa" w:w="3408"/>
            <w:vAlign w:val="center"/>
          </w:tcPr>
          <w:p>
            <w:pPr>
              <w:spacing w:after="0"/>
            </w:pPr>
            <w:r/>
            <w:r>
              <w:rPr>
                <w:rFonts w:ascii="Aptos" w:hAnsi="Aptos"/>
                <w:b w:val="0"/>
                <w:sz w:val="15"/>
              </w:rPr>
              <w:t>EVIDENCE_POLICY</w:t>
            </w:r>
          </w:p>
        </w:tc>
        <w:tc>
          <w:tcPr>
            <w:tcW w:type="dxa" w:w="3408"/>
            <w:vAlign w:val="center"/>
          </w:tcPr>
          <w:p>
            <w:pPr>
              <w:spacing w:after="0"/>
            </w:pPr>
            <w:r/>
            <w:r>
              <w:rPr>
                <w:rFonts w:ascii="Aptos" w:hAnsi="Aptos"/>
                <w:b w:val="0"/>
                <w:sz w:val="15"/>
              </w:rPr>
              <w:t>Evidence type/freshness/provenance kuralı aktive olur</w:t>
            </w:r>
          </w:p>
        </w:tc>
        <w:tc>
          <w:tcPr>
            <w:tcW w:type="dxa" w:w="3408"/>
            <w:vAlign w:val="center"/>
          </w:tcPr>
          <w:p>
            <w:pPr>
              <w:spacing w:after="0"/>
            </w:pPr>
            <w:r/>
            <w:r>
              <w:rPr>
                <w:rFonts w:ascii="Aptos" w:hAnsi="Aptos"/>
                <w:b w:val="0"/>
                <w:sz w:val="15"/>
              </w:rPr>
              <w:t>BP certificate &lt;= controlled validity rule</w:t>
            </w:r>
          </w:p>
        </w:tc>
      </w:tr>
      <w:tr>
        <w:tc>
          <w:tcPr>
            <w:tcW w:type="dxa" w:w="3408"/>
            <w:vAlign w:val="center"/>
            <w:shd w:fill="F4F7FA"/>
          </w:tcPr>
          <w:p>
            <w:pPr>
              <w:spacing w:after="0"/>
            </w:pPr>
            <w:r/>
            <w:r>
              <w:rPr>
                <w:rFonts w:ascii="Aptos" w:hAnsi="Aptos"/>
                <w:b w:val="0"/>
                <w:sz w:val="15"/>
              </w:rPr>
              <w:t>VERIFICATION_GATE</w:t>
            </w:r>
          </w:p>
        </w:tc>
        <w:tc>
          <w:tcPr>
            <w:tcW w:type="dxa" w:w="3408"/>
            <w:vAlign w:val="center"/>
            <w:shd w:fill="F4F7FA"/>
          </w:tcPr>
          <w:p>
            <w:pPr>
              <w:spacing w:after="0"/>
            </w:pPr>
            <w:r/>
            <w:r>
              <w:rPr>
                <w:rFonts w:ascii="Aptos" w:hAnsi="Aptos"/>
                <w:b w:val="0"/>
                <w:sz w:val="15"/>
              </w:rPr>
              <w:t>Authorized verifier gerekir</w:t>
            </w:r>
          </w:p>
        </w:tc>
        <w:tc>
          <w:tcPr>
            <w:tcW w:type="dxa" w:w="3408"/>
            <w:vAlign w:val="center"/>
            <w:shd w:fill="F4F7FA"/>
          </w:tcPr>
          <w:p>
            <w:pPr>
              <w:spacing w:after="0"/>
            </w:pPr>
            <w:r/>
            <w:r>
              <w:rPr>
                <w:rFonts w:ascii="Aptos" w:hAnsi="Aptos"/>
                <w:b w:val="0"/>
                <w:sz w:val="15"/>
              </w:rPr>
              <w:t>VERIFY-TUG-ERS</w:t>
            </w:r>
          </w:p>
        </w:tc>
      </w:tr>
      <w:tr>
        <w:tc>
          <w:tcPr>
            <w:tcW w:type="dxa" w:w="3408"/>
            <w:vAlign w:val="center"/>
          </w:tcPr>
          <w:p>
            <w:pPr>
              <w:spacing w:after="0"/>
            </w:pPr>
            <w:r/>
            <w:r>
              <w:rPr>
                <w:rFonts w:ascii="Aptos" w:hAnsi="Aptos"/>
                <w:b w:val="0"/>
                <w:sz w:val="15"/>
              </w:rPr>
              <w:t>TEST_CASE</w:t>
            </w:r>
          </w:p>
        </w:tc>
        <w:tc>
          <w:tcPr>
            <w:tcW w:type="dxa" w:w="3408"/>
            <w:vAlign w:val="center"/>
          </w:tcPr>
          <w:p>
            <w:pPr>
              <w:spacing w:after="0"/>
            </w:pPr>
            <w:r/>
            <w:r>
              <w:rPr>
                <w:rFonts w:ascii="Aptos" w:hAnsi="Aptos"/>
                <w:b w:val="0"/>
                <w:sz w:val="15"/>
              </w:rPr>
              <w:t>Rule regression test setine girer</w:t>
            </w:r>
          </w:p>
        </w:tc>
        <w:tc>
          <w:tcPr>
            <w:tcW w:type="dxa" w:w="3408"/>
            <w:vAlign w:val="center"/>
          </w:tcPr>
          <w:p>
            <w:pPr>
              <w:spacing w:after="0"/>
            </w:pPr>
            <w:r/>
            <w:r>
              <w:rPr>
                <w:rFonts w:ascii="Aptos" w:hAnsi="Aptos"/>
                <w:b w:val="0"/>
                <w:sz w:val="15"/>
              </w:rPr>
              <w:t>TC-tug-m79-applicability</w:t>
            </w:r>
          </w:p>
        </w:tc>
      </w:tr>
      <w:tr>
        <w:tc>
          <w:tcPr>
            <w:tcW w:type="dxa" w:w="3408"/>
            <w:vAlign w:val="center"/>
            <w:shd w:fill="F4F7FA"/>
          </w:tcPr>
          <w:p>
            <w:pPr>
              <w:spacing w:after="0"/>
            </w:pPr>
            <w:r/>
            <w:r>
              <w:rPr>
                <w:rFonts w:ascii="Aptos" w:hAnsi="Aptos"/>
                <w:b w:val="0"/>
                <w:sz w:val="15"/>
              </w:rPr>
              <w:t>NOTIFICATION</w:t>
            </w:r>
          </w:p>
        </w:tc>
        <w:tc>
          <w:tcPr>
            <w:tcW w:type="dxa" w:w="3408"/>
            <w:vAlign w:val="center"/>
            <w:shd w:fill="F4F7FA"/>
          </w:tcPr>
          <w:p>
            <w:pPr>
              <w:spacing w:after="0"/>
            </w:pPr>
            <w:r/>
            <w:r>
              <w:rPr>
                <w:rFonts w:ascii="Aptos" w:hAnsi="Aptos"/>
                <w:b w:val="0"/>
                <w:sz w:val="15"/>
              </w:rPr>
              <w:t>Due/review/critical event için route açılır</w:t>
            </w:r>
          </w:p>
        </w:tc>
        <w:tc>
          <w:tcPr>
            <w:tcW w:type="dxa" w:w="3408"/>
            <w:vAlign w:val="center"/>
            <w:shd w:fill="F4F7FA"/>
          </w:tcPr>
          <w:p>
            <w:pPr>
              <w:spacing w:after="0"/>
            </w:pPr>
            <w:r/>
            <w:r>
              <w:rPr>
                <w:rFonts w:ascii="Aptos" w:hAnsi="Aptos"/>
                <w:b w:val="0"/>
                <w:sz w:val="15"/>
              </w:rPr>
              <w:t>Regulatory Review / survey due</w:t>
            </w:r>
          </w:p>
        </w:tc>
      </w:tr>
    </w:tbl>
    <w:p>
      <w:r>
        <w:t>Screen activation authorization yerine geçmez. UI görünürlüğü role + tenant + vessel/tug + object scope ile ayrıca kontrol edilir.</w:t>
      </w:r>
    </w:p>
    <w:p>
      <w:pPr>
        <w:pStyle w:val="Heading1"/>
      </w:pPr>
      <w:r>
        <w:t>12. Field Davranışı</w:t>
      </w:r>
    </w:p>
    <w:p>
      <w:r>
        <w:t>Applicability Engine sadece ekran açıp kapatmaz. Alan sözleşmesini de etkiler.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5"/>
              </w:rPr>
              <w:t>Field behavior</w:t>
            </w:r>
          </w:p>
        </w:tc>
        <w:tc>
          <w:tcPr>
            <w:tcW w:type="dxa" w:w="5112"/>
            <w:vAlign w:val="center"/>
            <w:shd w:fill="17365D"/>
          </w:tcPr>
          <w:p>
            <w:pPr>
              <w:spacing w:after="0"/>
            </w:pPr>
            <w:r/>
            <w:r>
              <w:rPr>
                <w:rFonts w:ascii="Aptos" w:hAnsi="Aptos"/>
                <w:b/>
                <w:color w:val="FFFFFF"/>
                <w:sz w:val="15"/>
              </w:rPr>
              <w:t>Örnek</w:t>
            </w:r>
          </w:p>
        </w:tc>
      </w:tr>
      <w:tr>
        <w:tc>
          <w:tcPr>
            <w:tcW w:type="dxa" w:w="5112"/>
            <w:vAlign w:val="center"/>
          </w:tcPr>
          <w:p>
            <w:pPr>
              <w:spacing w:after="0"/>
            </w:pPr>
            <w:r/>
            <w:r>
              <w:rPr>
                <w:rFonts w:ascii="Aptos" w:hAnsi="Aptos"/>
                <w:b w:val="0"/>
                <w:sz w:val="15"/>
              </w:rPr>
              <w:t>VISIBLE</w:t>
            </w:r>
          </w:p>
        </w:tc>
        <w:tc>
          <w:tcPr>
            <w:tcW w:type="dxa" w:w="5112"/>
            <w:vAlign w:val="center"/>
          </w:tcPr>
          <w:p>
            <w:pPr>
              <w:spacing w:after="0"/>
            </w:pPr>
            <w:r/>
            <w:r>
              <w:rPr>
                <w:rFonts w:ascii="Aptos" w:hAnsi="Aptos"/>
                <w:b w:val="0"/>
                <w:sz w:val="15"/>
              </w:rPr>
              <w:t>Tug Mode + M79 applicable ise emergency release alanları görünür.</w:t>
            </w:r>
          </w:p>
        </w:tc>
      </w:tr>
      <w:tr>
        <w:tc>
          <w:tcPr>
            <w:tcW w:type="dxa" w:w="5112"/>
            <w:vAlign w:val="center"/>
            <w:shd w:fill="F4F7FA"/>
          </w:tcPr>
          <w:p>
            <w:pPr>
              <w:spacing w:after="0"/>
            </w:pPr>
            <w:r/>
            <w:r>
              <w:rPr>
                <w:rFonts w:ascii="Aptos" w:hAnsi="Aptos"/>
                <w:b w:val="0"/>
                <w:sz w:val="15"/>
              </w:rPr>
              <w:t>MANDATORY</w:t>
            </w:r>
          </w:p>
        </w:tc>
        <w:tc>
          <w:tcPr>
            <w:tcW w:type="dxa" w:w="5112"/>
            <w:vAlign w:val="center"/>
            <w:shd w:fill="F4F7FA"/>
          </w:tcPr>
          <w:p>
            <w:pPr>
              <w:spacing w:after="0"/>
            </w:pPr>
            <w:r/>
            <w:r>
              <w:rPr>
                <w:rFonts w:ascii="Aptos" w:hAnsi="Aptos"/>
                <w:b w:val="0"/>
                <w:sz w:val="15"/>
              </w:rPr>
              <w:t>Applicable control için evidence source alanı zorunlu olur.</w:t>
            </w:r>
          </w:p>
        </w:tc>
      </w:tr>
      <w:tr>
        <w:tc>
          <w:tcPr>
            <w:tcW w:type="dxa" w:w="5112"/>
            <w:vAlign w:val="center"/>
          </w:tcPr>
          <w:p>
            <w:pPr>
              <w:spacing w:after="0"/>
            </w:pPr>
            <w:r/>
            <w:r>
              <w:rPr>
                <w:rFonts w:ascii="Aptos" w:hAnsi="Aptos"/>
                <w:b w:val="0"/>
                <w:sz w:val="15"/>
              </w:rPr>
              <w:t>READ_ONLY</w:t>
            </w:r>
          </w:p>
        </w:tc>
        <w:tc>
          <w:tcPr>
            <w:tcW w:type="dxa" w:w="5112"/>
            <w:vAlign w:val="center"/>
          </w:tcPr>
          <w:p>
            <w:pPr>
              <w:spacing w:after="0"/>
            </w:pPr>
            <w:r/>
            <w:r>
              <w:rPr>
                <w:rFonts w:ascii="Aptos" w:hAnsi="Aptos"/>
                <w:b w:val="0"/>
                <w:sz w:val="15"/>
              </w:rPr>
              <w:t>System-calculated applicability/readiness state.</w:t>
            </w:r>
          </w:p>
        </w:tc>
      </w:tr>
      <w:tr>
        <w:tc>
          <w:tcPr>
            <w:tcW w:type="dxa" w:w="5112"/>
            <w:vAlign w:val="center"/>
            <w:shd w:fill="F4F7FA"/>
          </w:tcPr>
          <w:p>
            <w:pPr>
              <w:spacing w:after="0"/>
            </w:pPr>
            <w:r/>
            <w:r>
              <w:rPr>
                <w:rFonts w:ascii="Aptos" w:hAnsi="Aptos"/>
                <w:b w:val="0"/>
                <w:sz w:val="15"/>
              </w:rPr>
              <w:t>HIDDEN</w:t>
            </w:r>
          </w:p>
        </w:tc>
        <w:tc>
          <w:tcPr>
            <w:tcW w:type="dxa" w:w="5112"/>
            <w:vAlign w:val="center"/>
            <w:shd w:fill="F4F7FA"/>
          </w:tcPr>
          <w:p>
            <w:pPr>
              <w:spacing w:after="0"/>
            </w:pPr>
            <w:r/>
            <w:r>
              <w:rPr>
                <w:rFonts w:ascii="Aptos" w:hAnsi="Aptos"/>
                <w:b w:val="0"/>
                <w:sz w:val="15"/>
              </w:rPr>
              <w:t>Mode veya rule NOT_APPLICABLE ise kullanıcıdan gereksiz data istenmez.</w:t>
            </w:r>
          </w:p>
        </w:tc>
      </w:tr>
      <w:tr>
        <w:tc>
          <w:tcPr>
            <w:tcW w:type="dxa" w:w="5112"/>
            <w:vAlign w:val="center"/>
          </w:tcPr>
          <w:p>
            <w:pPr>
              <w:spacing w:after="0"/>
            </w:pPr>
            <w:r/>
            <w:r>
              <w:rPr>
                <w:rFonts w:ascii="Aptos" w:hAnsi="Aptos"/>
                <w:b w:val="0"/>
                <w:sz w:val="15"/>
              </w:rPr>
              <w:t>REVIEW_REQUIRED</w:t>
            </w:r>
          </w:p>
        </w:tc>
        <w:tc>
          <w:tcPr>
            <w:tcW w:type="dxa" w:w="5112"/>
            <w:vAlign w:val="center"/>
          </w:tcPr>
          <w:p>
            <w:pPr>
              <w:spacing w:after="0"/>
            </w:pPr>
            <w:r/>
            <w:r>
              <w:rPr>
                <w:rFonts w:ascii="Aptos" w:hAnsi="Aptos"/>
                <w:b w:val="0"/>
                <w:sz w:val="15"/>
              </w:rPr>
              <w:t>Input bilinmiyorsa form alanı attention ile açılır; kullanıcıya neden gerektiği gösterilir.</w:t>
            </w:r>
          </w:p>
        </w:tc>
      </w:tr>
      <w:tr>
        <w:tc>
          <w:tcPr>
            <w:tcW w:type="dxa" w:w="5112"/>
            <w:vAlign w:val="center"/>
            <w:shd w:fill="F4F7FA"/>
          </w:tcPr>
          <w:p>
            <w:pPr>
              <w:spacing w:after="0"/>
            </w:pPr>
            <w:r/>
            <w:r>
              <w:rPr>
                <w:rFonts w:ascii="Aptos" w:hAnsi="Aptos"/>
                <w:b w:val="0"/>
                <w:sz w:val="15"/>
              </w:rPr>
              <w:t>BLOCKING</w:t>
            </w:r>
          </w:p>
        </w:tc>
        <w:tc>
          <w:tcPr>
            <w:tcW w:type="dxa" w:w="5112"/>
            <w:vAlign w:val="center"/>
            <w:shd w:fill="F4F7FA"/>
          </w:tcPr>
          <w:p>
            <w:pPr>
              <w:spacing w:after="0"/>
            </w:pPr>
            <w:r/>
            <w:r>
              <w:rPr>
                <w:rFonts w:ascii="Aptos" w:hAnsi="Aptos"/>
                <w:b w:val="0"/>
                <w:sz w:val="15"/>
              </w:rPr>
              <w:t>Critical missing value operasyon release veya verification state'ini bloklar.</w:t>
            </w:r>
          </w:p>
        </w:tc>
      </w:tr>
    </w:tbl>
    <w:p>
      <w:pPr>
        <w:pStyle w:val="Heading1"/>
      </w:pPr>
      <w:r>
        <w:t>13. API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5"/>
              </w:rPr>
              <w:t>Endpoint</w:t>
            </w:r>
          </w:p>
        </w:tc>
        <w:tc>
          <w:tcPr>
            <w:tcW w:type="dxa" w:w="5112"/>
            <w:vAlign w:val="center"/>
            <w:shd w:fill="17365D"/>
          </w:tcPr>
          <w:p>
            <w:pPr>
              <w:spacing w:after="0"/>
            </w:pPr>
            <w:r/>
            <w:r>
              <w:rPr>
                <w:rFonts w:ascii="Aptos" w:hAnsi="Aptos"/>
                <w:b/>
                <w:color w:val="FFFFFF"/>
                <w:sz w:val="15"/>
              </w:rPr>
              <w:t>Amaç</w:t>
            </w:r>
          </w:p>
        </w:tc>
      </w:tr>
      <w:tr>
        <w:tc>
          <w:tcPr>
            <w:tcW w:type="dxa" w:w="5112"/>
            <w:vAlign w:val="center"/>
          </w:tcPr>
          <w:p>
            <w:pPr>
              <w:spacing w:after="0"/>
            </w:pPr>
            <w:r/>
            <w:r>
              <w:rPr>
                <w:rFonts w:ascii="Aptos" w:hAnsi="Aptos"/>
                <w:b w:val="0"/>
                <w:sz w:val="15"/>
              </w:rPr>
              <w:t>POST /api/v1/applicability/evaluate</w:t>
            </w:r>
          </w:p>
        </w:tc>
        <w:tc>
          <w:tcPr>
            <w:tcW w:type="dxa" w:w="5112"/>
            <w:vAlign w:val="center"/>
          </w:tcPr>
          <w:p>
            <w:pPr>
              <w:spacing w:after="0"/>
            </w:pPr>
            <w:r/>
            <w:r>
              <w:rPr>
                <w:rFonts w:ascii="Aptos" w:hAnsi="Aptos"/>
                <w:b w:val="0"/>
                <w:sz w:val="15"/>
              </w:rPr>
              <w:t>Gerçek context'i değerlendir; EvaluationResult yaratır.</w:t>
            </w:r>
          </w:p>
        </w:tc>
      </w:tr>
      <w:tr>
        <w:tc>
          <w:tcPr>
            <w:tcW w:type="dxa" w:w="5112"/>
            <w:vAlign w:val="center"/>
            <w:shd w:fill="F4F7FA"/>
          </w:tcPr>
          <w:p>
            <w:pPr>
              <w:spacing w:after="0"/>
            </w:pPr>
            <w:r/>
            <w:r>
              <w:rPr>
                <w:rFonts w:ascii="Aptos" w:hAnsi="Aptos"/>
                <w:b w:val="0"/>
                <w:sz w:val="15"/>
              </w:rPr>
              <w:t>POST /api/v1/applicability/simulate</w:t>
            </w:r>
          </w:p>
        </w:tc>
        <w:tc>
          <w:tcPr>
            <w:tcW w:type="dxa" w:w="5112"/>
            <w:vAlign w:val="center"/>
            <w:shd w:fill="F4F7FA"/>
          </w:tcPr>
          <w:p>
            <w:pPr>
              <w:spacing w:after="0"/>
            </w:pPr>
            <w:r/>
            <w:r>
              <w:rPr>
                <w:rFonts w:ascii="Aptos" w:hAnsi="Aptos"/>
                <w:b w:val="0"/>
                <w:sz w:val="15"/>
              </w:rPr>
              <w:t>What-if; state mutate etmez.</w:t>
            </w:r>
          </w:p>
        </w:tc>
      </w:tr>
      <w:tr>
        <w:tc>
          <w:tcPr>
            <w:tcW w:type="dxa" w:w="5112"/>
            <w:vAlign w:val="center"/>
          </w:tcPr>
          <w:p>
            <w:pPr>
              <w:spacing w:after="0"/>
            </w:pPr>
            <w:r/>
            <w:r>
              <w:rPr>
                <w:rFonts w:ascii="Aptos" w:hAnsi="Aptos"/>
                <w:b w:val="0"/>
                <w:sz w:val="15"/>
              </w:rPr>
              <w:t>GET /api/v1/applicability/evaluations/{id}</w:t>
            </w:r>
          </w:p>
        </w:tc>
        <w:tc>
          <w:tcPr>
            <w:tcW w:type="dxa" w:w="5112"/>
            <w:vAlign w:val="center"/>
          </w:tcPr>
          <w:p>
            <w:pPr>
              <w:spacing w:after="0"/>
            </w:pPr>
            <w:r/>
            <w:r>
              <w:rPr>
                <w:rFonts w:ascii="Aptos" w:hAnsi="Aptos"/>
                <w:b w:val="0"/>
                <w:sz w:val="15"/>
              </w:rPr>
              <w:t>Historical rule/input/result replay.</w:t>
            </w:r>
          </w:p>
        </w:tc>
      </w:tr>
      <w:tr>
        <w:tc>
          <w:tcPr>
            <w:tcW w:type="dxa" w:w="5112"/>
            <w:vAlign w:val="center"/>
            <w:shd w:fill="F4F7FA"/>
          </w:tcPr>
          <w:p>
            <w:pPr>
              <w:spacing w:after="0"/>
            </w:pPr>
            <w:r/>
            <w:r>
              <w:rPr>
                <w:rFonts w:ascii="Aptos" w:hAnsi="Aptos"/>
                <w:b w:val="0"/>
                <w:sz w:val="15"/>
              </w:rPr>
              <w:t>POST /api/v1/applicability/explain</w:t>
            </w:r>
          </w:p>
        </w:tc>
        <w:tc>
          <w:tcPr>
            <w:tcW w:type="dxa" w:w="5112"/>
            <w:vAlign w:val="center"/>
            <w:shd w:fill="F4F7FA"/>
          </w:tcPr>
          <w:p>
            <w:pPr>
              <w:spacing w:after="0"/>
            </w:pPr>
            <w:r/>
            <w:r>
              <w:rPr>
                <w:rFonts w:ascii="Aptos" w:hAnsi="Aptos"/>
                <w:b w:val="0"/>
                <w:sz w:val="15"/>
              </w:rPr>
              <w:t>Bir rule/readiness sonucu için Why tree.</w:t>
            </w:r>
          </w:p>
        </w:tc>
      </w:tr>
      <w:tr>
        <w:tc>
          <w:tcPr>
            <w:tcW w:type="dxa" w:w="5112"/>
            <w:vAlign w:val="center"/>
          </w:tcPr>
          <w:p>
            <w:pPr>
              <w:spacing w:after="0"/>
            </w:pPr>
            <w:r/>
            <w:r>
              <w:rPr>
                <w:rFonts w:ascii="Aptos" w:hAnsi="Aptos"/>
                <w:b w:val="0"/>
                <w:sz w:val="15"/>
              </w:rPr>
              <w:t>POST /api/v1/applicability/diff</w:t>
            </w:r>
          </w:p>
        </w:tc>
        <w:tc>
          <w:tcPr>
            <w:tcW w:type="dxa" w:w="5112"/>
            <w:vAlign w:val="center"/>
          </w:tcPr>
          <w:p>
            <w:pPr>
              <w:spacing w:after="0"/>
            </w:pPr>
            <w:r/>
            <w:r>
              <w:rPr>
                <w:rFonts w:ascii="Aptos" w:hAnsi="Aptos"/>
                <w:b w:val="0"/>
                <w:sz w:val="15"/>
              </w:rPr>
              <w:t>İki tarih/rule-set/version arasındaki impact farkı.</w:t>
            </w:r>
          </w:p>
        </w:tc>
      </w:tr>
      <w:tr>
        <w:tc>
          <w:tcPr>
            <w:tcW w:type="dxa" w:w="5112"/>
            <w:vAlign w:val="center"/>
            <w:shd w:fill="F4F7FA"/>
          </w:tcPr>
          <w:p>
            <w:pPr>
              <w:spacing w:after="0"/>
            </w:pPr>
            <w:r/>
            <w:r>
              <w:rPr>
                <w:rFonts w:ascii="Aptos" w:hAnsi="Aptos"/>
                <w:b w:val="0"/>
                <w:sz w:val="15"/>
              </w:rPr>
              <w:t>POST /api/v1/rules/validate</w:t>
            </w:r>
          </w:p>
        </w:tc>
        <w:tc>
          <w:tcPr>
            <w:tcW w:type="dxa" w:w="5112"/>
            <w:vAlign w:val="center"/>
            <w:shd w:fill="F4F7FA"/>
          </w:tcPr>
          <w:p>
            <w:pPr>
              <w:spacing w:after="0"/>
            </w:pPr>
            <w:r/>
            <w:r>
              <w:rPr>
                <w:rFonts w:ascii="Aptos" w:hAnsi="Aptos"/>
                <w:b w:val="0"/>
                <w:sz w:val="15"/>
              </w:rPr>
              <w:t>Draft DSL schema + semantic validation.</w:t>
            </w:r>
          </w:p>
        </w:tc>
      </w:tr>
      <w:tr>
        <w:tc>
          <w:tcPr>
            <w:tcW w:type="dxa" w:w="5112"/>
            <w:vAlign w:val="center"/>
          </w:tcPr>
          <w:p>
            <w:pPr>
              <w:spacing w:after="0"/>
            </w:pPr>
            <w:r/>
            <w:r>
              <w:rPr>
                <w:rFonts w:ascii="Aptos" w:hAnsi="Aptos"/>
                <w:b w:val="0"/>
                <w:sz w:val="15"/>
              </w:rPr>
              <w:t>POST /api/v1/rules/publish</w:t>
            </w:r>
          </w:p>
        </w:tc>
        <w:tc>
          <w:tcPr>
            <w:tcW w:type="dxa" w:w="5112"/>
            <w:vAlign w:val="center"/>
          </w:tcPr>
          <w:p>
            <w:pPr>
              <w:spacing w:after="0"/>
            </w:pPr>
            <w:r/>
            <w:r>
              <w:rPr>
                <w:rFonts w:ascii="Aptos" w:hAnsi="Aptos"/>
                <w:b w:val="0"/>
                <w:sz w:val="15"/>
              </w:rPr>
              <w:t>Separation-of-duties ile approved rule publication.</w:t>
            </w:r>
          </w:p>
        </w:tc>
      </w:tr>
      <w:tr>
        <w:tc>
          <w:tcPr>
            <w:tcW w:type="dxa" w:w="5112"/>
            <w:vAlign w:val="center"/>
            <w:shd w:fill="F4F7FA"/>
          </w:tcPr>
          <w:p>
            <w:pPr>
              <w:spacing w:after="0"/>
            </w:pPr>
            <w:r/>
            <w:r>
              <w:rPr>
                <w:rFonts w:ascii="Aptos" w:hAnsi="Aptos"/>
                <w:b w:val="0"/>
                <w:sz w:val="15"/>
              </w:rPr>
              <w:t>GET /api/v1/rules/{id}/versions</w:t>
            </w:r>
          </w:p>
        </w:tc>
        <w:tc>
          <w:tcPr>
            <w:tcW w:type="dxa" w:w="5112"/>
            <w:vAlign w:val="center"/>
            <w:shd w:fill="F4F7FA"/>
          </w:tcPr>
          <w:p>
            <w:pPr>
              <w:spacing w:after="0"/>
            </w:pPr>
            <w:r/>
            <w:r>
              <w:rPr>
                <w:rFonts w:ascii="Aptos" w:hAnsi="Aptos"/>
                <w:b w:val="0"/>
                <w:sz w:val="15"/>
              </w:rPr>
              <w:t>Rule history/source/effective dates.</w:t>
            </w:r>
          </w:p>
        </w:tc>
      </w:tr>
    </w:tbl>
    <w:p>
      <w:pPr>
        <w:pStyle w:val="Heading1"/>
      </w:pPr>
      <w:r>
        <w:t>14. Evaluation Result Veri Modeli</w:t>
      </w:r>
    </w:p>
    <w:p>
      <w:pPr>
        <w:pStyle w:val="ListBullet"/>
        <w:spacing w:after="40"/>
      </w:pPr>
      <w:r>
        <w:t>evaluationId</w:t>
      </w:r>
    </w:p>
    <w:p>
      <w:pPr>
        <w:pStyle w:val="ListBullet"/>
        <w:spacing w:after="40"/>
      </w:pPr>
      <w:r>
        <w:t>evaluationDate / evaluatedAt</w:t>
      </w:r>
    </w:p>
    <w:p>
      <w:pPr>
        <w:pStyle w:val="ListBullet"/>
        <w:spacing w:after="40"/>
      </w:pPr>
      <w:r>
        <w:t>tenantId / mode / vesselId / operationId</w:t>
      </w:r>
    </w:p>
    <w:p>
      <w:pPr>
        <w:pStyle w:val="ListBullet"/>
        <w:spacing w:after="40"/>
      </w:pPr>
      <w:r>
        <w:t>ruleSetVersion</w:t>
      </w:r>
    </w:p>
    <w:p>
      <w:pPr>
        <w:pStyle w:val="ListBullet"/>
        <w:spacing w:after="40"/>
      </w:pPr>
      <w:r>
        <w:t>inputSnapshotHash</w:t>
      </w:r>
    </w:p>
    <w:p>
      <w:pPr>
        <w:pStyle w:val="ListBullet"/>
        <w:spacing w:after="40"/>
      </w:pPr>
      <w:r>
        <w:t>sourceVersionSet</w:t>
      </w:r>
    </w:p>
    <w:p>
      <w:pPr>
        <w:pStyle w:val="ListBullet"/>
        <w:spacing w:after="40"/>
      </w:pPr>
      <w:r>
        <w:t>ruleResults[]: ruleId, ruleVersion, predicateTrace, result, reasonCode</w:t>
      </w:r>
    </w:p>
    <w:p>
      <w:pPr>
        <w:pStyle w:val="ListBullet"/>
        <w:spacing w:after="40"/>
      </w:pPr>
      <w:r>
        <w:t>activated[]: type + ID</w:t>
      </w:r>
    </w:p>
    <w:p>
      <w:pPr>
        <w:pStyle w:val="ListBullet"/>
        <w:spacing w:after="40"/>
      </w:pPr>
      <w:r>
        <w:t>missingInputs[]</w:t>
      </w:r>
    </w:p>
    <w:p>
      <w:pPr>
        <w:pStyle w:val="ListBullet"/>
        <w:spacing w:after="40"/>
      </w:pPr>
      <w:r>
        <w:t>conflicts[]</w:t>
      </w:r>
    </w:p>
    <w:p>
      <w:pPr>
        <w:pStyle w:val="ListBullet"/>
        <w:spacing w:after="40"/>
      </w:pPr>
      <w:r>
        <w:t>humanReviewRequired + ownerRole + reason</w:t>
      </w:r>
    </w:p>
    <w:p>
      <w:pPr>
        <w:pStyle w:val="ListBullet"/>
        <w:spacing w:after="40"/>
      </w:pPr>
      <w:r>
        <w:t>createdBy / correlationId</w:t>
      </w:r>
    </w:p>
    <w:p>
      <w:pPr>
        <w:pStyle w:val="Heading1"/>
      </w:pPr>
      <w:r>
        <w:t>15. Explain / Why Tree</w:t>
      </w:r>
    </w:p>
    <w:p>
      <w:r>
        <w:t>Kullanıcıya yalnız sonuç değil neden gösterilir.</w:t>
      </w:r>
    </w:p>
    <w:p>
      <w:pPr>
        <w:spacing w:after="0"/>
        <w:ind w:left="432"/>
      </w:pPr>
      <w:r>
        <w:rPr>
          <w:rFonts w:ascii="Consolas" w:hAnsi="Consolas"/>
          <w:sz w:val="15"/>
        </w:rPr>
        <w:t>Römorkör Hazırlığı = REVIEW_REQUIRED</w:t>
      </w:r>
    </w:p>
    <w:p>
      <w:pPr>
        <w:spacing w:after="0"/>
        <w:ind w:left="432"/>
      </w:pPr>
      <w:r>
        <w:rPr>
          <w:rFonts w:ascii="Consolas" w:hAnsi="Consolas"/>
          <w:sz w:val="15"/>
        </w:rPr>
        <w:t xml:space="preserve">  ├─ Crew = READY</w:t>
      </w:r>
    </w:p>
    <w:p>
      <w:pPr>
        <w:spacing w:after="0"/>
        <w:ind w:left="432"/>
      </w:pPr>
      <w:r>
        <w:rPr>
          <w:rFonts w:ascii="Consolas" w:hAnsi="Consolas"/>
          <w:sz w:val="15"/>
        </w:rPr>
        <w:t xml:space="preserve">  ├─ PMS = READY</w:t>
      </w:r>
    </w:p>
    <w:p>
      <w:pPr>
        <w:spacing w:after="0"/>
        <w:ind w:left="432"/>
      </w:pPr>
      <w:r>
        <w:rPr>
          <w:rFonts w:ascii="Consolas" w:hAnsi="Consolas"/>
          <w:sz w:val="15"/>
        </w:rPr>
        <w:t xml:space="preserve">  ├─ Bollard Pull Certificate = VERIFIED</w:t>
      </w:r>
    </w:p>
    <w:p>
      <w:pPr>
        <w:spacing w:after="0"/>
        <w:ind w:left="432"/>
      </w:pPr>
      <w:r>
        <w:rPr>
          <w:rFonts w:ascii="Consolas" w:hAnsi="Consolas"/>
          <w:sz w:val="15"/>
        </w:rPr>
        <w:t xml:space="preserve">  └─ Emergency Release = REVIEW_REQUIRED</w:t>
      </w:r>
    </w:p>
    <w:p>
      <w:pPr>
        <w:spacing w:after="0"/>
        <w:ind w:left="432"/>
      </w:pPr>
      <w:r>
        <w:rPr>
          <w:rFonts w:ascii="Consolas" w:hAnsi="Consolas"/>
          <w:sz w:val="15"/>
        </w:rPr>
        <w:t xml:space="preserve">       ├─ RULE-IACS-M79 = candidate</w:t>
      </w:r>
    </w:p>
    <w:p>
      <w:pPr>
        <w:spacing w:after="0"/>
        <w:ind w:left="432"/>
      </w:pPr>
      <w:r>
        <w:rPr>
          <w:rFonts w:ascii="Consolas" w:hAnsi="Consolas"/>
          <w:sz w:val="15"/>
        </w:rPr>
        <w:t xml:space="preserve">       ├─ towingWinchFitted = TRUE</w:t>
      </w:r>
    </w:p>
    <w:p>
      <w:pPr>
        <w:spacing w:after="0"/>
        <w:ind w:left="432"/>
      </w:pPr>
      <w:r>
        <w:rPr>
          <w:rFonts w:ascii="Consolas" w:hAnsi="Consolas"/>
          <w:sz w:val="15"/>
        </w:rPr>
        <w:t xml:space="preserve">       ├─ contractDate = 2022-03-14</w:t>
      </w:r>
    </w:p>
    <w:p>
      <w:pPr>
        <w:spacing w:after="0"/>
        <w:ind w:left="432"/>
      </w:pPr>
      <w:r>
        <w:rPr>
          <w:rFonts w:ascii="Consolas" w:hAnsi="Consolas"/>
          <w:sz w:val="15"/>
        </w:rPr>
        <w:t xml:space="preserve">       ├─ class.rulePack.IACS_M79 = UNKNOWN</w:t>
      </w:r>
    </w:p>
    <w:p>
      <w:pPr>
        <w:spacing w:after="0"/>
        <w:ind w:left="432"/>
      </w:pPr>
      <w:r>
        <w:rPr>
          <w:rFonts w:ascii="Consolas" w:hAnsi="Consolas"/>
          <w:sz w:val="15"/>
        </w:rPr>
        <w:t xml:space="preserve">       └─ Action: Class rule pack doğrulaması gerekli</w:t>
      </w:r>
    </w:p>
    <w:p>
      <w:pPr>
        <w:pStyle w:val="Heading1"/>
      </w:pPr>
      <w:r>
        <w:t>16. Readiness Propagation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5"/>
              </w:rPr>
              <w:t>Applicability / evidence state</w:t>
            </w:r>
          </w:p>
        </w:tc>
        <w:tc>
          <w:tcPr>
            <w:tcW w:type="dxa" w:w="5112"/>
            <w:vAlign w:val="center"/>
            <w:shd w:fill="17365D"/>
          </w:tcPr>
          <w:p>
            <w:pPr>
              <w:spacing w:after="0"/>
            </w:pPr>
            <w:r/>
            <w:r>
              <w:rPr>
                <w:rFonts w:ascii="Aptos" w:hAnsi="Aptos"/>
                <w:b/>
                <w:color w:val="FFFFFF"/>
                <w:sz w:val="15"/>
              </w:rPr>
              <w:t>Readiness etkisi</w:t>
            </w:r>
          </w:p>
        </w:tc>
      </w:tr>
      <w:tr>
        <w:tc>
          <w:tcPr>
            <w:tcW w:type="dxa" w:w="5112"/>
            <w:vAlign w:val="center"/>
          </w:tcPr>
          <w:p>
            <w:pPr>
              <w:spacing w:after="0"/>
            </w:pPr>
            <w:r/>
            <w:r>
              <w:rPr>
                <w:rFonts w:ascii="Aptos" w:hAnsi="Aptos"/>
                <w:b w:val="0"/>
                <w:sz w:val="15"/>
              </w:rPr>
              <w:t>Applicable + control verified</w:t>
            </w:r>
          </w:p>
        </w:tc>
        <w:tc>
          <w:tcPr>
            <w:tcW w:type="dxa" w:w="5112"/>
            <w:vAlign w:val="center"/>
          </w:tcPr>
          <w:p>
            <w:pPr>
              <w:spacing w:after="0"/>
            </w:pPr>
            <w:r/>
            <w:r>
              <w:rPr>
                <w:rFonts w:ascii="Aptos" w:hAnsi="Aptos"/>
                <w:b w:val="0"/>
                <w:sz w:val="15"/>
              </w:rPr>
              <w:t>Positive contribution; diğer blockers ayrı değerlendirilir.</w:t>
            </w:r>
          </w:p>
        </w:tc>
      </w:tr>
      <w:tr>
        <w:tc>
          <w:tcPr>
            <w:tcW w:type="dxa" w:w="5112"/>
            <w:vAlign w:val="center"/>
            <w:shd w:fill="F4F7FA"/>
          </w:tcPr>
          <w:p>
            <w:pPr>
              <w:spacing w:after="0"/>
            </w:pPr>
            <w:r/>
            <w:r>
              <w:rPr>
                <w:rFonts w:ascii="Aptos" w:hAnsi="Aptos"/>
                <w:b w:val="0"/>
                <w:sz w:val="15"/>
              </w:rPr>
              <w:t>Applicable + evidence missing</w:t>
            </w:r>
          </w:p>
        </w:tc>
        <w:tc>
          <w:tcPr>
            <w:tcW w:type="dxa" w:w="5112"/>
            <w:vAlign w:val="center"/>
            <w:shd w:fill="F4F7FA"/>
          </w:tcPr>
          <w:p>
            <w:pPr>
              <w:spacing w:after="0"/>
            </w:pPr>
            <w:r/>
            <w:r>
              <w:rPr>
                <w:rFonts w:ascii="Aptos" w:hAnsi="Aptos"/>
                <w:b w:val="0"/>
                <w:sz w:val="15"/>
              </w:rPr>
              <w:t>ATTENTION / NOT_READY / REVIEW_REQUIRED by criticality.</w:t>
            </w:r>
          </w:p>
        </w:tc>
      </w:tr>
      <w:tr>
        <w:tc>
          <w:tcPr>
            <w:tcW w:type="dxa" w:w="5112"/>
            <w:vAlign w:val="center"/>
          </w:tcPr>
          <w:p>
            <w:pPr>
              <w:spacing w:after="0"/>
            </w:pPr>
            <w:r/>
            <w:r>
              <w:rPr>
                <w:rFonts w:ascii="Aptos" w:hAnsi="Aptos"/>
                <w:b w:val="0"/>
                <w:sz w:val="15"/>
              </w:rPr>
              <w:t>Applicable + verification rejected</w:t>
            </w:r>
          </w:p>
        </w:tc>
        <w:tc>
          <w:tcPr>
            <w:tcW w:type="dxa" w:w="5112"/>
            <w:vAlign w:val="center"/>
          </w:tcPr>
          <w:p>
            <w:pPr>
              <w:spacing w:after="0"/>
            </w:pPr>
            <w:r/>
            <w:r>
              <w:rPr>
                <w:rFonts w:ascii="Aptos" w:hAnsi="Aptos"/>
                <w:b w:val="0"/>
                <w:sz w:val="15"/>
              </w:rPr>
              <w:t>NOT_READY veya control-specific block.</w:t>
            </w:r>
          </w:p>
        </w:tc>
      </w:tr>
      <w:tr>
        <w:tc>
          <w:tcPr>
            <w:tcW w:type="dxa" w:w="5112"/>
            <w:vAlign w:val="center"/>
            <w:shd w:fill="F4F7FA"/>
          </w:tcPr>
          <w:p>
            <w:pPr>
              <w:spacing w:after="0"/>
            </w:pPr>
            <w:r/>
            <w:r>
              <w:rPr>
                <w:rFonts w:ascii="Aptos" w:hAnsi="Aptos"/>
                <w:b w:val="0"/>
                <w:sz w:val="15"/>
              </w:rPr>
              <w:t>Review required on critical rule</w:t>
            </w:r>
          </w:p>
        </w:tc>
        <w:tc>
          <w:tcPr>
            <w:tcW w:type="dxa" w:w="5112"/>
            <w:vAlign w:val="center"/>
            <w:shd w:fill="F4F7FA"/>
          </w:tcPr>
          <w:p>
            <w:pPr>
              <w:spacing w:after="0"/>
            </w:pPr>
            <w:r/>
            <w:r>
              <w:rPr>
                <w:rFonts w:ascii="Aptos" w:hAnsi="Aptos"/>
                <w:b w:val="0"/>
                <w:sz w:val="15"/>
              </w:rPr>
              <w:t>Overall readiness cannot be READY.</w:t>
            </w:r>
          </w:p>
        </w:tc>
      </w:tr>
      <w:tr>
        <w:tc>
          <w:tcPr>
            <w:tcW w:type="dxa" w:w="5112"/>
            <w:vAlign w:val="center"/>
          </w:tcPr>
          <w:p>
            <w:pPr>
              <w:spacing w:after="0"/>
            </w:pPr>
            <w:r/>
            <w:r>
              <w:rPr>
                <w:rFonts w:ascii="Aptos" w:hAnsi="Aptos"/>
                <w:b w:val="0"/>
                <w:sz w:val="15"/>
              </w:rPr>
              <w:t>Not applicable</w:t>
            </w:r>
          </w:p>
        </w:tc>
        <w:tc>
          <w:tcPr>
            <w:tcW w:type="dxa" w:w="5112"/>
            <w:vAlign w:val="center"/>
          </w:tcPr>
          <w:p>
            <w:pPr>
              <w:spacing w:after="0"/>
            </w:pPr>
            <w:r/>
            <w:r>
              <w:rPr>
                <w:rFonts w:ascii="Aptos" w:hAnsi="Aptos"/>
                <w:b w:val="0"/>
                <w:sz w:val="15"/>
              </w:rPr>
              <w:t>No requirement burden; reason/source retained.</w:t>
            </w:r>
          </w:p>
        </w:tc>
      </w:tr>
      <w:tr>
        <w:tc>
          <w:tcPr>
            <w:tcW w:type="dxa" w:w="5112"/>
            <w:vAlign w:val="center"/>
            <w:shd w:fill="F4F7FA"/>
          </w:tcPr>
          <w:p>
            <w:pPr>
              <w:spacing w:after="0"/>
            </w:pPr>
            <w:r/>
            <w:r>
              <w:rPr>
                <w:rFonts w:ascii="Aptos" w:hAnsi="Aptos"/>
                <w:b w:val="0"/>
                <w:sz w:val="15"/>
              </w:rPr>
              <w:t>Future effective</w:t>
            </w:r>
          </w:p>
        </w:tc>
        <w:tc>
          <w:tcPr>
            <w:tcW w:type="dxa" w:w="5112"/>
            <w:vAlign w:val="center"/>
            <w:shd w:fill="F4F7FA"/>
          </w:tcPr>
          <w:p>
            <w:pPr>
              <w:spacing w:after="0"/>
            </w:pPr>
            <w:r/>
            <w:r>
              <w:rPr>
                <w:rFonts w:ascii="Aptos" w:hAnsi="Aptos"/>
                <w:b w:val="0"/>
                <w:sz w:val="15"/>
              </w:rPr>
              <w:t>Current readiness'e etki yok; Change Radar effect only.</w:t>
            </w:r>
          </w:p>
        </w:tc>
      </w:tr>
      <w:tr>
        <w:tc>
          <w:tcPr>
            <w:tcW w:type="dxa" w:w="5112"/>
            <w:vAlign w:val="center"/>
          </w:tcPr>
          <w:p>
            <w:pPr>
              <w:spacing w:after="0"/>
            </w:pPr>
            <w:r/>
            <w:r>
              <w:rPr>
                <w:rFonts w:ascii="Aptos" w:hAnsi="Aptos"/>
                <w:b w:val="0"/>
                <w:sz w:val="15"/>
              </w:rPr>
              <w:t>Superseded</w:t>
            </w:r>
          </w:p>
        </w:tc>
        <w:tc>
          <w:tcPr>
            <w:tcW w:type="dxa" w:w="5112"/>
            <w:vAlign w:val="center"/>
          </w:tcPr>
          <w:p>
            <w:pPr>
              <w:spacing w:after="0"/>
            </w:pPr>
            <w:r/>
            <w:r>
              <w:rPr>
                <w:rFonts w:ascii="Aptos" w:hAnsi="Aptos"/>
                <w:b w:val="0"/>
                <w:sz w:val="15"/>
              </w:rPr>
              <w:t>Current readiness'e etki yok; historical replay only.</w:t>
            </w:r>
          </w:p>
        </w:tc>
      </w:tr>
    </w:tbl>
    <w:p>
      <w:pPr>
        <w:pStyle w:val="Heading1"/>
      </w:pPr>
      <w:r>
        <w:t>17. Regulatory Change Workflow</w:t>
      </w:r>
    </w:p>
    <w:p>
      <w:pPr>
        <w:pStyle w:val="ListBullet"/>
        <w:spacing w:after="40"/>
      </w:pPr>
      <w:r>
        <w:t>New/changed source detected or manually registered.</w:t>
      </w:r>
    </w:p>
    <w:p>
      <w:pPr>
        <w:pStyle w:val="ListBullet"/>
        <w:spacing w:after="40"/>
      </w:pPr>
      <w:r>
        <w:t>Source version and lifecycle recorded.</w:t>
      </w:r>
    </w:p>
    <w:p>
      <w:pPr>
        <w:pStyle w:val="ListBullet"/>
        <w:spacing w:after="40"/>
      </w:pPr>
      <w:r>
        <w:t>Impact Analyzer runs against vessel/tug profiles and operations.</w:t>
      </w:r>
    </w:p>
    <w:p>
      <w:pPr>
        <w:pStyle w:val="ListBullet"/>
        <w:spacing w:after="40"/>
      </w:pPr>
      <w:r>
        <w:t>Affected requirements/controls/screens/fields/training/certificates listed.</w:t>
      </w:r>
    </w:p>
    <w:p>
      <w:pPr>
        <w:pStyle w:val="ListBullet"/>
        <w:spacing w:after="40"/>
      </w:pPr>
      <w:r>
        <w:t>Regulatory SME reviews rule draft and authoritative locator.</w:t>
      </w:r>
    </w:p>
    <w:p>
      <w:pPr>
        <w:pStyle w:val="ListBullet"/>
        <w:spacing w:after="40"/>
      </w:pPr>
      <w:r>
        <w:t>Golden tests + diff against current rule set.</w:t>
      </w:r>
    </w:p>
    <w:p>
      <w:pPr>
        <w:pStyle w:val="ListBullet"/>
        <w:spacing w:after="40"/>
      </w:pPr>
      <w:r>
        <w:t>MOC/training/procedure/config prep if required.</w:t>
      </w:r>
    </w:p>
    <w:p>
      <w:pPr>
        <w:pStyle w:val="ListBullet"/>
        <w:spacing w:after="40"/>
      </w:pPr>
      <w:r>
        <w:t>Second authorized reviewer approves publication.</w:t>
      </w:r>
    </w:p>
    <w:p>
      <w:pPr>
        <w:pStyle w:val="ListBullet"/>
        <w:spacing w:after="40"/>
      </w:pPr>
      <w:r>
        <w:t>Rule becomes FUTURE_EFFECTIVE or IN_FORCE on controlled date.</w:t>
      </w:r>
    </w:p>
    <w:p>
      <w:pPr>
        <w:pStyle w:val="ListBullet"/>
        <w:spacing w:after="40"/>
      </w:pPr>
      <w:r>
        <w:t>Old rule becomes SUPERSEDED; historical evaluations remain reproducible.</w:t>
      </w:r>
    </w:p>
    <w:p>
      <w:pPr>
        <w:pStyle w:val="Heading1"/>
      </w:pPr>
      <w:r>
        <w:t>18. Rule Authoring ve Separation of Duties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5"/>
              </w:rPr>
              <w:t>Rol</w:t>
            </w:r>
          </w:p>
        </w:tc>
        <w:tc>
          <w:tcPr>
            <w:tcW w:type="dxa" w:w="5112"/>
            <w:vAlign w:val="center"/>
            <w:shd w:fill="17365D"/>
          </w:tcPr>
          <w:p>
            <w:pPr>
              <w:spacing w:after="0"/>
            </w:pPr>
            <w:r/>
            <w:r>
              <w:rPr>
                <w:rFonts w:ascii="Aptos" w:hAnsi="Aptos"/>
                <w:b/>
                <w:color w:val="FFFFFF"/>
                <w:sz w:val="15"/>
              </w:rPr>
              <w:t>Yetki</w:t>
            </w:r>
          </w:p>
        </w:tc>
      </w:tr>
      <w:tr>
        <w:tc>
          <w:tcPr>
            <w:tcW w:type="dxa" w:w="5112"/>
            <w:vAlign w:val="center"/>
          </w:tcPr>
          <w:p>
            <w:pPr>
              <w:spacing w:after="0"/>
            </w:pPr>
            <w:r/>
            <w:r>
              <w:rPr>
                <w:rFonts w:ascii="Aptos" w:hAnsi="Aptos"/>
                <w:b w:val="0"/>
                <w:sz w:val="15"/>
              </w:rPr>
              <w:t>Regulatory Author</w:t>
            </w:r>
          </w:p>
        </w:tc>
        <w:tc>
          <w:tcPr>
            <w:tcW w:type="dxa" w:w="5112"/>
            <w:vAlign w:val="center"/>
          </w:tcPr>
          <w:p>
            <w:pPr>
              <w:spacing w:after="0"/>
            </w:pPr>
            <w:r/>
            <w:r>
              <w:rPr>
                <w:rFonts w:ascii="Aptos" w:hAnsi="Aptos"/>
                <w:b w:val="0"/>
                <w:sz w:val="15"/>
              </w:rPr>
              <w:t>Draft rule/source mapping oluşturur; publish edemez.</w:t>
            </w:r>
          </w:p>
        </w:tc>
      </w:tr>
      <w:tr>
        <w:tc>
          <w:tcPr>
            <w:tcW w:type="dxa" w:w="5112"/>
            <w:vAlign w:val="center"/>
            <w:shd w:fill="F4F7FA"/>
          </w:tcPr>
          <w:p>
            <w:pPr>
              <w:spacing w:after="0"/>
            </w:pPr>
            <w:r/>
            <w:r>
              <w:rPr>
                <w:rFonts w:ascii="Aptos" w:hAnsi="Aptos"/>
                <w:b w:val="0"/>
                <w:sz w:val="15"/>
              </w:rPr>
              <w:t>Maritime/Legal SME</w:t>
            </w:r>
          </w:p>
        </w:tc>
        <w:tc>
          <w:tcPr>
            <w:tcW w:type="dxa" w:w="5112"/>
            <w:vAlign w:val="center"/>
            <w:shd w:fill="F4F7FA"/>
          </w:tcPr>
          <w:p>
            <w:pPr>
              <w:spacing w:after="0"/>
            </w:pPr>
            <w:r/>
            <w:r>
              <w:rPr>
                <w:rFonts w:ascii="Aptos" w:hAnsi="Aptos"/>
                <w:b w:val="0"/>
                <w:sz w:val="15"/>
              </w:rPr>
              <w:t>Source/applicability logic review eder.</w:t>
            </w:r>
          </w:p>
        </w:tc>
      </w:tr>
      <w:tr>
        <w:tc>
          <w:tcPr>
            <w:tcW w:type="dxa" w:w="5112"/>
            <w:vAlign w:val="center"/>
          </w:tcPr>
          <w:p>
            <w:pPr>
              <w:spacing w:after="0"/>
            </w:pPr>
            <w:r/>
            <w:r>
              <w:rPr>
                <w:rFonts w:ascii="Aptos" w:hAnsi="Aptos"/>
                <w:b w:val="0"/>
                <w:sz w:val="15"/>
              </w:rPr>
              <w:t>Technical/Class SME</w:t>
            </w:r>
          </w:p>
        </w:tc>
        <w:tc>
          <w:tcPr>
            <w:tcW w:type="dxa" w:w="5112"/>
            <w:vAlign w:val="center"/>
          </w:tcPr>
          <w:p>
            <w:pPr>
              <w:spacing w:after="0"/>
            </w:pPr>
            <w:r/>
            <w:r>
              <w:rPr>
                <w:rFonts w:ascii="Aptos" w:hAnsi="Aptos"/>
                <w:b w:val="0"/>
                <w:sz w:val="15"/>
              </w:rPr>
              <w:t>Class/equipment rule pack review eder.</w:t>
            </w:r>
          </w:p>
        </w:tc>
      </w:tr>
      <w:tr>
        <w:tc>
          <w:tcPr>
            <w:tcW w:type="dxa" w:w="5112"/>
            <w:vAlign w:val="center"/>
            <w:shd w:fill="F4F7FA"/>
          </w:tcPr>
          <w:p>
            <w:pPr>
              <w:spacing w:after="0"/>
            </w:pPr>
            <w:r/>
            <w:r>
              <w:rPr>
                <w:rFonts w:ascii="Aptos" w:hAnsi="Aptos"/>
                <w:b w:val="0"/>
                <w:sz w:val="15"/>
              </w:rPr>
              <w:t>Crewing SME</w:t>
            </w:r>
          </w:p>
        </w:tc>
        <w:tc>
          <w:tcPr>
            <w:tcW w:type="dxa" w:w="5112"/>
            <w:vAlign w:val="center"/>
            <w:shd w:fill="F4F7FA"/>
          </w:tcPr>
          <w:p>
            <w:pPr>
              <w:spacing w:after="0"/>
            </w:pPr>
            <w:r/>
            <w:r>
              <w:rPr>
                <w:rFonts w:ascii="Aptos" w:hAnsi="Aptos"/>
                <w:b w:val="0"/>
                <w:sz w:val="15"/>
              </w:rPr>
              <w:t>Crew/certificate/manning rule review eder.</w:t>
            </w:r>
          </w:p>
        </w:tc>
      </w:tr>
      <w:tr>
        <w:tc>
          <w:tcPr>
            <w:tcW w:type="dxa" w:w="5112"/>
            <w:vAlign w:val="center"/>
          </w:tcPr>
          <w:p>
            <w:pPr>
              <w:spacing w:after="0"/>
            </w:pPr>
            <w:r/>
            <w:r>
              <w:rPr>
                <w:rFonts w:ascii="Aptos" w:hAnsi="Aptos"/>
                <w:b w:val="0"/>
                <w:sz w:val="15"/>
              </w:rPr>
              <w:t>Regulatory Approver</w:t>
            </w:r>
          </w:p>
        </w:tc>
        <w:tc>
          <w:tcPr>
            <w:tcW w:type="dxa" w:w="5112"/>
            <w:vAlign w:val="center"/>
          </w:tcPr>
          <w:p>
            <w:pPr>
              <w:spacing w:after="0"/>
            </w:pPr>
            <w:r/>
            <w:r>
              <w:rPr>
                <w:rFonts w:ascii="Aptos" w:hAnsi="Aptos"/>
                <w:b w:val="0"/>
                <w:sz w:val="15"/>
              </w:rPr>
              <w:t>Validated rule version publish eder.</w:t>
            </w:r>
          </w:p>
        </w:tc>
      </w:tr>
      <w:tr>
        <w:tc>
          <w:tcPr>
            <w:tcW w:type="dxa" w:w="5112"/>
            <w:vAlign w:val="center"/>
            <w:shd w:fill="F4F7FA"/>
          </w:tcPr>
          <w:p>
            <w:pPr>
              <w:spacing w:after="0"/>
            </w:pPr>
            <w:r/>
            <w:r>
              <w:rPr>
                <w:rFonts w:ascii="Aptos" w:hAnsi="Aptos"/>
                <w:b w:val="0"/>
                <w:sz w:val="15"/>
              </w:rPr>
              <w:t>Platform Admin</w:t>
            </w:r>
          </w:p>
        </w:tc>
        <w:tc>
          <w:tcPr>
            <w:tcW w:type="dxa" w:w="5112"/>
            <w:vAlign w:val="center"/>
            <w:shd w:fill="F4F7FA"/>
          </w:tcPr>
          <w:p>
            <w:pPr>
              <w:spacing w:after="0"/>
            </w:pPr>
            <w:r/>
            <w:r>
              <w:rPr>
                <w:rFonts w:ascii="Aptos" w:hAnsi="Aptos"/>
                <w:b w:val="0"/>
                <w:sz w:val="15"/>
              </w:rPr>
              <w:t>Teknik platform yönetir; regulatory content approval veremez.</w:t>
            </w:r>
          </w:p>
        </w:tc>
      </w:tr>
      <w:tr>
        <w:tc>
          <w:tcPr>
            <w:tcW w:type="dxa" w:w="5112"/>
            <w:vAlign w:val="center"/>
          </w:tcPr>
          <w:p>
            <w:pPr>
              <w:spacing w:after="0"/>
            </w:pPr>
            <w:r/>
            <w:r>
              <w:rPr>
                <w:rFonts w:ascii="Aptos" w:hAnsi="Aptos"/>
                <w:b w:val="0"/>
                <w:sz w:val="15"/>
              </w:rPr>
              <w:t>AI</w:t>
            </w:r>
          </w:p>
        </w:tc>
        <w:tc>
          <w:tcPr>
            <w:tcW w:type="dxa" w:w="5112"/>
            <w:vAlign w:val="center"/>
          </w:tcPr>
          <w:p>
            <w:pPr>
              <w:spacing w:after="0"/>
            </w:pPr>
            <w:r/>
            <w:r>
              <w:rPr>
                <w:rFonts w:ascii="Aptos" w:hAnsi="Aptos"/>
                <w:b w:val="0"/>
                <w:sz w:val="15"/>
              </w:rPr>
              <w:t>Draft predicate veya impact önerir; publish/override yapamaz.</w:t>
            </w:r>
          </w:p>
        </w:tc>
      </w:tr>
    </w:tbl>
    <w:p>
      <w:pPr>
        <w:pStyle w:val="Heading1"/>
      </w:pPr>
      <w:r>
        <w:t>19. Caching ve Performans</w:t>
      </w:r>
    </w:p>
    <w:p>
      <w:pPr>
        <w:pStyle w:val="ListBullet"/>
        <w:spacing w:after="40"/>
      </w:pPr>
      <w:r>
        <w:t>Stable vessel profile facts normalized/cache edilebilir; source/evaluation version hash ile invalidation yapılır.</w:t>
      </w:r>
    </w:p>
    <w:p>
      <w:pPr>
        <w:pStyle w:val="ListBullet"/>
        <w:spacing w:after="40"/>
      </w:pPr>
      <w:r>
        <w:t>Operation/job-specific facts request context'ten gelir.</w:t>
      </w:r>
    </w:p>
    <w:p>
      <w:pPr>
        <w:pStyle w:val="ListBullet"/>
        <w:spacing w:after="40"/>
      </w:pPr>
      <w:r>
        <w:t>Applicable rule index mode + flag + vessel type + lifecycle/effective date ile prefilter edilir.</w:t>
      </w:r>
    </w:p>
    <w:p>
      <w:pPr>
        <w:pStyle w:val="ListBullet"/>
        <w:spacing w:after="40"/>
      </w:pPr>
      <w:r>
        <w:t>Predicate engine deterministic ve side-effect-free olmalıdır.</w:t>
      </w:r>
    </w:p>
    <w:p>
      <w:pPr>
        <w:pStyle w:val="ListBullet"/>
        <w:spacing w:after="40"/>
      </w:pPr>
      <w:r>
        <w:t>Publish sonrası affected context cache invalidation veya lazy version mismatch re-evaluation yapılır.</w:t>
      </w:r>
    </w:p>
    <w:p>
      <w:pPr>
        <w:pStyle w:val="ListBullet"/>
        <w:spacing w:after="40"/>
      </w:pPr>
      <w:r>
        <w:t>Large fleet batch evaluation asynchronous olabilir; individual readiness evaluation synchronous P95 hedefi ayrıca performans testinde ölçülür.</w:t>
      </w:r>
    </w:p>
    <w:p>
      <w:pPr>
        <w:pStyle w:val="Heading1"/>
      </w:pPr>
      <w:r>
        <w:t>20. Offline Davranışı</w:t>
      </w:r>
    </w:p>
    <w:p>
      <w:r>
        <w:t>Regulatory source/rule publication offline yapılmaz. Ancak gemi/römorkör onboard kullanımında son published rule-set ve required control snapshot'ı cache edilebilir.</w:t>
      </w:r>
    </w:p>
    <w:p>
      <w:pPr>
        <w:pStyle w:val="ListBullet"/>
        <w:spacing w:after="40"/>
      </w:pPr>
      <w:r>
        <w:t>Offline client rule set version'ı görünür.</w:t>
      </w:r>
    </w:p>
    <w:p>
      <w:pPr>
        <w:pStyle w:val="ListBullet"/>
        <w:spacing w:after="40"/>
      </w:pPr>
      <w:r>
        <w:t>Critical rule or evidence freshness expired ise offline READY üretilmez.</w:t>
      </w:r>
    </w:p>
    <w:p>
      <w:pPr>
        <w:pStyle w:val="ListBullet"/>
        <w:spacing w:after="40"/>
      </w:pPr>
      <w:r>
        <w:t>Reconnect sonrası current rule set değişmişse evaluation STALE işaretlenir ve re-evaluate edilir.</w:t>
      </w:r>
    </w:p>
    <w:p>
      <w:pPr>
        <w:pStyle w:val="ListBullet"/>
        <w:spacing w:after="40"/>
      </w:pPr>
      <w:r>
        <w:t>Offline captured evidence sync old evaluation'a bağlı olsa bile lineage korunur; current rule result yeniden hesaplanır.</w:t>
      </w:r>
    </w:p>
    <w:p>
      <w:pPr>
        <w:pStyle w:val="ListBullet"/>
        <w:spacing w:after="40"/>
      </w:pPr>
      <w:r>
        <w:t>Material conflict silent last-write-wins kullanmaz.</w:t>
      </w:r>
    </w:p>
    <w:p>
      <w:pPr>
        <w:pStyle w:val="Heading1"/>
      </w:pPr>
      <w:r>
        <w:t>21. Security</w:t>
      </w:r>
    </w:p>
    <w:p>
      <w:pPr>
        <w:pStyle w:val="ListBullet"/>
        <w:spacing w:after="40"/>
      </w:pPr>
      <w:r>
        <w:t>Rule source text and publication actions server-side authorization ile korunur.</w:t>
      </w:r>
    </w:p>
    <w:p>
      <w:pPr>
        <w:pStyle w:val="ListBullet"/>
        <w:spacing w:after="40"/>
      </w:pPr>
      <w:r>
        <w:t>Tenant-specific Company SMS rules tenant dışına sızamaz.</w:t>
      </w:r>
    </w:p>
    <w:p>
      <w:pPr>
        <w:pStyle w:val="ListBullet"/>
        <w:spacing w:after="40"/>
      </w:pPr>
      <w:r>
        <w:t>Class/flag/global content read scope ayrı; customer-specific contracts scoped.</w:t>
      </w:r>
    </w:p>
    <w:p>
      <w:pPr>
        <w:pStyle w:val="ListBullet"/>
        <w:spacing w:after="40"/>
      </w:pPr>
      <w:r>
        <w:t>Evaluation request injection/unknown field normalizasyonu schema allowlist ile yapılır.</w:t>
      </w:r>
    </w:p>
    <w:p>
      <w:pPr>
        <w:pStyle w:val="ListBullet"/>
        <w:spacing w:after="40"/>
      </w:pPr>
      <w:r>
        <w:t>Human override reason/evidence/expiry ve actor lineage audit edilir.</w:t>
      </w:r>
    </w:p>
    <w:p>
      <w:pPr>
        <w:pStyle w:val="ListBullet"/>
        <w:spacing w:after="40"/>
      </w:pPr>
      <w:r>
        <w:t>Protected crew/reporting data rule trace içinde minimum gerekli seviyede gösterilir.</w:t>
      </w:r>
    </w:p>
    <w:p>
      <w:pPr>
        <w:pStyle w:val="Heading1"/>
      </w:pPr>
      <w:r>
        <w:t>22. Golden Profiles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Profile</w:t>
            </w:r>
          </w:p>
        </w:tc>
        <w:tc>
          <w:tcPr>
            <w:tcW w:type="dxa" w:w="3408"/>
            <w:vAlign w:val="center"/>
            <w:shd w:fill="17365D"/>
          </w:tcPr>
          <w:p>
            <w:pPr>
              <w:spacing w:after="0"/>
            </w:pPr>
            <w:r/>
            <w:r>
              <w:rPr>
                <w:rFonts w:ascii="Aptos" w:hAnsi="Aptos"/>
                <w:b/>
                <w:color w:val="FFFFFF"/>
                <w:sz w:val="15"/>
              </w:rPr>
              <w:t>Scenario</w:t>
            </w:r>
          </w:p>
        </w:tc>
        <w:tc>
          <w:tcPr>
            <w:tcW w:type="dxa" w:w="3408"/>
            <w:vAlign w:val="center"/>
            <w:shd w:fill="17365D"/>
          </w:tcPr>
          <w:p>
            <w:pPr>
              <w:spacing w:after="0"/>
            </w:pPr>
            <w:r/>
            <w:r>
              <w:rPr>
                <w:rFonts w:ascii="Aptos" w:hAnsi="Aptos"/>
                <w:b/>
                <w:color w:val="FFFFFF"/>
                <w:sz w:val="15"/>
              </w:rPr>
              <w:t>Regression amacı</w:t>
            </w:r>
          </w:p>
        </w:tc>
      </w:tr>
      <w:tr>
        <w:tc>
          <w:tcPr>
            <w:tcW w:type="dxa" w:w="3408"/>
            <w:vAlign w:val="center"/>
          </w:tcPr>
          <w:p>
            <w:pPr>
              <w:spacing w:after="0"/>
            </w:pPr>
            <w:r/>
            <w:r>
              <w:rPr>
                <w:rFonts w:ascii="Aptos" w:hAnsi="Aptos"/>
                <w:b w:val="0"/>
                <w:sz w:val="15"/>
              </w:rPr>
              <w:t>GP-SHIP-OIL-TR</w:t>
            </w:r>
          </w:p>
        </w:tc>
        <w:tc>
          <w:tcPr>
            <w:tcW w:type="dxa" w:w="3408"/>
            <w:vAlign w:val="center"/>
          </w:tcPr>
          <w:p>
            <w:pPr>
              <w:spacing w:after="0"/>
            </w:pPr>
            <w:r/>
            <w:r>
              <w:rPr>
                <w:rFonts w:ascii="Aptos" w:hAnsi="Aptos"/>
                <w:b w:val="0"/>
                <w:sz w:val="15"/>
              </w:rPr>
              <w:t>TR Oil Tanker</w:t>
            </w:r>
          </w:p>
        </w:tc>
        <w:tc>
          <w:tcPr>
            <w:tcW w:type="dxa" w:w="3408"/>
            <w:vAlign w:val="center"/>
          </w:tcPr>
          <w:p>
            <w:pPr>
              <w:spacing w:after="0"/>
            </w:pPr>
            <w:r/>
            <w:r>
              <w:rPr>
                <w:rFonts w:ascii="Aptos" w:hAnsi="Aptos"/>
                <w:b w:val="0"/>
                <w:sz w:val="15"/>
              </w:rPr>
              <w:t>Common ship + tanker/STCW/MARPOL controls</w:t>
            </w:r>
          </w:p>
        </w:tc>
      </w:tr>
      <w:tr>
        <w:tc>
          <w:tcPr>
            <w:tcW w:type="dxa" w:w="3408"/>
            <w:vAlign w:val="center"/>
            <w:shd w:fill="F4F7FA"/>
          </w:tcPr>
          <w:p>
            <w:pPr>
              <w:spacing w:after="0"/>
            </w:pPr>
            <w:r/>
            <w:r>
              <w:rPr>
                <w:rFonts w:ascii="Aptos" w:hAnsi="Aptos"/>
                <w:b w:val="0"/>
                <w:sz w:val="15"/>
              </w:rPr>
              <w:t>GP-SHIP-CHEM</w:t>
            </w:r>
          </w:p>
        </w:tc>
        <w:tc>
          <w:tcPr>
            <w:tcW w:type="dxa" w:w="3408"/>
            <w:vAlign w:val="center"/>
            <w:shd w:fill="F4F7FA"/>
          </w:tcPr>
          <w:p>
            <w:pPr>
              <w:spacing w:after="0"/>
            </w:pPr>
            <w:r/>
            <w:r>
              <w:rPr>
                <w:rFonts w:ascii="Aptos" w:hAnsi="Aptos"/>
                <w:b w:val="0"/>
                <w:sz w:val="15"/>
              </w:rPr>
              <w:t>Chemical Tanker/NLS</w:t>
            </w:r>
          </w:p>
        </w:tc>
        <w:tc>
          <w:tcPr>
            <w:tcW w:type="dxa" w:w="3408"/>
            <w:vAlign w:val="center"/>
            <w:shd w:fill="F4F7FA"/>
          </w:tcPr>
          <w:p>
            <w:pPr>
              <w:spacing w:after="0"/>
            </w:pPr>
            <w:r/>
            <w:r>
              <w:rPr>
                <w:rFonts w:ascii="Aptos" w:hAnsi="Aptos"/>
                <w:b w:val="0"/>
                <w:sz w:val="15"/>
              </w:rPr>
              <w:t>MARPOL II + IBC + special crew pack</w:t>
            </w:r>
          </w:p>
        </w:tc>
      </w:tr>
      <w:tr>
        <w:tc>
          <w:tcPr>
            <w:tcW w:type="dxa" w:w="3408"/>
            <w:vAlign w:val="center"/>
          </w:tcPr>
          <w:p>
            <w:pPr>
              <w:spacing w:after="0"/>
            </w:pPr>
            <w:r/>
            <w:r>
              <w:rPr>
                <w:rFonts w:ascii="Aptos" w:hAnsi="Aptos"/>
                <w:b w:val="0"/>
                <w:sz w:val="15"/>
              </w:rPr>
              <w:t>GP-SHIP-DG</w:t>
            </w:r>
          </w:p>
        </w:tc>
        <w:tc>
          <w:tcPr>
            <w:tcW w:type="dxa" w:w="3408"/>
            <w:vAlign w:val="center"/>
          </w:tcPr>
          <w:p>
            <w:pPr>
              <w:spacing w:after="0"/>
            </w:pPr>
            <w:r/>
            <w:r>
              <w:rPr>
                <w:rFonts w:ascii="Aptos" w:hAnsi="Aptos"/>
                <w:b w:val="0"/>
                <w:sz w:val="15"/>
              </w:rPr>
              <w:t>Container + packaged DG</w:t>
            </w:r>
          </w:p>
        </w:tc>
        <w:tc>
          <w:tcPr>
            <w:tcW w:type="dxa" w:w="3408"/>
            <w:vAlign w:val="center"/>
          </w:tcPr>
          <w:p>
            <w:pPr>
              <w:spacing w:after="0"/>
            </w:pPr>
            <w:r/>
            <w:r>
              <w:rPr>
                <w:rFonts w:ascii="Aptos" w:hAnsi="Aptos"/>
                <w:b w:val="0"/>
                <w:sz w:val="15"/>
              </w:rPr>
              <w:t>IMDG 42-24 + SOLAS VII</w:t>
            </w:r>
          </w:p>
        </w:tc>
      </w:tr>
      <w:tr>
        <w:tc>
          <w:tcPr>
            <w:tcW w:type="dxa" w:w="3408"/>
            <w:vAlign w:val="center"/>
            <w:shd w:fill="F4F7FA"/>
          </w:tcPr>
          <w:p>
            <w:pPr>
              <w:spacing w:after="0"/>
            </w:pPr>
            <w:r/>
            <w:r>
              <w:rPr>
                <w:rFonts w:ascii="Aptos" w:hAnsi="Aptos"/>
                <w:b w:val="0"/>
                <w:sz w:val="15"/>
              </w:rPr>
              <w:t>GP-TUG-HARBOUR</w:t>
            </w:r>
          </w:p>
        </w:tc>
        <w:tc>
          <w:tcPr>
            <w:tcW w:type="dxa" w:w="3408"/>
            <w:vAlign w:val="center"/>
            <w:shd w:fill="F4F7FA"/>
          </w:tcPr>
          <w:p>
            <w:pPr>
              <w:spacing w:after="0"/>
            </w:pPr>
            <w:r/>
            <w:r>
              <w:rPr>
                <w:rFonts w:ascii="Aptos" w:hAnsi="Aptos"/>
                <w:b w:val="0"/>
                <w:sz w:val="15"/>
              </w:rPr>
              <w:t>TR ASD Tug / harbour assist</w:t>
            </w:r>
          </w:p>
        </w:tc>
        <w:tc>
          <w:tcPr>
            <w:tcW w:type="dxa" w:w="3408"/>
            <w:vAlign w:val="center"/>
            <w:shd w:fill="F4F7FA"/>
          </w:tcPr>
          <w:p>
            <w:pPr>
              <w:spacing w:after="0"/>
            </w:pPr>
            <w:r/>
            <w:r>
              <w:rPr>
                <w:rFonts w:ascii="Aptos" w:hAnsi="Aptos"/>
                <w:b w:val="0"/>
                <w:sz w:val="15"/>
              </w:rPr>
              <w:t>Tug flow + TR service + BP + MSMD + M79 if actual class pack</w:t>
            </w:r>
          </w:p>
        </w:tc>
      </w:tr>
      <w:tr>
        <w:tc>
          <w:tcPr>
            <w:tcW w:type="dxa" w:w="3408"/>
            <w:vAlign w:val="center"/>
          </w:tcPr>
          <w:p>
            <w:pPr>
              <w:spacing w:after="0"/>
            </w:pPr>
            <w:r/>
            <w:r>
              <w:rPr>
                <w:rFonts w:ascii="Aptos" w:hAnsi="Aptos"/>
                <w:b w:val="0"/>
                <w:sz w:val="15"/>
              </w:rPr>
              <w:t>GP-TUG-ESCORT</w:t>
            </w:r>
          </w:p>
        </w:tc>
        <w:tc>
          <w:tcPr>
            <w:tcW w:type="dxa" w:w="3408"/>
            <w:vAlign w:val="center"/>
          </w:tcPr>
          <w:p>
            <w:pPr>
              <w:spacing w:after="0"/>
            </w:pPr>
            <w:r/>
            <w:r>
              <w:rPr>
                <w:rFonts w:ascii="Aptos" w:hAnsi="Aptos"/>
                <w:b w:val="0"/>
                <w:sz w:val="15"/>
              </w:rPr>
              <w:t>TR Tug / Strait escort</w:t>
            </w:r>
          </w:p>
        </w:tc>
        <w:tc>
          <w:tcPr>
            <w:tcW w:type="dxa" w:w="3408"/>
            <w:vAlign w:val="center"/>
          </w:tcPr>
          <w:p>
            <w:pPr>
              <w:spacing w:after="0"/>
            </w:pPr>
            <w:r/>
            <w:r>
              <w:rPr>
                <w:rFonts w:ascii="Aptos" w:hAnsi="Aptos"/>
                <w:b w:val="0"/>
                <w:sz w:val="15"/>
              </w:rPr>
              <w:t>Tug flow + validated escort crew overlay</w:t>
            </w:r>
          </w:p>
        </w:tc>
      </w:tr>
      <w:tr>
        <w:tc>
          <w:tcPr>
            <w:tcW w:type="dxa" w:w="3408"/>
            <w:vAlign w:val="center"/>
            <w:shd w:fill="F4F7FA"/>
          </w:tcPr>
          <w:p>
            <w:pPr>
              <w:spacing w:after="0"/>
            </w:pPr>
            <w:r/>
            <w:r>
              <w:rPr>
                <w:rFonts w:ascii="Aptos" w:hAnsi="Aptos"/>
                <w:b w:val="0"/>
                <w:sz w:val="15"/>
              </w:rPr>
              <w:t>GP-TUG-OCEAN</w:t>
            </w:r>
          </w:p>
        </w:tc>
        <w:tc>
          <w:tcPr>
            <w:tcW w:type="dxa" w:w="3408"/>
            <w:vAlign w:val="center"/>
            <w:shd w:fill="F4F7FA"/>
          </w:tcPr>
          <w:p>
            <w:pPr>
              <w:spacing w:after="0"/>
            </w:pPr>
            <w:r/>
            <w:r>
              <w:rPr>
                <w:rFonts w:ascii="Aptos" w:hAnsi="Aptos"/>
                <w:b w:val="0"/>
                <w:sz w:val="15"/>
              </w:rPr>
              <w:t>TR Ocean Tug</w:t>
            </w:r>
          </w:p>
        </w:tc>
        <w:tc>
          <w:tcPr>
            <w:tcW w:type="dxa" w:w="3408"/>
            <w:vAlign w:val="center"/>
            <w:shd w:fill="F4F7FA"/>
          </w:tcPr>
          <w:p>
            <w:pPr>
              <w:spacing w:after="0"/>
            </w:pPr>
            <w:r/>
            <w:r>
              <w:rPr>
                <w:rFonts w:ascii="Aptos" w:hAnsi="Aptos"/>
                <w:b w:val="0"/>
                <w:sz w:val="15"/>
              </w:rPr>
              <w:t>Ocean towage class/suitability pack; M79 not auto-applied solely to long-distance ocean towage</w:t>
            </w:r>
          </w:p>
        </w:tc>
      </w:tr>
    </w:tbl>
    <w:p>
      <w:pPr>
        <w:pStyle w:val="Heading1"/>
      </w:pPr>
      <w:r>
        <w:t>23. Minimum Golden Tests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Test</w:t>
            </w:r>
          </w:p>
        </w:tc>
        <w:tc>
          <w:tcPr>
            <w:tcW w:type="dxa" w:w="3408"/>
            <w:vAlign w:val="center"/>
            <w:shd w:fill="17365D"/>
          </w:tcPr>
          <w:p>
            <w:pPr>
              <w:spacing w:after="0"/>
            </w:pPr>
            <w:r/>
            <w:r>
              <w:rPr>
                <w:rFonts w:ascii="Aptos" w:hAnsi="Aptos"/>
                <w:b/>
                <w:color w:val="FFFFFF"/>
                <w:sz w:val="15"/>
              </w:rPr>
              <w:t>Input</w:t>
            </w:r>
          </w:p>
        </w:tc>
        <w:tc>
          <w:tcPr>
            <w:tcW w:type="dxa" w:w="3408"/>
            <w:vAlign w:val="center"/>
            <w:shd w:fill="17365D"/>
          </w:tcPr>
          <w:p>
            <w:pPr>
              <w:spacing w:after="0"/>
            </w:pPr>
            <w:r/>
            <w:r>
              <w:rPr>
                <w:rFonts w:ascii="Aptos" w:hAnsi="Aptos"/>
                <w:b/>
                <w:color w:val="FFFFFF"/>
                <w:sz w:val="15"/>
              </w:rPr>
              <w:t>Beklenen</w:t>
            </w:r>
          </w:p>
        </w:tc>
      </w:tr>
      <w:tr>
        <w:tc>
          <w:tcPr>
            <w:tcW w:type="dxa" w:w="3408"/>
            <w:vAlign w:val="center"/>
          </w:tcPr>
          <w:p>
            <w:pPr>
              <w:spacing w:after="0"/>
            </w:pPr>
            <w:r/>
            <w:r>
              <w:rPr>
                <w:rFonts w:ascii="Aptos" w:hAnsi="Aptos"/>
                <w:b w:val="0"/>
                <w:sz w:val="15"/>
              </w:rPr>
              <w:t>GOLD-001</w:t>
            </w:r>
          </w:p>
        </w:tc>
        <w:tc>
          <w:tcPr>
            <w:tcW w:type="dxa" w:w="3408"/>
            <w:vAlign w:val="center"/>
          </w:tcPr>
          <w:p>
            <w:pPr>
              <w:spacing w:after="0"/>
            </w:pPr>
            <w:r/>
            <w:r>
              <w:rPr>
                <w:rFonts w:ascii="Aptos" w:hAnsi="Aptos"/>
                <w:b w:val="0"/>
                <w:sz w:val="15"/>
              </w:rPr>
              <w:t>TUG + ISM true</w:t>
            </w:r>
          </w:p>
        </w:tc>
        <w:tc>
          <w:tcPr>
            <w:tcW w:type="dxa" w:w="3408"/>
            <w:vAlign w:val="center"/>
          </w:tcPr>
          <w:p>
            <w:pPr>
              <w:spacing w:after="0"/>
            </w:pPr>
            <w:r/>
            <w:r>
              <w:rPr>
                <w:rFonts w:ascii="Aptos" w:hAnsi="Aptos"/>
                <w:b w:val="0"/>
                <w:sz w:val="15"/>
              </w:rPr>
              <w:t>ISM §7 Tug APPLICABLE</w:t>
            </w:r>
          </w:p>
        </w:tc>
      </w:tr>
      <w:tr>
        <w:tc>
          <w:tcPr>
            <w:tcW w:type="dxa" w:w="3408"/>
            <w:vAlign w:val="center"/>
            <w:shd w:fill="F4F7FA"/>
          </w:tcPr>
          <w:p>
            <w:pPr>
              <w:spacing w:after="0"/>
            </w:pPr>
            <w:r/>
            <w:r>
              <w:rPr>
                <w:rFonts w:ascii="Aptos" w:hAnsi="Aptos"/>
                <w:b w:val="0"/>
                <w:sz w:val="15"/>
              </w:rPr>
              <w:t>GOLD-002</w:t>
            </w:r>
          </w:p>
        </w:tc>
        <w:tc>
          <w:tcPr>
            <w:tcW w:type="dxa" w:w="3408"/>
            <w:vAlign w:val="center"/>
            <w:shd w:fill="F4F7FA"/>
          </w:tcPr>
          <w:p>
            <w:pPr>
              <w:spacing w:after="0"/>
            </w:pPr>
            <w:r/>
            <w:r>
              <w:rPr>
                <w:rFonts w:ascii="Aptos" w:hAnsi="Aptos"/>
                <w:b w:val="0"/>
                <w:sz w:val="15"/>
              </w:rPr>
              <w:t>TUG + M79 inputs fully true</w:t>
            </w:r>
          </w:p>
        </w:tc>
        <w:tc>
          <w:tcPr>
            <w:tcW w:type="dxa" w:w="3408"/>
            <w:vAlign w:val="center"/>
            <w:shd w:fill="F4F7FA"/>
          </w:tcPr>
          <w:p>
            <w:pPr>
              <w:spacing w:after="0"/>
            </w:pPr>
            <w:r/>
            <w:r>
              <w:rPr>
                <w:rFonts w:ascii="Aptos" w:hAnsi="Aptos"/>
                <w:b w:val="0"/>
                <w:sz w:val="15"/>
              </w:rPr>
              <w:t>M79 APPLICABLE</w:t>
            </w:r>
          </w:p>
        </w:tc>
      </w:tr>
      <w:tr>
        <w:tc>
          <w:tcPr>
            <w:tcW w:type="dxa" w:w="3408"/>
            <w:vAlign w:val="center"/>
          </w:tcPr>
          <w:p>
            <w:pPr>
              <w:spacing w:after="0"/>
            </w:pPr>
            <w:r/>
            <w:r>
              <w:rPr>
                <w:rFonts w:ascii="Aptos" w:hAnsi="Aptos"/>
                <w:b w:val="0"/>
                <w:sz w:val="15"/>
              </w:rPr>
              <w:t>GOLD-003</w:t>
            </w:r>
          </w:p>
        </w:tc>
        <w:tc>
          <w:tcPr>
            <w:tcW w:type="dxa" w:w="3408"/>
            <w:vAlign w:val="center"/>
          </w:tcPr>
          <w:p>
            <w:pPr>
              <w:spacing w:after="0"/>
            </w:pPr>
            <w:r/>
            <w:r>
              <w:rPr>
                <w:rFonts w:ascii="Aptos" w:hAnsi="Aptos"/>
                <w:b w:val="0"/>
                <w:sz w:val="15"/>
              </w:rPr>
              <w:t>TUG + class M79 input unknown</w:t>
            </w:r>
          </w:p>
        </w:tc>
        <w:tc>
          <w:tcPr>
            <w:tcW w:type="dxa" w:w="3408"/>
            <w:vAlign w:val="center"/>
          </w:tcPr>
          <w:p>
            <w:pPr>
              <w:spacing w:after="0"/>
            </w:pPr>
            <w:r/>
            <w:r>
              <w:rPr>
                <w:rFonts w:ascii="Aptos" w:hAnsi="Aptos"/>
                <w:b w:val="0"/>
                <w:sz w:val="15"/>
              </w:rPr>
              <w:t>REVIEW_REQUIRED</w:t>
            </w:r>
          </w:p>
        </w:tc>
      </w:tr>
      <w:tr>
        <w:tc>
          <w:tcPr>
            <w:tcW w:type="dxa" w:w="3408"/>
            <w:vAlign w:val="center"/>
            <w:shd w:fill="F4F7FA"/>
          </w:tcPr>
          <w:p>
            <w:pPr>
              <w:spacing w:after="0"/>
            </w:pPr>
            <w:r/>
            <w:r>
              <w:rPr>
                <w:rFonts w:ascii="Aptos" w:hAnsi="Aptos"/>
                <w:b w:val="0"/>
                <w:sz w:val="15"/>
              </w:rPr>
              <w:t>GOLD-004</w:t>
            </w:r>
          </w:p>
        </w:tc>
        <w:tc>
          <w:tcPr>
            <w:tcW w:type="dxa" w:w="3408"/>
            <w:vAlign w:val="center"/>
            <w:shd w:fill="F4F7FA"/>
          </w:tcPr>
          <w:p>
            <w:pPr>
              <w:spacing w:after="0"/>
            </w:pPr>
            <w:r/>
            <w:r>
              <w:rPr>
                <w:rFonts w:ascii="Aptos" w:hAnsi="Aptos"/>
                <w:b w:val="0"/>
                <w:sz w:val="15"/>
              </w:rPr>
              <w:t>TR Tug + MSMD unverified</w:t>
            </w:r>
          </w:p>
        </w:tc>
        <w:tc>
          <w:tcPr>
            <w:tcW w:type="dxa" w:w="3408"/>
            <w:vAlign w:val="center"/>
            <w:shd w:fill="F4F7FA"/>
          </w:tcPr>
          <w:p>
            <w:pPr>
              <w:spacing w:after="0"/>
            </w:pPr>
            <w:r/>
            <w:r>
              <w:rPr>
                <w:rFonts w:ascii="Aptos" w:hAnsi="Aptos"/>
                <w:b w:val="0"/>
                <w:sz w:val="15"/>
              </w:rPr>
              <w:t>Crew readiness cannot be full READY</w:t>
            </w:r>
          </w:p>
        </w:tc>
      </w:tr>
      <w:tr>
        <w:tc>
          <w:tcPr>
            <w:tcW w:type="dxa" w:w="3408"/>
            <w:vAlign w:val="center"/>
          </w:tcPr>
          <w:p>
            <w:pPr>
              <w:spacing w:after="0"/>
            </w:pPr>
            <w:r/>
            <w:r>
              <w:rPr>
                <w:rFonts w:ascii="Aptos" w:hAnsi="Aptos"/>
                <w:b w:val="0"/>
                <w:sz w:val="15"/>
              </w:rPr>
              <w:t>GOLD-005</w:t>
            </w:r>
          </w:p>
        </w:tc>
        <w:tc>
          <w:tcPr>
            <w:tcW w:type="dxa" w:w="3408"/>
            <w:vAlign w:val="center"/>
          </w:tcPr>
          <w:p>
            <w:pPr>
              <w:spacing w:after="0"/>
            </w:pPr>
            <w:r/>
            <w:r>
              <w:rPr>
                <w:rFonts w:ascii="Aptos" w:hAnsi="Aptos"/>
                <w:b w:val="0"/>
                <w:sz w:val="15"/>
              </w:rPr>
              <w:t>Strait escort + monitored crew overlay</w:t>
            </w:r>
          </w:p>
        </w:tc>
        <w:tc>
          <w:tcPr>
            <w:tcW w:type="dxa" w:w="3408"/>
            <w:vAlign w:val="center"/>
          </w:tcPr>
          <w:p>
            <w:pPr>
              <w:spacing w:after="0"/>
            </w:pPr>
            <w:r/>
            <w:r>
              <w:rPr>
                <w:rFonts w:ascii="Aptos" w:hAnsi="Aptos"/>
                <w:b w:val="0"/>
                <w:sz w:val="15"/>
              </w:rPr>
              <w:t>Source-aware extra crew result; no silent assumption</w:t>
            </w:r>
          </w:p>
        </w:tc>
      </w:tr>
      <w:tr>
        <w:tc>
          <w:tcPr>
            <w:tcW w:type="dxa" w:w="3408"/>
            <w:vAlign w:val="center"/>
            <w:shd w:fill="F4F7FA"/>
          </w:tcPr>
          <w:p>
            <w:pPr>
              <w:spacing w:after="0"/>
            </w:pPr>
            <w:r/>
            <w:r>
              <w:rPr>
                <w:rFonts w:ascii="Aptos" w:hAnsi="Aptos"/>
                <w:b w:val="0"/>
                <w:sz w:val="15"/>
              </w:rPr>
              <w:t>GOLD-006</w:t>
            </w:r>
          </w:p>
        </w:tc>
        <w:tc>
          <w:tcPr>
            <w:tcW w:type="dxa" w:w="3408"/>
            <w:vAlign w:val="center"/>
            <w:shd w:fill="F4F7FA"/>
          </w:tcPr>
          <w:p>
            <w:pPr>
              <w:spacing w:after="0"/>
            </w:pPr>
            <w:r/>
            <w:r>
              <w:rPr>
                <w:rFonts w:ascii="Aptos" w:hAnsi="Aptos"/>
                <w:b w:val="0"/>
                <w:sz w:val="15"/>
              </w:rPr>
              <w:t>Solely long-distance ocean towage</w:t>
            </w:r>
          </w:p>
        </w:tc>
        <w:tc>
          <w:tcPr>
            <w:tcW w:type="dxa" w:w="3408"/>
            <w:vAlign w:val="center"/>
            <w:shd w:fill="F4F7FA"/>
          </w:tcPr>
          <w:p>
            <w:pPr>
              <w:spacing w:after="0"/>
            </w:pPr>
            <w:r/>
            <w:r>
              <w:rPr>
                <w:rFonts w:ascii="Aptos" w:hAnsi="Aptos"/>
                <w:b w:val="0"/>
                <w:sz w:val="15"/>
              </w:rPr>
              <w:t>M79 NOT_APPLICABLE; ocean towage pack evaluated</w:t>
            </w:r>
          </w:p>
        </w:tc>
      </w:tr>
      <w:tr>
        <w:tc>
          <w:tcPr>
            <w:tcW w:type="dxa" w:w="3408"/>
            <w:vAlign w:val="center"/>
          </w:tcPr>
          <w:p>
            <w:pPr>
              <w:spacing w:after="0"/>
            </w:pPr>
            <w:r/>
            <w:r>
              <w:rPr>
                <w:rFonts w:ascii="Aptos" w:hAnsi="Aptos"/>
                <w:b w:val="0"/>
                <w:sz w:val="15"/>
              </w:rPr>
              <w:t>GOLD-007</w:t>
            </w:r>
          </w:p>
        </w:tc>
        <w:tc>
          <w:tcPr>
            <w:tcW w:type="dxa" w:w="3408"/>
            <w:vAlign w:val="center"/>
          </w:tcPr>
          <w:p>
            <w:pPr>
              <w:spacing w:after="0"/>
            </w:pPr>
            <w:r/>
            <w:r>
              <w:rPr>
                <w:rFonts w:ascii="Aptos" w:hAnsi="Aptos"/>
                <w:b w:val="0"/>
                <w:sz w:val="15"/>
              </w:rPr>
              <w:t>Oil tanker</w:t>
            </w:r>
          </w:p>
        </w:tc>
        <w:tc>
          <w:tcPr>
            <w:tcW w:type="dxa" w:w="3408"/>
            <w:vAlign w:val="center"/>
          </w:tcPr>
          <w:p>
            <w:pPr>
              <w:spacing w:after="0"/>
            </w:pPr>
            <w:r/>
            <w:r>
              <w:rPr>
                <w:rFonts w:ascii="Aptos" w:hAnsi="Aptos"/>
                <w:b w:val="0"/>
                <w:sz w:val="15"/>
              </w:rPr>
              <w:t>STCW V APPLICABLE</w:t>
            </w:r>
          </w:p>
        </w:tc>
      </w:tr>
      <w:tr>
        <w:tc>
          <w:tcPr>
            <w:tcW w:type="dxa" w:w="3408"/>
            <w:vAlign w:val="center"/>
            <w:shd w:fill="F4F7FA"/>
          </w:tcPr>
          <w:p>
            <w:pPr>
              <w:spacing w:after="0"/>
            </w:pPr>
            <w:r/>
            <w:r>
              <w:rPr>
                <w:rFonts w:ascii="Aptos" w:hAnsi="Aptos"/>
                <w:b w:val="0"/>
                <w:sz w:val="15"/>
              </w:rPr>
              <w:t>GOLD-008</w:t>
            </w:r>
          </w:p>
        </w:tc>
        <w:tc>
          <w:tcPr>
            <w:tcW w:type="dxa" w:w="3408"/>
            <w:vAlign w:val="center"/>
            <w:shd w:fill="F4F7FA"/>
          </w:tcPr>
          <w:p>
            <w:pPr>
              <w:spacing w:after="0"/>
            </w:pPr>
            <w:r/>
            <w:r>
              <w:rPr>
                <w:rFonts w:ascii="Aptos" w:hAnsi="Aptos"/>
                <w:b w:val="0"/>
                <w:sz w:val="15"/>
              </w:rPr>
              <w:t>Packaged DG on 2026-10-04</w:t>
            </w:r>
          </w:p>
        </w:tc>
        <w:tc>
          <w:tcPr>
            <w:tcW w:type="dxa" w:w="3408"/>
            <w:vAlign w:val="center"/>
            <w:shd w:fill="F4F7FA"/>
          </w:tcPr>
          <w:p>
            <w:pPr>
              <w:spacing w:after="0"/>
            </w:pPr>
            <w:r/>
            <w:r>
              <w:rPr>
                <w:rFonts w:ascii="Aptos" w:hAnsi="Aptos"/>
                <w:b w:val="0"/>
                <w:sz w:val="15"/>
              </w:rPr>
              <w:t>IMDG 42-24 APPLICABLE</w:t>
            </w:r>
          </w:p>
        </w:tc>
      </w:tr>
      <w:tr>
        <w:tc>
          <w:tcPr>
            <w:tcW w:type="dxa" w:w="3408"/>
            <w:vAlign w:val="center"/>
          </w:tcPr>
          <w:p>
            <w:pPr>
              <w:spacing w:after="0"/>
            </w:pPr>
            <w:r/>
            <w:r>
              <w:rPr>
                <w:rFonts w:ascii="Aptos" w:hAnsi="Aptos"/>
                <w:b w:val="0"/>
                <w:sz w:val="15"/>
              </w:rPr>
              <w:t>GOLD-009</w:t>
            </w:r>
          </w:p>
        </w:tc>
        <w:tc>
          <w:tcPr>
            <w:tcW w:type="dxa" w:w="3408"/>
            <w:vAlign w:val="center"/>
          </w:tcPr>
          <w:p>
            <w:pPr>
              <w:spacing w:after="0"/>
            </w:pPr>
            <w:r/>
            <w:r>
              <w:rPr>
                <w:rFonts w:ascii="Aptos" w:hAnsi="Aptos"/>
                <w:b w:val="0"/>
                <w:sz w:val="15"/>
              </w:rPr>
              <w:t>Packaged DG unknown</w:t>
            </w:r>
          </w:p>
        </w:tc>
        <w:tc>
          <w:tcPr>
            <w:tcW w:type="dxa" w:w="3408"/>
            <w:vAlign w:val="center"/>
          </w:tcPr>
          <w:p>
            <w:pPr>
              <w:spacing w:after="0"/>
            </w:pPr>
            <w:r/>
            <w:r>
              <w:rPr>
                <w:rFonts w:ascii="Aptos" w:hAnsi="Aptos"/>
                <w:b w:val="0"/>
                <w:sz w:val="15"/>
              </w:rPr>
              <w:t>REVIEW_REQUIRED</w:t>
            </w:r>
          </w:p>
        </w:tc>
      </w:tr>
      <w:tr>
        <w:tc>
          <w:tcPr>
            <w:tcW w:type="dxa" w:w="3408"/>
            <w:vAlign w:val="center"/>
            <w:shd w:fill="F4F7FA"/>
          </w:tcPr>
          <w:p>
            <w:pPr>
              <w:spacing w:after="0"/>
            </w:pPr>
            <w:r/>
            <w:r>
              <w:rPr>
                <w:rFonts w:ascii="Aptos" w:hAnsi="Aptos"/>
                <w:b w:val="0"/>
                <w:sz w:val="15"/>
              </w:rPr>
              <w:t>GOLD-010</w:t>
            </w:r>
          </w:p>
        </w:tc>
        <w:tc>
          <w:tcPr>
            <w:tcW w:type="dxa" w:w="3408"/>
            <w:vAlign w:val="center"/>
            <w:shd w:fill="F4F7FA"/>
          </w:tcPr>
          <w:p>
            <w:pPr>
              <w:spacing w:after="0"/>
            </w:pPr>
            <w:r/>
            <w:r>
              <w:rPr>
                <w:rFonts w:ascii="Aptos" w:hAnsi="Aptos"/>
                <w:b w:val="0"/>
                <w:sz w:val="15"/>
              </w:rPr>
              <w:t>MLC future amendment before effective date</w:t>
            </w:r>
          </w:p>
        </w:tc>
        <w:tc>
          <w:tcPr>
            <w:tcW w:type="dxa" w:w="3408"/>
            <w:vAlign w:val="center"/>
            <w:shd w:fill="F4F7FA"/>
          </w:tcPr>
          <w:p>
            <w:pPr>
              <w:spacing w:after="0"/>
            </w:pPr>
            <w:r/>
            <w:r>
              <w:rPr>
                <w:rFonts w:ascii="Aptos" w:hAnsi="Aptos"/>
                <w:b w:val="0"/>
                <w:sz w:val="15"/>
              </w:rPr>
              <w:t>No current compliance impact; Change Radar only</w:t>
            </w:r>
          </w:p>
        </w:tc>
      </w:tr>
    </w:tbl>
    <w:p>
      <w:pPr>
        <w:pStyle w:val="Heading1"/>
      </w:pPr>
      <w:r>
        <w:t>24. Production Acceptance Criteria</w:t>
      </w:r>
    </w:p>
    <w:p>
      <w:pPr>
        <w:pStyle w:val="ListBullet"/>
        <w:spacing w:after="40"/>
      </w:pPr>
      <w:r>
        <w:t>Aynı input snapshot + ruleSetVersion aynı sonucu üretir.</w:t>
      </w:r>
    </w:p>
    <w:p>
      <w:pPr>
        <w:pStyle w:val="ListBullet"/>
        <w:spacing w:after="40"/>
      </w:pPr>
      <w:r>
        <w:t>Critical UNKNOWN hiçbir zaman otomatik NOT_APPLICABLE veya READY üretmez.</w:t>
      </w:r>
    </w:p>
    <w:p>
      <w:pPr>
        <w:pStyle w:val="ListBullet"/>
        <w:spacing w:after="40"/>
      </w:pPr>
      <w:r>
        <w:t>Her result ruleId + version + sourceId + source locator + predicate trace taşır.</w:t>
      </w:r>
    </w:p>
    <w:p>
      <w:pPr>
        <w:pStyle w:val="ListBullet"/>
        <w:spacing w:after="40"/>
      </w:pPr>
      <w:r>
        <w:t>FUTURE_EFFECTIVE rule current compliance/readiness state'ini değiştirmez.</w:t>
      </w:r>
    </w:p>
    <w:p>
      <w:pPr>
        <w:pStyle w:val="ListBullet"/>
        <w:spacing w:after="40"/>
      </w:pPr>
      <w:r>
        <w:t>SUPERSEDED rule historical replay dışında active output üretmez.</w:t>
      </w:r>
    </w:p>
    <w:p>
      <w:pPr>
        <w:pStyle w:val="ListBullet"/>
        <w:spacing w:after="40"/>
      </w:pPr>
      <w:r>
        <w:t>Applicable rule screen/field activationı authorization bypass etmez.</w:t>
      </w:r>
    </w:p>
    <w:p>
      <w:pPr>
        <w:pStyle w:val="ListBullet"/>
        <w:spacing w:after="40"/>
      </w:pPr>
      <w:r>
        <w:t>Source conflict explicit ConflictRecord ve REVIEW_REQUIRED üretir.</w:t>
      </w:r>
    </w:p>
    <w:p>
      <w:pPr>
        <w:pStyle w:val="ListBullet"/>
        <w:spacing w:after="40"/>
      </w:pPr>
      <w:r>
        <w:t>Human override source rule'ı değiştirmez; context-bound decision olarak audit edilir.</w:t>
      </w:r>
    </w:p>
    <w:p>
      <w:pPr>
        <w:pStyle w:val="ListBullet"/>
        <w:spacing w:after="40"/>
      </w:pPr>
      <w:r>
        <w:t>AI draft rule publish edemez ve legal/safety final applicability veremez.</w:t>
      </w:r>
    </w:p>
    <w:p>
      <w:pPr>
        <w:pStyle w:val="ListBullet"/>
        <w:spacing w:after="40"/>
      </w:pPr>
      <w:r>
        <w:t>Ship Mode Tug-only operasyon ekranlarını; Tug Mode ship cargo-only ekranlarını gereksiz yere aktive etmez.</w:t>
      </w:r>
    </w:p>
    <w:p>
      <w:pPr>
        <w:pStyle w:val="ListBullet"/>
        <w:spacing w:after="40"/>
      </w:pPr>
      <w:r>
        <w:t>Rule publish öncesi schema validation + semantic validation + golden regression + second-person approval zorunludur.</w:t>
      </w:r>
    </w:p>
    <w:p>
      <w:pPr>
        <w:pStyle w:val="ListBullet"/>
        <w:spacing w:after="40"/>
      </w:pPr>
      <w:r>
        <w:t>Rule-set diff affected vessel/tug/control/screen/field/test listesini üretir.</w:t>
      </w:r>
    </w:p>
    <w:p>
      <w:pPr>
        <w:pStyle w:val="ListBullet"/>
        <w:spacing w:after="40"/>
      </w:pPr>
      <w:r>
        <w:t>Historical evaluation source/rule versions ile tekrar açıklanabilir.</w:t>
      </w:r>
    </w:p>
    <w:p>
      <w:pPr>
        <w:pStyle w:val="Heading1"/>
      </w:pPr>
      <w:r>
        <w:t>25. Development Backlog — Engine 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ID</w:t>
            </w:r>
          </w:p>
        </w:tc>
        <w:tc>
          <w:tcPr>
            <w:tcW w:type="dxa" w:w="3408"/>
            <w:vAlign w:val="center"/>
            <w:shd w:fill="17365D"/>
          </w:tcPr>
          <w:p>
            <w:pPr>
              <w:spacing w:after="0"/>
            </w:pPr>
            <w:r/>
            <w:r>
              <w:rPr>
                <w:rFonts w:ascii="Aptos" w:hAnsi="Aptos"/>
                <w:b/>
                <w:color w:val="FFFFFF"/>
                <w:sz w:val="15"/>
              </w:rPr>
              <w:t>Story</w:t>
            </w:r>
          </w:p>
        </w:tc>
        <w:tc>
          <w:tcPr>
            <w:tcW w:type="dxa" w:w="3408"/>
            <w:vAlign w:val="center"/>
            <w:shd w:fill="17365D"/>
          </w:tcPr>
          <w:p>
            <w:pPr>
              <w:spacing w:after="0"/>
            </w:pPr>
            <w:r/>
            <w:r>
              <w:rPr>
                <w:rFonts w:ascii="Aptos" w:hAnsi="Aptos"/>
                <w:b/>
                <w:color w:val="FFFFFF"/>
                <w:sz w:val="15"/>
              </w:rPr>
              <w:t>Priority</w:t>
            </w:r>
          </w:p>
        </w:tc>
      </w:tr>
      <w:tr>
        <w:tc>
          <w:tcPr>
            <w:tcW w:type="dxa" w:w="3408"/>
            <w:vAlign w:val="center"/>
          </w:tcPr>
          <w:p>
            <w:pPr>
              <w:spacing w:after="0"/>
            </w:pPr>
            <w:r/>
            <w:r>
              <w:rPr>
                <w:rFonts w:ascii="Aptos" w:hAnsi="Aptos"/>
                <w:b w:val="0"/>
                <w:sz w:val="15"/>
              </w:rPr>
              <w:t>APP-001</w:t>
            </w:r>
          </w:p>
        </w:tc>
        <w:tc>
          <w:tcPr>
            <w:tcW w:type="dxa" w:w="3408"/>
            <w:vAlign w:val="center"/>
          </w:tcPr>
          <w:p>
            <w:pPr>
              <w:spacing w:after="0"/>
            </w:pPr>
            <w:r/>
            <w:r>
              <w:rPr>
                <w:rFonts w:ascii="Aptos" w:hAnsi="Aptos"/>
                <w:b w:val="0"/>
                <w:sz w:val="15"/>
              </w:rPr>
              <w:t>Rule DSL schema + validation</w:t>
            </w:r>
          </w:p>
        </w:tc>
        <w:tc>
          <w:tcPr>
            <w:tcW w:type="dxa" w:w="3408"/>
            <w:vAlign w:val="center"/>
          </w:tcPr>
          <w:p>
            <w:pPr>
              <w:spacing w:after="0"/>
            </w:pPr>
            <w:r/>
            <w:r>
              <w:rPr>
                <w:rFonts w:ascii="Aptos" w:hAnsi="Aptos"/>
                <w:b w:val="0"/>
                <w:sz w:val="15"/>
              </w:rPr>
              <w:t>P0</w:t>
            </w:r>
          </w:p>
        </w:tc>
      </w:tr>
      <w:tr>
        <w:tc>
          <w:tcPr>
            <w:tcW w:type="dxa" w:w="3408"/>
            <w:vAlign w:val="center"/>
            <w:shd w:fill="F4F7FA"/>
          </w:tcPr>
          <w:p>
            <w:pPr>
              <w:spacing w:after="0"/>
            </w:pPr>
            <w:r/>
            <w:r>
              <w:rPr>
                <w:rFonts w:ascii="Aptos" w:hAnsi="Aptos"/>
                <w:b w:val="0"/>
                <w:sz w:val="15"/>
              </w:rPr>
              <w:t>APP-002</w:t>
            </w:r>
          </w:p>
        </w:tc>
        <w:tc>
          <w:tcPr>
            <w:tcW w:type="dxa" w:w="3408"/>
            <w:vAlign w:val="center"/>
            <w:shd w:fill="F4F7FA"/>
          </w:tcPr>
          <w:p>
            <w:pPr>
              <w:spacing w:after="0"/>
            </w:pPr>
            <w:r/>
            <w:r>
              <w:rPr>
                <w:rFonts w:ascii="Aptos" w:hAnsi="Aptos"/>
                <w:b w:val="0"/>
                <w:sz w:val="15"/>
              </w:rPr>
              <w:t>Three-valued predicate evaluator</w:t>
            </w:r>
          </w:p>
        </w:tc>
        <w:tc>
          <w:tcPr>
            <w:tcW w:type="dxa" w:w="3408"/>
            <w:vAlign w:val="center"/>
            <w:shd w:fill="F4F7FA"/>
          </w:tcPr>
          <w:p>
            <w:pPr>
              <w:spacing w:after="0"/>
            </w:pPr>
            <w:r/>
            <w:r>
              <w:rPr>
                <w:rFonts w:ascii="Aptos" w:hAnsi="Aptos"/>
                <w:b w:val="0"/>
                <w:sz w:val="15"/>
              </w:rPr>
              <w:t>P0</w:t>
            </w:r>
          </w:p>
        </w:tc>
      </w:tr>
      <w:tr>
        <w:tc>
          <w:tcPr>
            <w:tcW w:type="dxa" w:w="3408"/>
            <w:vAlign w:val="center"/>
          </w:tcPr>
          <w:p>
            <w:pPr>
              <w:spacing w:after="0"/>
            </w:pPr>
            <w:r/>
            <w:r>
              <w:rPr>
                <w:rFonts w:ascii="Aptos" w:hAnsi="Aptos"/>
                <w:b w:val="0"/>
                <w:sz w:val="15"/>
              </w:rPr>
              <w:t>APP-003</w:t>
            </w:r>
          </w:p>
        </w:tc>
        <w:tc>
          <w:tcPr>
            <w:tcW w:type="dxa" w:w="3408"/>
            <w:vAlign w:val="center"/>
          </w:tcPr>
          <w:p>
            <w:pPr>
              <w:spacing w:after="0"/>
            </w:pPr>
            <w:r/>
            <w:r>
              <w:rPr>
                <w:rFonts w:ascii="Aptos" w:hAnsi="Aptos"/>
                <w:b w:val="0"/>
                <w:sz w:val="15"/>
              </w:rPr>
              <w:t>Source lifecycle/effective-date resolver</w:t>
            </w:r>
          </w:p>
        </w:tc>
        <w:tc>
          <w:tcPr>
            <w:tcW w:type="dxa" w:w="3408"/>
            <w:vAlign w:val="center"/>
          </w:tcPr>
          <w:p>
            <w:pPr>
              <w:spacing w:after="0"/>
            </w:pPr>
            <w:r/>
            <w:r>
              <w:rPr>
                <w:rFonts w:ascii="Aptos" w:hAnsi="Aptos"/>
                <w:b w:val="0"/>
                <w:sz w:val="15"/>
              </w:rPr>
              <w:t>P0</w:t>
            </w:r>
          </w:p>
        </w:tc>
      </w:tr>
      <w:tr>
        <w:tc>
          <w:tcPr>
            <w:tcW w:type="dxa" w:w="3408"/>
            <w:vAlign w:val="center"/>
            <w:shd w:fill="F4F7FA"/>
          </w:tcPr>
          <w:p>
            <w:pPr>
              <w:spacing w:after="0"/>
            </w:pPr>
            <w:r/>
            <w:r>
              <w:rPr>
                <w:rFonts w:ascii="Aptos" w:hAnsi="Aptos"/>
                <w:b w:val="0"/>
                <w:sz w:val="15"/>
              </w:rPr>
              <w:t>APP-004</w:t>
            </w:r>
          </w:p>
        </w:tc>
        <w:tc>
          <w:tcPr>
            <w:tcW w:type="dxa" w:w="3408"/>
            <w:vAlign w:val="center"/>
            <w:shd w:fill="F4F7FA"/>
          </w:tcPr>
          <w:p>
            <w:pPr>
              <w:spacing w:after="0"/>
            </w:pPr>
            <w:r/>
            <w:r>
              <w:rPr>
                <w:rFonts w:ascii="Aptos" w:hAnsi="Aptos"/>
                <w:b w:val="0"/>
                <w:sz w:val="15"/>
              </w:rPr>
              <w:t>Mode/flag/type prefilter index</w:t>
            </w:r>
          </w:p>
        </w:tc>
        <w:tc>
          <w:tcPr>
            <w:tcW w:type="dxa" w:w="3408"/>
            <w:vAlign w:val="center"/>
            <w:shd w:fill="F4F7FA"/>
          </w:tcPr>
          <w:p>
            <w:pPr>
              <w:spacing w:after="0"/>
            </w:pPr>
            <w:r/>
            <w:r>
              <w:rPr>
                <w:rFonts w:ascii="Aptos" w:hAnsi="Aptos"/>
                <w:b w:val="0"/>
                <w:sz w:val="15"/>
              </w:rPr>
              <w:t>P0</w:t>
            </w:r>
          </w:p>
        </w:tc>
      </w:tr>
      <w:tr>
        <w:tc>
          <w:tcPr>
            <w:tcW w:type="dxa" w:w="3408"/>
            <w:vAlign w:val="center"/>
          </w:tcPr>
          <w:p>
            <w:pPr>
              <w:spacing w:after="0"/>
            </w:pPr>
            <w:r/>
            <w:r>
              <w:rPr>
                <w:rFonts w:ascii="Aptos" w:hAnsi="Aptos"/>
                <w:b w:val="0"/>
                <w:sz w:val="15"/>
              </w:rPr>
              <w:t>APP-005</w:t>
            </w:r>
          </w:p>
        </w:tc>
        <w:tc>
          <w:tcPr>
            <w:tcW w:type="dxa" w:w="3408"/>
            <w:vAlign w:val="center"/>
          </w:tcPr>
          <w:p>
            <w:pPr>
              <w:spacing w:after="0"/>
            </w:pPr>
            <w:r/>
            <w:r>
              <w:rPr>
                <w:rFonts w:ascii="Aptos" w:hAnsi="Aptos"/>
                <w:b w:val="0"/>
                <w:sz w:val="15"/>
              </w:rPr>
              <w:t>EvaluationResult + predicate trace persistence</w:t>
            </w:r>
          </w:p>
        </w:tc>
        <w:tc>
          <w:tcPr>
            <w:tcW w:type="dxa" w:w="3408"/>
            <w:vAlign w:val="center"/>
          </w:tcPr>
          <w:p>
            <w:pPr>
              <w:spacing w:after="0"/>
            </w:pPr>
            <w:r/>
            <w:r>
              <w:rPr>
                <w:rFonts w:ascii="Aptos" w:hAnsi="Aptos"/>
                <w:b w:val="0"/>
                <w:sz w:val="15"/>
              </w:rPr>
              <w:t>P0</w:t>
            </w:r>
          </w:p>
        </w:tc>
      </w:tr>
      <w:tr>
        <w:tc>
          <w:tcPr>
            <w:tcW w:type="dxa" w:w="3408"/>
            <w:vAlign w:val="center"/>
            <w:shd w:fill="F4F7FA"/>
          </w:tcPr>
          <w:p>
            <w:pPr>
              <w:spacing w:after="0"/>
            </w:pPr>
            <w:r/>
            <w:r>
              <w:rPr>
                <w:rFonts w:ascii="Aptos" w:hAnsi="Aptos"/>
                <w:b w:val="0"/>
                <w:sz w:val="15"/>
              </w:rPr>
              <w:t>APP-006</w:t>
            </w:r>
          </w:p>
        </w:tc>
        <w:tc>
          <w:tcPr>
            <w:tcW w:type="dxa" w:w="3408"/>
            <w:vAlign w:val="center"/>
            <w:shd w:fill="F4F7FA"/>
          </w:tcPr>
          <w:p>
            <w:pPr>
              <w:spacing w:after="0"/>
            </w:pPr>
            <w:r/>
            <w:r>
              <w:rPr>
                <w:rFonts w:ascii="Aptos" w:hAnsi="Aptos"/>
                <w:b w:val="0"/>
                <w:sz w:val="15"/>
              </w:rPr>
              <w:t>Activation resolver</w:t>
            </w:r>
          </w:p>
        </w:tc>
        <w:tc>
          <w:tcPr>
            <w:tcW w:type="dxa" w:w="3408"/>
            <w:vAlign w:val="center"/>
            <w:shd w:fill="F4F7FA"/>
          </w:tcPr>
          <w:p>
            <w:pPr>
              <w:spacing w:after="0"/>
            </w:pPr>
            <w:r/>
            <w:r>
              <w:rPr>
                <w:rFonts w:ascii="Aptos" w:hAnsi="Aptos"/>
                <w:b w:val="0"/>
                <w:sz w:val="15"/>
              </w:rPr>
              <w:t>P0</w:t>
            </w:r>
          </w:p>
        </w:tc>
      </w:tr>
      <w:tr>
        <w:tc>
          <w:tcPr>
            <w:tcW w:type="dxa" w:w="3408"/>
            <w:vAlign w:val="center"/>
          </w:tcPr>
          <w:p>
            <w:pPr>
              <w:spacing w:after="0"/>
            </w:pPr>
            <w:r/>
            <w:r>
              <w:rPr>
                <w:rFonts w:ascii="Aptos" w:hAnsi="Aptos"/>
                <w:b w:val="0"/>
                <w:sz w:val="15"/>
              </w:rPr>
              <w:t>APP-007</w:t>
            </w:r>
          </w:p>
        </w:tc>
        <w:tc>
          <w:tcPr>
            <w:tcW w:type="dxa" w:w="3408"/>
            <w:vAlign w:val="center"/>
          </w:tcPr>
          <w:p>
            <w:pPr>
              <w:spacing w:after="0"/>
            </w:pPr>
            <w:r/>
            <w:r>
              <w:rPr>
                <w:rFonts w:ascii="Aptos" w:hAnsi="Aptos"/>
                <w:b w:val="0"/>
                <w:sz w:val="15"/>
              </w:rPr>
              <w:t>ConflictRecord + REVIEW_REQUIRED routing</w:t>
            </w:r>
          </w:p>
        </w:tc>
        <w:tc>
          <w:tcPr>
            <w:tcW w:type="dxa" w:w="3408"/>
            <w:vAlign w:val="center"/>
          </w:tcPr>
          <w:p>
            <w:pPr>
              <w:spacing w:after="0"/>
            </w:pPr>
            <w:r/>
            <w:r>
              <w:rPr>
                <w:rFonts w:ascii="Aptos" w:hAnsi="Aptos"/>
                <w:b w:val="0"/>
                <w:sz w:val="15"/>
              </w:rPr>
              <w:t>P0</w:t>
            </w:r>
          </w:p>
        </w:tc>
      </w:tr>
      <w:tr>
        <w:tc>
          <w:tcPr>
            <w:tcW w:type="dxa" w:w="3408"/>
            <w:vAlign w:val="center"/>
            <w:shd w:fill="F4F7FA"/>
          </w:tcPr>
          <w:p>
            <w:pPr>
              <w:spacing w:after="0"/>
            </w:pPr>
            <w:r/>
            <w:r>
              <w:rPr>
                <w:rFonts w:ascii="Aptos" w:hAnsi="Aptos"/>
                <w:b w:val="0"/>
                <w:sz w:val="15"/>
              </w:rPr>
              <w:t>APP-008</w:t>
            </w:r>
          </w:p>
        </w:tc>
        <w:tc>
          <w:tcPr>
            <w:tcW w:type="dxa" w:w="3408"/>
            <w:vAlign w:val="center"/>
            <w:shd w:fill="F4F7FA"/>
          </w:tcPr>
          <w:p>
            <w:pPr>
              <w:spacing w:after="0"/>
            </w:pPr>
            <w:r/>
            <w:r>
              <w:rPr>
                <w:rFonts w:ascii="Aptos" w:hAnsi="Aptos"/>
                <w:b w:val="0"/>
                <w:sz w:val="15"/>
              </w:rPr>
              <w:t>Why/Explain API</w:t>
            </w:r>
          </w:p>
        </w:tc>
        <w:tc>
          <w:tcPr>
            <w:tcW w:type="dxa" w:w="3408"/>
            <w:vAlign w:val="center"/>
            <w:shd w:fill="F4F7FA"/>
          </w:tcPr>
          <w:p>
            <w:pPr>
              <w:spacing w:after="0"/>
            </w:pPr>
            <w:r/>
            <w:r>
              <w:rPr>
                <w:rFonts w:ascii="Aptos" w:hAnsi="Aptos"/>
                <w:b w:val="0"/>
                <w:sz w:val="15"/>
              </w:rPr>
              <w:t>P0</w:t>
            </w:r>
          </w:p>
        </w:tc>
      </w:tr>
      <w:tr>
        <w:tc>
          <w:tcPr>
            <w:tcW w:type="dxa" w:w="3408"/>
            <w:vAlign w:val="center"/>
          </w:tcPr>
          <w:p>
            <w:pPr>
              <w:spacing w:after="0"/>
            </w:pPr>
            <w:r/>
            <w:r>
              <w:rPr>
                <w:rFonts w:ascii="Aptos" w:hAnsi="Aptos"/>
                <w:b w:val="0"/>
                <w:sz w:val="15"/>
              </w:rPr>
              <w:t>APP-009</w:t>
            </w:r>
          </w:p>
        </w:tc>
        <w:tc>
          <w:tcPr>
            <w:tcW w:type="dxa" w:w="3408"/>
            <w:vAlign w:val="center"/>
          </w:tcPr>
          <w:p>
            <w:pPr>
              <w:spacing w:after="0"/>
            </w:pPr>
            <w:r/>
            <w:r>
              <w:rPr>
                <w:rFonts w:ascii="Aptos" w:hAnsi="Aptos"/>
                <w:b w:val="0"/>
                <w:sz w:val="15"/>
              </w:rPr>
              <w:t>Simulation API</w:t>
            </w:r>
          </w:p>
        </w:tc>
        <w:tc>
          <w:tcPr>
            <w:tcW w:type="dxa" w:w="3408"/>
            <w:vAlign w:val="center"/>
          </w:tcPr>
          <w:p>
            <w:pPr>
              <w:spacing w:after="0"/>
            </w:pPr>
            <w:r/>
            <w:r>
              <w:rPr>
                <w:rFonts w:ascii="Aptos" w:hAnsi="Aptos"/>
                <w:b w:val="0"/>
                <w:sz w:val="15"/>
              </w:rPr>
              <w:t>P1</w:t>
            </w:r>
          </w:p>
        </w:tc>
      </w:tr>
      <w:tr>
        <w:tc>
          <w:tcPr>
            <w:tcW w:type="dxa" w:w="3408"/>
            <w:vAlign w:val="center"/>
            <w:shd w:fill="F4F7FA"/>
          </w:tcPr>
          <w:p>
            <w:pPr>
              <w:spacing w:after="0"/>
            </w:pPr>
            <w:r/>
            <w:r>
              <w:rPr>
                <w:rFonts w:ascii="Aptos" w:hAnsi="Aptos"/>
                <w:b w:val="0"/>
                <w:sz w:val="15"/>
              </w:rPr>
              <w:t>APP-010</w:t>
            </w:r>
          </w:p>
        </w:tc>
        <w:tc>
          <w:tcPr>
            <w:tcW w:type="dxa" w:w="3408"/>
            <w:vAlign w:val="center"/>
            <w:shd w:fill="F4F7FA"/>
          </w:tcPr>
          <w:p>
            <w:pPr>
              <w:spacing w:after="0"/>
            </w:pPr>
            <w:r/>
            <w:r>
              <w:rPr>
                <w:rFonts w:ascii="Aptos" w:hAnsi="Aptos"/>
                <w:b w:val="0"/>
                <w:sz w:val="15"/>
              </w:rPr>
              <w:t>Rule-set diff/impact analyzer</w:t>
            </w:r>
          </w:p>
        </w:tc>
        <w:tc>
          <w:tcPr>
            <w:tcW w:type="dxa" w:w="3408"/>
            <w:vAlign w:val="center"/>
            <w:shd w:fill="F4F7FA"/>
          </w:tcPr>
          <w:p>
            <w:pPr>
              <w:spacing w:after="0"/>
            </w:pPr>
            <w:r/>
            <w:r>
              <w:rPr>
                <w:rFonts w:ascii="Aptos" w:hAnsi="Aptos"/>
                <w:b w:val="0"/>
                <w:sz w:val="15"/>
              </w:rPr>
              <w:t>P1</w:t>
            </w:r>
          </w:p>
        </w:tc>
      </w:tr>
      <w:tr>
        <w:tc>
          <w:tcPr>
            <w:tcW w:type="dxa" w:w="3408"/>
            <w:vAlign w:val="center"/>
          </w:tcPr>
          <w:p>
            <w:pPr>
              <w:spacing w:after="0"/>
            </w:pPr>
            <w:r/>
            <w:r>
              <w:rPr>
                <w:rFonts w:ascii="Aptos" w:hAnsi="Aptos"/>
                <w:b w:val="0"/>
                <w:sz w:val="15"/>
              </w:rPr>
              <w:t>APP-011</w:t>
            </w:r>
          </w:p>
        </w:tc>
        <w:tc>
          <w:tcPr>
            <w:tcW w:type="dxa" w:w="3408"/>
            <w:vAlign w:val="center"/>
          </w:tcPr>
          <w:p>
            <w:pPr>
              <w:spacing w:after="0"/>
            </w:pPr>
            <w:r/>
            <w:r>
              <w:rPr>
                <w:rFonts w:ascii="Aptos" w:hAnsi="Aptos"/>
                <w:b w:val="0"/>
                <w:sz w:val="15"/>
              </w:rPr>
              <w:t>Rule publication workflow / separation of duties</w:t>
            </w:r>
          </w:p>
        </w:tc>
        <w:tc>
          <w:tcPr>
            <w:tcW w:type="dxa" w:w="3408"/>
            <w:vAlign w:val="center"/>
          </w:tcPr>
          <w:p>
            <w:pPr>
              <w:spacing w:after="0"/>
            </w:pPr>
            <w:r/>
            <w:r>
              <w:rPr>
                <w:rFonts w:ascii="Aptos" w:hAnsi="Aptos"/>
                <w:b w:val="0"/>
                <w:sz w:val="15"/>
              </w:rPr>
              <w:t>P0</w:t>
            </w:r>
          </w:p>
        </w:tc>
      </w:tr>
      <w:tr>
        <w:tc>
          <w:tcPr>
            <w:tcW w:type="dxa" w:w="3408"/>
            <w:vAlign w:val="center"/>
            <w:shd w:fill="F4F7FA"/>
          </w:tcPr>
          <w:p>
            <w:pPr>
              <w:spacing w:after="0"/>
            </w:pPr>
            <w:r/>
            <w:r>
              <w:rPr>
                <w:rFonts w:ascii="Aptos" w:hAnsi="Aptos"/>
                <w:b w:val="0"/>
                <w:sz w:val="15"/>
              </w:rPr>
              <w:t>APP-012</w:t>
            </w:r>
          </w:p>
        </w:tc>
        <w:tc>
          <w:tcPr>
            <w:tcW w:type="dxa" w:w="3408"/>
            <w:vAlign w:val="center"/>
            <w:shd w:fill="F4F7FA"/>
          </w:tcPr>
          <w:p>
            <w:pPr>
              <w:spacing w:after="0"/>
            </w:pPr>
            <w:r/>
            <w:r>
              <w:rPr>
                <w:rFonts w:ascii="Aptos" w:hAnsi="Aptos"/>
                <w:b w:val="0"/>
                <w:sz w:val="15"/>
              </w:rPr>
              <w:t>Golden regulatory regression runner</w:t>
            </w:r>
          </w:p>
        </w:tc>
        <w:tc>
          <w:tcPr>
            <w:tcW w:type="dxa" w:w="3408"/>
            <w:vAlign w:val="center"/>
            <w:shd w:fill="F4F7FA"/>
          </w:tcPr>
          <w:p>
            <w:pPr>
              <w:spacing w:after="0"/>
            </w:pPr>
            <w:r/>
            <w:r>
              <w:rPr>
                <w:rFonts w:ascii="Aptos" w:hAnsi="Aptos"/>
                <w:b w:val="0"/>
                <w:sz w:val="15"/>
              </w:rPr>
              <w:t>P0</w:t>
            </w:r>
          </w:p>
        </w:tc>
      </w:tr>
      <w:tr>
        <w:tc>
          <w:tcPr>
            <w:tcW w:type="dxa" w:w="3408"/>
            <w:vAlign w:val="center"/>
          </w:tcPr>
          <w:p>
            <w:pPr>
              <w:spacing w:after="0"/>
            </w:pPr>
            <w:r/>
            <w:r>
              <w:rPr>
                <w:rFonts w:ascii="Aptos" w:hAnsi="Aptos"/>
                <w:b w:val="0"/>
                <w:sz w:val="15"/>
              </w:rPr>
              <w:t>APP-013</w:t>
            </w:r>
          </w:p>
        </w:tc>
        <w:tc>
          <w:tcPr>
            <w:tcW w:type="dxa" w:w="3408"/>
            <w:vAlign w:val="center"/>
          </w:tcPr>
          <w:p>
            <w:pPr>
              <w:spacing w:after="0"/>
            </w:pPr>
            <w:r/>
            <w:r>
              <w:rPr>
                <w:rFonts w:ascii="Aptos" w:hAnsi="Aptos"/>
                <w:b w:val="0"/>
                <w:sz w:val="15"/>
              </w:rPr>
              <w:t>Offline published-rule snapshot behavior</w:t>
            </w:r>
          </w:p>
        </w:tc>
        <w:tc>
          <w:tcPr>
            <w:tcW w:type="dxa" w:w="3408"/>
            <w:vAlign w:val="center"/>
          </w:tcPr>
          <w:p>
            <w:pPr>
              <w:spacing w:after="0"/>
            </w:pPr>
            <w:r/>
            <w:r>
              <w:rPr>
                <w:rFonts w:ascii="Aptos" w:hAnsi="Aptos"/>
                <w:b w:val="0"/>
                <w:sz w:val="15"/>
              </w:rPr>
              <w:t>P1</w:t>
            </w:r>
          </w:p>
        </w:tc>
      </w:tr>
      <w:tr>
        <w:tc>
          <w:tcPr>
            <w:tcW w:type="dxa" w:w="3408"/>
            <w:vAlign w:val="center"/>
            <w:shd w:fill="F4F7FA"/>
          </w:tcPr>
          <w:p>
            <w:pPr>
              <w:spacing w:after="0"/>
            </w:pPr>
            <w:r/>
            <w:r>
              <w:rPr>
                <w:rFonts w:ascii="Aptos" w:hAnsi="Aptos"/>
                <w:b w:val="0"/>
                <w:sz w:val="15"/>
              </w:rPr>
              <w:t>APP-014</w:t>
            </w:r>
          </w:p>
        </w:tc>
        <w:tc>
          <w:tcPr>
            <w:tcW w:type="dxa" w:w="3408"/>
            <w:vAlign w:val="center"/>
            <w:shd w:fill="F4F7FA"/>
          </w:tcPr>
          <w:p>
            <w:pPr>
              <w:spacing w:after="0"/>
            </w:pPr>
            <w:r/>
            <w:r>
              <w:rPr>
                <w:rFonts w:ascii="Aptos" w:hAnsi="Aptos"/>
                <w:b w:val="0"/>
                <w:sz w:val="15"/>
              </w:rPr>
              <w:t>Regulatory Change Radar integration</w:t>
            </w:r>
          </w:p>
        </w:tc>
        <w:tc>
          <w:tcPr>
            <w:tcW w:type="dxa" w:w="3408"/>
            <w:vAlign w:val="center"/>
            <w:shd w:fill="F4F7FA"/>
          </w:tcPr>
          <w:p>
            <w:pPr>
              <w:spacing w:after="0"/>
            </w:pPr>
            <w:r/>
            <w:r>
              <w:rPr>
                <w:rFonts w:ascii="Aptos" w:hAnsi="Aptos"/>
                <w:b w:val="0"/>
                <w:sz w:val="15"/>
              </w:rPr>
              <w:t>P1</w:t>
            </w:r>
          </w:p>
        </w:tc>
      </w:tr>
      <w:tr>
        <w:tc>
          <w:tcPr>
            <w:tcW w:type="dxa" w:w="3408"/>
            <w:vAlign w:val="center"/>
          </w:tcPr>
          <w:p>
            <w:pPr>
              <w:spacing w:after="0"/>
            </w:pPr>
            <w:r/>
            <w:r>
              <w:rPr>
                <w:rFonts w:ascii="Aptos" w:hAnsi="Aptos"/>
                <w:b w:val="0"/>
                <w:sz w:val="15"/>
              </w:rPr>
              <w:t>APP-015</w:t>
            </w:r>
          </w:p>
        </w:tc>
        <w:tc>
          <w:tcPr>
            <w:tcW w:type="dxa" w:w="3408"/>
            <w:vAlign w:val="center"/>
          </w:tcPr>
          <w:p>
            <w:pPr>
              <w:spacing w:after="0"/>
            </w:pPr>
            <w:r/>
            <w:r>
              <w:rPr>
                <w:rFonts w:ascii="Aptos" w:hAnsi="Aptos"/>
                <w:b w:val="0"/>
                <w:sz w:val="15"/>
              </w:rPr>
              <w:t>185-screen / 2.126-field activation binding validation</w:t>
            </w:r>
          </w:p>
        </w:tc>
        <w:tc>
          <w:tcPr>
            <w:tcW w:type="dxa" w:w="3408"/>
            <w:vAlign w:val="center"/>
          </w:tcPr>
          <w:p>
            <w:pPr>
              <w:spacing w:after="0"/>
            </w:pPr>
            <w:r/>
            <w:r>
              <w:rPr>
                <w:rFonts w:ascii="Aptos" w:hAnsi="Aptos"/>
                <w:b w:val="0"/>
                <w:sz w:val="15"/>
              </w:rPr>
              <w:t>P0</w:t>
            </w:r>
          </w:p>
        </w:tc>
      </w:tr>
    </w:tbl>
    <w:p>
      <w:pPr>
        <w:pStyle w:val="Heading1"/>
      </w:pPr>
      <w:r>
        <w:t>26. Dosya ve Teknik Sözleşmeler</w:t>
      </w:r>
    </w:p>
    <w:p>
      <w:pPr>
        <w:pStyle w:val="ListBullet"/>
        <w:spacing w:after="40"/>
      </w:pPr>
      <w:r>
        <w:t>POSEIDON_v46.2_Applicability_Rule_DSL.schema.json — rule JSON Schema.</w:t>
      </w:r>
    </w:p>
    <w:p>
      <w:pPr>
        <w:pStyle w:val="ListBullet"/>
        <w:spacing w:after="40"/>
      </w:pPr>
      <w:r>
        <w:t>POSEIDON_v46.2_Applicability_Rules_Sample.json — Gemi/Römorkör örnek kurallar.</w:t>
      </w:r>
    </w:p>
    <w:p>
      <w:pPr>
        <w:pStyle w:val="ListBullet"/>
        <w:spacing w:after="40"/>
      </w:pPr>
      <w:r>
        <w:t>POSEIDON_v46.2_Applicability_Evaluation_Request_Sample.json — örnek evaluation request.</w:t>
      </w:r>
    </w:p>
    <w:p>
      <w:pPr>
        <w:pStyle w:val="ListBullet"/>
        <w:spacing w:after="40"/>
      </w:pPr>
      <w:r>
        <w:t>POSEIDON_v46.2_Applicability_Evaluation_Response_Sample.json — explainable evaluation response.</w:t>
      </w:r>
    </w:p>
    <w:p>
      <w:pPr>
        <w:pStyle w:val="ListBullet"/>
        <w:spacing w:after="40"/>
      </w:pPr>
      <w:r>
        <w:t>POSEIDON_v46.2_Dynamic_Applicability_Engine_Decision_Matrix_TR.xlsx — input/rule/API/golden-test/simulator referansı.</w:t>
      </w:r>
    </w:p>
    <w:p>
      <w:pPr>
        <w:pStyle w:val="Heading1"/>
      </w:pPr>
      <w:r>
        <w:t>27. Kaynak Notları</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5"/>
              </w:rPr>
              <w:t>Kaynak</w:t>
            </w:r>
          </w:p>
        </w:tc>
        <w:tc>
          <w:tcPr>
            <w:tcW w:type="dxa" w:w="5112"/>
            <w:vAlign w:val="center"/>
            <w:shd w:fill="17365D"/>
          </w:tcPr>
          <w:p>
            <w:pPr>
              <w:spacing w:after="0"/>
            </w:pPr>
            <w:r/>
            <w:r>
              <w:rPr>
                <w:rFonts w:ascii="Aptos" w:hAnsi="Aptos"/>
                <w:b/>
                <w:color w:val="FFFFFF"/>
                <w:sz w:val="15"/>
              </w:rPr>
              <w:t>Güncel kontrol</w:t>
            </w:r>
          </w:p>
        </w:tc>
      </w:tr>
      <w:tr>
        <w:tc>
          <w:tcPr>
            <w:tcW w:type="dxa" w:w="5112"/>
            <w:vAlign w:val="center"/>
          </w:tcPr>
          <w:p>
            <w:pPr>
              <w:spacing w:after="0"/>
            </w:pPr>
            <w:r/>
            <w:r>
              <w:rPr>
                <w:rFonts w:ascii="Aptos" w:hAnsi="Aptos"/>
                <w:b w:val="0"/>
                <w:sz w:val="15"/>
              </w:rPr>
              <w:t>IMO STCW</w:t>
            </w:r>
          </w:p>
        </w:tc>
        <w:tc>
          <w:tcPr>
            <w:tcW w:type="dxa" w:w="5112"/>
            <w:vAlign w:val="center"/>
          </w:tcPr>
          <w:p>
            <w:pPr>
              <w:spacing w:after="0"/>
            </w:pPr>
            <w:r/>
            <w:r>
              <w:rPr>
                <w:rFonts w:ascii="Aptos" w:hAnsi="Aptos"/>
                <w:b w:val="0"/>
                <w:sz w:val="15"/>
              </w:rPr>
              <w:t>IMO current publications list 2026 Edition'ın 30 Temmuz 2026'da yayımlandığını gösteriyor.</w:t>
            </w:r>
          </w:p>
        </w:tc>
      </w:tr>
      <w:tr>
        <w:tc>
          <w:tcPr>
            <w:tcW w:type="dxa" w:w="5112"/>
            <w:vAlign w:val="center"/>
            <w:shd w:fill="F4F7FA"/>
          </w:tcPr>
          <w:p>
            <w:pPr>
              <w:spacing w:after="0"/>
            </w:pPr>
            <w:r/>
            <w:r>
              <w:rPr>
                <w:rFonts w:ascii="Aptos" w:hAnsi="Aptos"/>
                <w:b w:val="0"/>
                <w:sz w:val="15"/>
              </w:rPr>
              <w:t>IMO Cyber</w:t>
            </w:r>
          </w:p>
        </w:tc>
        <w:tc>
          <w:tcPr>
            <w:tcW w:type="dxa" w:w="5112"/>
            <w:vAlign w:val="center"/>
            <w:shd w:fill="F4F7FA"/>
          </w:tcPr>
          <w:p>
            <w:pPr>
              <w:spacing w:after="0"/>
            </w:pPr>
            <w:r/>
            <w:r>
              <w:rPr>
                <w:rFonts w:ascii="Aptos" w:hAnsi="Aptos"/>
                <w:b w:val="0"/>
                <w:sz w:val="15"/>
              </w:rPr>
              <w:t>Current IMO guidance list MSC-FAL.1/Circ.3/Rev.4'ü işaret ediyor; ayrı IMO sayfalarında Rev.3 2025 metni de bulunuyor, source governance exact version/ref'i kontrollü tutmalı.</w:t>
            </w:r>
          </w:p>
        </w:tc>
      </w:tr>
      <w:tr>
        <w:tc>
          <w:tcPr>
            <w:tcW w:type="dxa" w:w="5112"/>
            <w:vAlign w:val="center"/>
          </w:tcPr>
          <w:p>
            <w:pPr>
              <w:spacing w:after="0"/>
            </w:pPr>
            <w:r/>
            <w:r>
              <w:rPr>
                <w:rFonts w:ascii="Aptos" w:hAnsi="Aptos"/>
                <w:b w:val="0"/>
                <w:sz w:val="15"/>
              </w:rPr>
              <w:t>UAB Römorkörcülük</w:t>
            </w:r>
          </w:p>
        </w:tc>
        <w:tc>
          <w:tcPr>
            <w:tcW w:type="dxa" w:w="5112"/>
            <w:vAlign w:val="center"/>
          </w:tcPr>
          <w:p>
            <w:pPr>
              <w:spacing w:after="0"/>
            </w:pPr>
            <w:r/>
            <w:r>
              <w:rPr>
                <w:rFonts w:ascii="Aptos" w:hAnsi="Aptos"/>
                <w:b w:val="0"/>
                <w:sz w:val="15"/>
              </w:rPr>
              <w:t>UAB current page 11.02.2025 / 32810 yönetmeliği ve 2026 ihale hizmet sahalarını doğruluyor.</w:t>
            </w:r>
          </w:p>
        </w:tc>
      </w:tr>
      <w:tr>
        <w:tc>
          <w:tcPr>
            <w:tcW w:type="dxa" w:w="5112"/>
            <w:vAlign w:val="center"/>
            <w:shd w:fill="F4F7FA"/>
          </w:tcPr>
          <w:p>
            <w:pPr>
              <w:spacing w:after="0"/>
            </w:pPr>
            <w:r/>
            <w:r>
              <w:rPr>
                <w:rFonts w:ascii="Aptos" w:hAnsi="Aptos"/>
                <w:b w:val="0"/>
                <w:sz w:val="15"/>
              </w:rPr>
              <w:t>UAB Donatım</w:t>
            </w:r>
          </w:p>
        </w:tc>
        <w:tc>
          <w:tcPr>
            <w:tcW w:type="dxa" w:w="5112"/>
            <w:vAlign w:val="center"/>
            <w:shd w:fill="F4F7FA"/>
          </w:tcPr>
          <w:p>
            <w:pPr>
              <w:spacing w:after="0"/>
            </w:pPr>
            <w:r/>
            <w:r>
              <w:rPr>
                <w:rFonts w:ascii="Aptos" w:hAnsi="Aptos"/>
                <w:b w:val="0"/>
                <w:sz w:val="15"/>
              </w:rPr>
              <w:t>UAB halen mevcut Gemilerin Gemiadamları ile Donatılmasına İlişkin Yönerge PDF'ini yayımlıyor; replacement-draft lifecycle ayrıca izlenmeli.</w:t>
            </w:r>
          </w:p>
        </w:tc>
      </w:tr>
      <w:tr>
        <w:tc>
          <w:tcPr>
            <w:tcW w:type="dxa" w:w="5112"/>
            <w:vAlign w:val="center"/>
          </w:tcPr>
          <w:p>
            <w:pPr>
              <w:spacing w:after="0"/>
            </w:pPr>
            <w:r/>
            <w:r>
              <w:rPr>
                <w:rFonts w:ascii="Aptos" w:hAnsi="Aptos"/>
                <w:b w:val="0"/>
                <w:sz w:val="15"/>
              </w:rPr>
              <w:t>IACS M79/Z18</w:t>
            </w:r>
          </w:p>
        </w:tc>
        <w:tc>
          <w:tcPr>
            <w:tcW w:type="dxa" w:w="5112"/>
            <w:vAlign w:val="center"/>
          </w:tcPr>
          <w:p>
            <w:pPr>
              <w:spacing w:after="0"/>
            </w:pPr>
            <w:r/>
            <w:r>
              <w:rPr>
                <w:rFonts w:ascii="Aptos" w:hAnsi="Aptos"/>
                <w:b w:val="0"/>
                <w:sz w:val="15"/>
              </w:rPr>
              <w:t>Class-specific rule pack actual pilot class/build/config ile aktive edilmeli.</w:t>
            </w:r>
          </w:p>
        </w:tc>
      </w:tr>
    </w:tbl>
    <w:p>
      <w:pPr>
        <w:pStyle w:val="Heading1"/>
      </w:pPr>
      <w:r>
        <w:t>28. Son Karar</w:t>
      </w:r>
    </w:p>
    <w:p>
      <w:r>
        <w:rPr>
          <w:b/>
        </w:rPr>
        <w:t>POSEIDON v46.2'de applicability motoru bir 'if/else ekran gizleme' mekanizması değildir. Kaynak sürümünü, uygulanabilirlik belirsizliğini, operational control'ü, evidence ve human authority'yi aynı trace üzerinde yöneten regulatory decision infrastructure'dır. Gemi ve Römorkör modlarının ortak çekirdeği bu motorla paylaşılır; yalnız bağlama uygun rule pack'ler aktive edilir.</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Controlled Candidate • GEMİ + RÖMORKÖR • 4 Ekim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F5F5F"/>
        <w:sz w:val="16"/>
      </w:rPr>
      <w:t>POSEIDON v46.2 | Dynamic Applicability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