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POSEIDON HSE Çalışma İzni ve</w:t>
        <w:br/>
        <w:t>Risk Değerlendirme Form Tasarımı</w:t>
      </w:r>
    </w:p>
    <w:p>
      <w:pPr>
        <w:widowControl/>
      </w:pPr>
      <w:r>
        <w:t>v46.3  |  Doküman 50.01  |  29 Ekim 2026  |  PROPOSAL</w:t>
      </w:r>
    </w:p>
    <w:p>
      <w:pPr>
        <w:widowControl/>
      </w:pPr>
      <w:r>
        <w:rPr>
          <w:b/>
        </w:rPr>
        <w:t>Karar önerisi:</w:t>
      </w:r>
      <w:r>
        <w:t xml:space="preserve"> İSG içindeki mevcut risk modüllerini görünür ve kullanılabilir hale getirin; işe özel risk değerlendirmesini, izin önkoşullarını ve yetkili insan kararını bağlantılı fakat ayrı kayıtlar olarak tasarlayın. Bu belge ürün sahibi, denizcilik/İSG uzmanı ve uygulama ekibinin incelemesi içindir. Operasyon talimatı, çalışma izni, tamamlanmış yazılım veya hukuki kabul değildir.</w:t>
      </w:r>
    </w:p>
    <w:p>
      <w:pPr>
        <w:pStyle w:val="Heading1"/>
        <w:pageBreakBefore w:val="0"/>
        <w:widowControl/>
      </w:pPr>
      <w:r>
        <w:t>1 Doğrulanan boşluk ve güvenli başlangıç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208"/>
      </w:tblGrid>
      <w:tr>
        <w:trPr>
          <w:cantSplit/>
          <w:tblHeader/>
        </w:trPr>
        <w:tc>
          <w:tcPr>
            <w:tcW w:type="dxa" w:w="2016"/>
            <w:vAlign w:val="center"/>
            <w:shd w:fill="E8EDF2"/>
            <w:tcMar>
              <w:top w:w="90" w:type="dxa"/>
              <w:left w:w="90" w:type="dxa"/>
              <w:bottom w:w="90" w:type="dxa"/>
              <w:right w:w="90" w:type="dxa"/>
            </w:tcMar>
          </w:tcPr>
          <w:p>
            <w:pPr>
              <w:spacing w:line="247" w:lineRule="auto" w:after="40"/>
            </w:pPr>
            <w:r>
              <w:rPr>
                <w:b/>
                <w:sz w:val="20"/>
              </w:rPr>
              <w:t>Kaynakta bulunan</w:t>
            </w:r>
          </w:p>
        </w:tc>
        <w:tc>
          <w:tcPr>
            <w:tcW w:type="dxa" w:w="8208"/>
            <w:vAlign w:val="center"/>
            <w:shd w:fill="E8EDF2"/>
            <w:tcMar>
              <w:top w:w="90" w:type="dxa"/>
              <w:left w:w="90" w:type="dxa"/>
              <w:bottom w:w="90" w:type="dxa"/>
              <w:right w:w="90" w:type="dxa"/>
            </w:tcMar>
          </w:tcPr>
          <w:p>
            <w:pPr>
              <w:spacing w:line="247" w:lineRule="auto" w:after="40"/>
            </w:pPr>
            <w:r>
              <w:rPr>
                <w:b/>
                <w:sz w:val="20"/>
              </w:rPr>
              <w:t>Sınır ve tasarım sonucu</w:t>
            </w:r>
          </w:p>
        </w:tc>
      </w:tr>
      <w:tr>
        <w:trPr>
          <w:cantSplit/>
        </w:trPr>
        <w:tc>
          <w:tcPr>
            <w:tcW w:type="dxa" w:w="2016"/>
            <w:vAlign w:val="center"/>
            <w:shd w:fill="FFFFFF"/>
            <w:tcMar>
              <w:top w:w="90" w:type="dxa"/>
              <w:left w:w="90" w:type="dxa"/>
              <w:bottom w:w="90" w:type="dxa"/>
              <w:right w:w="90" w:type="dxa"/>
            </w:tcMar>
          </w:tcPr>
          <w:p>
            <w:pPr>
              <w:spacing w:line="247" w:lineRule="auto" w:after="40"/>
            </w:pPr>
            <w:r>
              <w:rPr>
                <w:b w:val="0"/>
                <w:sz w:val="20"/>
              </w:rPr>
              <w:t>RiskAssessment</w:t>
            </w:r>
          </w:p>
        </w:tc>
        <w:tc>
          <w:tcPr>
            <w:tcW w:type="dxa" w:w="8208"/>
            <w:vAlign w:val="center"/>
            <w:shd w:fill="FFFFFF"/>
            <w:tcMar>
              <w:top w:w="90" w:type="dxa"/>
              <w:left w:w="90" w:type="dxa"/>
              <w:bottom w:w="90" w:type="dxa"/>
              <w:right w:w="90" w:type="dxa"/>
            </w:tcMar>
          </w:tcPr>
          <w:p>
            <w:pPr>
              <w:spacing w:line="247" w:lineRule="auto" w:after="40"/>
            </w:pPr>
            <w:r>
              <w:rPr>
                <w:b w:val="0"/>
                <w:sz w:val="20"/>
              </w:rPr>
              <w:t>risk-assessment ekranında 20 alan mevcut; özel çok satırlı JSA formu değil.</w:t>
            </w:r>
          </w:p>
        </w:tc>
      </w:tr>
      <w:tr>
        <w:trPr>
          <w:cantSplit/>
        </w:trPr>
        <w:tc>
          <w:tcPr>
            <w:tcW w:type="dxa" w:w="2016"/>
            <w:vAlign w:val="center"/>
            <w:shd w:fill="FFFFFF"/>
            <w:tcMar>
              <w:top w:w="90" w:type="dxa"/>
              <w:left w:w="90" w:type="dxa"/>
              <w:bottom w:w="90" w:type="dxa"/>
              <w:right w:w="90" w:type="dxa"/>
            </w:tcMar>
          </w:tcPr>
          <w:p>
            <w:pPr>
              <w:spacing w:line="247" w:lineRule="auto" w:after="40"/>
            </w:pPr>
            <w:r>
              <w:rPr>
                <w:b w:val="0"/>
                <w:sz w:val="20"/>
              </w:rPr>
              <w:t>RiskTemplate</w:t>
            </w:r>
          </w:p>
        </w:tc>
        <w:tc>
          <w:tcPr>
            <w:tcW w:type="dxa" w:w="8208"/>
            <w:vAlign w:val="center"/>
            <w:shd w:fill="FFFFFF"/>
            <w:tcMar>
              <w:top w:w="90" w:type="dxa"/>
              <w:left w:w="90" w:type="dxa"/>
              <w:bottom w:w="90" w:type="dxa"/>
              <w:right w:w="90" w:type="dxa"/>
            </w:tcMar>
          </w:tcPr>
          <w:p>
            <w:pPr>
              <w:spacing w:line="247" w:lineRule="auto" w:after="40"/>
            </w:pPr>
            <w:r>
              <w:rPr>
                <w:b w:val="0"/>
                <w:sz w:val="20"/>
              </w:rPr>
              <w:t>risk-template-library ekranında 14 alan mevcut; şablon ile fiili değerlendirme ayrı.</w:t>
            </w:r>
          </w:p>
        </w:tc>
      </w:tr>
      <w:tr>
        <w:trPr>
          <w:cantSplit/>
        </w:trPr>
        <w:tc>
          <w:tcPr>
            <w:tcW w:type="dxa" w:w="2016"/>
            <w:vAlign w:val="center"/>
            <w:shd w:fill="FFFFFF"/>
            <w:tcMar>
              <w:top w:w="90" w:type="dxa"/>
              <w:left w:w="90" w:type="dxa"/>
              <w:bottom w:w="90" w:type="dxa"/>
              <w:right w:w="90" w:type="dxa"/>
            </w:tcMar>
          </w:tcPr>
          <w:p>
            <w:pPr>
              <w:spacing w:line="247" w:lineRule="auto" w:after="40"/>
            </w:pPr>
            <w:r>
              <w:rPr>
                <w:b w:val="0"/>
                <w:sz w:val="20"/>
              </w:rPr>
              <w:t>HighRiskWork</w:t>
            </w:r>
          </w:p>
        </w:tc>
        <w:tc>
          <w:tcPr>
            <w:tcW w:type="dxa" w:w="8208"/>
            <w:vAlign w:val="center"/>
            <w:shd w:fill="FFFFFF"/>
            <w:tcMar>
              <w:top w:w="90" w:type="dxa"/>
              <w:left w:w="90" w:type="dxa"/>
              <w:bottom w:w="90" w:type="dxa"/>
              <w:right w:w="90" w:type="dxa"/>
            </w:tcMar>
          </w:tcPr>
          <w:p>
            <w:pPr>
              <w:spacing w:line="247" w:lineRule="auto" w:after="40"/>
            </w:pPr>
            <w:r>
              <w:rPr>
                <w:b w:val="0"/>
                <w:sz w:val="20"/>
              </w:rPr>
              <w:t>high-risk-work ekranında 12 alan mevcut; izin/RA/işlerden türeyen projection, ikinci izin kaydı değil.</w:t>
            </w:r>
          </w:p>
        </w:tc>
      </w:tr>
      <w:tr>
        <w:trPr>
          <w:cantSplit/>
        </w:trPr>
        <w:tc>
          <w:tcPr>
            <w:tcW w:type="dxa" w:w="2016"/>
            <w:vAlign w:val="center"/>
            <w:shd w:fill="FFFFFF"/>
            <w:tcMar>
              <w:top w:w="90" w:type="dxa"/>
              <w:left w:w="90" w:type="dxa"/>
              <w:bottom w:w="90" w:type="dxa"/>
              <w:right w:w="90" w:type="dxa"/>
            </w:tcMar>
          </w:tcPr>
          <w:p>
            <w:pPr>
              <w:spacing w:line="247" w:lineRule="auto" w:after="40"/>
            </w:pPr>
            <w:r>
              <w:rPr>
                <w:b w:val="0"/>
                <w:sz w:val="20"/>
              </w:rPr>
              <w:t>Permit</w:t>
            </w:r>
          </w:p>
        </w:tc>
        <w:tc>
          <w:tcPr>
            <w:tcW w:type="dxa" w:w="8208"/>
            <w:vAlign w:val="center"/>
            <w:shd w:fill="FFFFFF"/>
            <w:tcMar>
              <w:top w:w="90" w:type="dxa"/>
              <w:left w:w="90" w:type="dxa"/>
              <w:bottom w:w="90" w:type="dxa"/>
              <w:right w:w="90" w:type="dxa"/>
            </w:tcMar>
          </w:tcPr>
          <w:p>
            <w:pPr>
              <w:spacing w:line="247" w:lineRule="auto" w:after="40"/>
            </w:pPr>
            <w:r>
              <w:rPr>
                <w:b w:val="0"/>
                <w:sz w:val="20"/>
              </w:rPr>
              <w:t>14.01 mimaride ve 16.01 /api/v1/permits taslağında kavram var; kapalı form/command lifecycle veya runtime store/route yok.</w:t>
            </w:r>
          </w:p>
        </w:tc>
      </w:tr>
    </w:tbl>
    <w:p>
      <w:pPr>
        <w:widowControl/>
        <w:spacing w:after="60" w:line="240" w:lineRule="auto"/>
      </w:pPr>
      <w:r>
        <w:rPr>
          <w:sz w:val="2"/>
        </w:rPr>
        <w:t xml:space="preserve"> </w:t>
      </w:r>
    </w:p>
    <w:p>
      <w:pPr>
        <w:widowControl/>
      </w:pPr>
      <w:r>
        <w:t>Toplam 46 kaynak alanı 20 + 14 + 12’dir. 13.06’daki altı ekran/50 alan toplamıyla karıştırılmaz; MOC dört alanı ve iki sıfır-alanlı projection ayrı bağlamdır. 12.01 HTML’de üç risk ekranı SCREENS/FIELDS içinde tanımlı fakat GROUPS dışında kalır. Menü ve menü araması bu grupları kullanır. Generic form yalnız ilk 12 alanı önizler; bu, tamamlanmış risk formu değildir.</w:t>
      </w:r>
    </w:p>
    <w:p>
      <w:pPr>
        <w:widowControl/>
      </w:pPr>
      <w:r>
        <w:t>Bu görünürlük sonucu statik kaynak incelemesidir; kullanıcının açtığı dosyanın kimliği veya canlı tarayıcı kabulü değildir. Mevcut 151 dosyalık dd504631 kaynağında HSE izin/RA runtime uygulaması yoktur. Alan ve API adı bulunması çalışan modül, yetki veya güvenlik kontrolü kanıtı sayılmaz.</w:t>
      </w:r>
    </w:p>
    <w:p>
      <w:pPr>
        <w:widowControl/>
      </w:pPr>
      <w:r>
        <w:t>HSE-P2-01 kararı: P0 yalnız DEMO/idari hazırlık olarak kalır. Açılacak her izin ailesi için uygulanabilir risk/SMS önkoşulları, izolasyon, SIMOPS, yetkin roller ve güncel kanıt denetimleri tamamlanmadan etkin operasyon yetkilendirmesi sunulmaz. P1 ek aileleri veya UX’i sıralayabilir; açılmış ailenin emniyet önkoşullarını sonraya bırakamaz.</w:t>
      </w:r>
    </w:p>
    <w:p>
      <w:pPr>
        <w:widowControl/>
      </w:pPr>
      <w:r>
        <w:t>HSE-C01 ve HSE-C02 kararları: İlgili risk/koşul değişimi etkin yetkiyi askıya alır veya geçersiz kılar; yeşil ACTIVE üzerine uyarı yeterli değildir. Eski cache’teki ACTIVE, güncel yetki kanıtı değildir. Otomatik devam, yenileme veya yeniden senkronizasyonla yetki açılması yoktur.</w:t>
      </w:r>
    </w:p>
    <w:p>
      <w:pPr>
        <w:pStyle w:val="Heading1"/>
        <w:pageBreakBefore/>
        <w:widowControl/>
      </w:pPr>
      <w:r>
        <w:t>2 Alan modeli ve mevcut kimliklerin korunması</w:t>
      </w:r>
    </w:p>
    <w:p>
      <w:pPr>
        <w:widowControl/>
      </w:pPr>
      <w:r>
        <w:t>Mevcut risk-assessment, risk-template-library ve high-risk-work ekran kimlikleri korunur. HSE menüsünde Risk Değerlendirmeleri ve İş İzinleri açık girişler olur; PTW tek canonical Permit kaydı olarak gemi operasyonu, römorkör işi ve bakım iş emrine bağlanır. Aynı izin farklı menülerde gösterildi diye ikinci nesne veya bağımsız onay oluşmaz.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E8EDF2"/>
            <w:tcMar>
              <w:top w:w="90" w:type="dxa"/>
              <w:left w:w="90" w:type="dxa"/>
              <w:bottom w:w="90" w:type="dxa"/>
              <w:right w:w="90" w:type="dxa"/>
            </w:tcMar>
          </w:tcPr>
          <w:p>
            <w:pPr>
              <w:spacing w:line="247" w:lineRule="auto" w:after="40"/>
            </w:pPr>
            <w:r>
              <w:rPr>
                <w:b/>
                <w:sz w:val="20"/>
              </w:rPr>
              <w:t>Nesne</w:t>
            </w:r>
          </w:p>
        </w:tc>
        <w:tc>
          <w:tcPr>
            <w:tcW w:type="dxa" w:w="7992"/>
            <w:vAlign w:val="center"/>
            <w:shd w:fill="E8EDF2"/>
            <w:tcMar>
              <w:top w:w="90" w:type="dxa"/>
              <w:left w:w="90" w:type="dxa"/>
              <w:bottom w:w="90" w:type="dxa"/>
              <w:right w:w="90" w:type="dxa"/>
            </w:tcMar>
          </w:tcPr>
          <w:p>
            <w:pPr>
              <w:spacing w:line="247" w:lineRule="auto" w:after="40"/>
            </w:pPr>
            <w:r>
              <w:rPr>
                <w:b/>
                <w:sz w:val="20"/>
              </w:rPr>
              <w:t>Amaç ve bağlantı</w:t>
            </w:r>
          </w:p>
        </w:tc>
      </w:tr>
      <w:tr>
        <w:trPr>
          <w:cantSplit/>
        </w:trPr>
        <w:tc>
          <w:tcPr>
            <w:tcW w:type="dxa" w:w="2232"/>
            <w:vAlign w:val="center"/>
            <w:shd w:fill="FFFFFF"/>
            <w:tcMar>
              <w:top w:w="90" w:type="dxa"/>
              <w:left w:w="90" w:type="dxa"/>
              <w:bottom w:w="90" w:type="dxa"/>
              <w:right w:w="90" w:type="dxa"/>
            </w:tcMar>
          </w:tcPr>
          <w:p>
            <w:pPr>
              <w:spacing w:line="247" w:lineRule="auto" w:after="40"/>
            </w:pPr>
            <w:r>
              <w:rPr>
                <w:b w:val="0"/>
                <w:sz w:val="20"/>
              </w:rPr>
              <w:t>Temel risk değerlendirmesi</w:t>
            </w:r>
          </w:p>
        </w:tc>
        <w:tc>
          <w:tcPr>
            <w:tcW w:type="dxa" w:w="7992"/>
            <w:vAlign w:val="center"/>
            <w:shd w:fill="FFFFFF"/>
            <w:tcMar>
              <w:top w:w="90" w:type="dxa"/>
              <w:left w:w="90" w:type="dxa"/>
              <w:bottom w:w="90" w:type="dxa"/>
              <w:right w:w="90" w:type="dxa"/>
            </w:tcMar>
          </w:tcPr>
          <w:p>
            <w:pPr>
              <w:spacing w:line="247" w:lineRule="auto" w:after="40"/>
            </w:pPr>
            <w:r>
              <w:rPr>
                <w:b w:val="0"/>
                <w:sz w:val="20"/>
              </w:rPr>
              <w:t>İşyeri/gemi/şirket faaliyet kapsamı, ekip, yöntem ve gözden geçirme revision’ı. Tek işin çalışma izni değildir.</w:t>
            </w:r>
          </w:p>
        </w:tc>
      </w:tr>
      <w:tr>
        <w:trPr>
          <w:cantSplit/>
        </w:trPr>
        <w:tc>
          <w:tcPr>
            <w:tcW w:type="dxa" w:w="2232"/>
            <w:vAlign w:val="center"/>
            <w:shd w:fill="FFFFFF"/>
            <w:tcMar>
              <w:top w:w="90" w:type="dxa"/>
              <w:left w:w="90" w:type="dxa"/>
              <w:bottom w:w="90" w:type="dxa"/>
              <w:right w:w="90" w:type="dxa"/>
            </w:tcMar>
          </w:tcPr>
          <w:p>
            <w:pPr>
              <w:spacing w:line="247" w:lineRule="auto" w:after="40"/>
            </w:pPr>
            <w:r>
              <w:rPr>
                <w:b w:val="0"/>
                <w:sz w:val="20"/>
              </w:rPr>
              <w:t>İşe özel RA ve JSA</w:t>
            </w:r>
          </w:p>
        </w:tc>
        <w:tc>
          <w:tcPr>
            <w:tcW w:type="dxa" w:w="7992"/>
            <w:vAlign w:val="center"/>
            <w:shd w:fill="FFFFFF"/>
            <w:tcMar>
              <w:top w:w="90" w:type="dxa"/>
              <w:left w:w="90" w:type="dxa"/>
              <w:bottom w:w="90" w:type="dxa"/>
              <w:right w:w="90" w:type="dxa"/>
            </w:tcMar>
          </w:tcPr>
          <w:p>
            <w:pPr>
              <w:spacing w:line="247" w:lineRule="auto" w:after="40"/>
            </w:pPr>
            <w:r>
              <w:rPr>
                <w:b w:val="0"/>
                <w:sz w:val="20"/>
              </w:rPr>
              <w:t>Belirli gemi, iş, mahal ve koşullar için adım/tehlike/kontrol satırları. Baseline ve şablonun id+revision’ına bağlanır.</w:t>
            </w:r>
          </w:p>
        </w:tc>
      </w:tr>
      <w:tr>
        <w:trPr>
          <w:cantSplit/>
        </w:trPr>
        <w:tc>
          <w:tcPr>
            <w:tcW w:type="dxa" w:w="2232"/>
            <w:vAlign w:val="center"/>
            <w:shd w:fill="FFFFFF"/>
            <w:tcMar>
              <w:top w:w="90" w:type="dxa"/>
              <w:left w:w="90" w:type="dxa"/>
              <w:bottom w:w="90" w:type="dxa"/>
              <w:right w:w="90" w:type="dxa"/>
            </w:tcMar>
          </w:tcPr>
          <w:p>
            <w:pPr>
              <w:spacing w:line="247" w:lineRule="auto" w:after="40"/>
            </w:pPr>
            <w:r>
              <w:rPr>
                <w:b w:val="0"/>
                <w:sz w:val="20"/>
              </w:rPr>
              <w:t>Dinamik değerlendirme</w:t>
            </w:r>
          </w:p>
        </w:tc>
        <w:tc>
          <w:tcPr>
            <w:tcW w:type="dxa" w:w="7992"/>
            <w:vAlign w:val="center"/>
            <w:shd w:fill="FFFFFF"/>
            <w:tcMar>
              <w:top w:w="90" w:type="dxa"/>
              <w:left w:w="90" w:type="dxa"/>
              <w:bottom w:w="90" w:type="dxa"/>
              <w:right w:w="90" w:type="dxa"/>
            </w:tcMar>
          </w:tcPr>
          <w:p>
            <w:pPr>
              <w:spacing w:line="247" w:lineRule="auto" w:after="40"/>
            </w:pPr>
            <w:r>
              <w:rPr>
                <w:b w:val="0"/>
                <w:sz w:val="20"/>
              </w:rPr>
              <w:t>İş öncesi/sırası gözlem, değişiklik, durdurma ve yeniden inceleme ihtiyacı. Formal JSA veya PTW’nin yerine geçmez.</w:t>
            </w:r>
          </w:p>
        </w:tc>
      </w:tr>
      <w:tr>
        <w:trPr>
          <w:cantSplit/>
        </w:trPr>
        <w:tc>
          <w:tcPr>
            <w:tcW w:type="dxa" w:w="2232"/>
            <w:vAlign w:val="center"/>
            <w:shd w:fill="FFFFFF"/>
            <w:tcMar>
              <w:top w:w="90" w:type="dxa"/>
              <w:left w:w="90" w:type="dxa"/>
              <w:bottom w:w="90" w:type="dxa"/>
              <w:right w:w="90" w:type="dxa"/>
            </w:tcMar>
          </w:tcPr>
          <w:p>
            <w:pPr>
              <w:spacing w:line="247" w:lineRule="auto" w:after="40"/>
            </w:pPr>
            <w:r>
              <w:rPr>
                <w:b w:val="0"/>
                <w:sz w:val="20"/>
              </w:rPr>
              <w:t>Permit to Work</w:t>
            </w:r>
          </w:p>
        </w:tc>
        <w:tc>
          <w:tcPr>
            <w:tcW w:type="dxa" w:w="7992"/>
            <w:vAlign w:val="center"/>
            <w:shd w:fill="FFFFFF"/>
            <w:tcMar>
              <w:top w:w="90" w:type="dxa"/>
              <w:left w:w="90" w:type="dxa"/>
              <w:bottom w:w="90" w:type="dxa"/>
              <w:right w:w="90" w:type="dxa"/>
            </w:tcMar>
          </w:tcPr>
          <w:p>
            <w:pPr>
              <w:spacing w:line="247" w:lineRule="auto" w:after="40"/>
            </w:pPr>
            <w:r>
              <w:rPr>
                <w:b w:val="0"/>
                <w:sz w:val="20"/>
              </w:rPr>
              <w:t>Tanımlı iş/yer/zaman/ekip ve tam RA revision’ına bağlı insan yetkilendirmesi; RA onayı izin onayı değildir.</w:t>
            </w:r>
          </w:p>
        </w:tc>
      </w:tr>
      <w:tr>
        <w:trPr>
          <w:cantSplit/>
        </w:trPr>
        <w:tc>
          <w:tcPr>
            <w:tcW w:type="dxa" w:w="2232"/>
            <w:vAlign w:val="center"/>
            <w:shd w:fill="FFFFFF"/>
            <w:tcMar>
              <w:top w:w="90" w:type="dxa"/>
              <w:left w:w="90" w:type="dxa"/>
              <w:bottom w:w="90" w:type="dxa"/>
              <w:right w:w="90" w:type="dxa"/>
            </w:tcMar>
          </w:tcPr>
          <w:p>
            <w:pPr>
              <w:spacing w:line="247" w:lineRule="auto" w:after="40"/>
            </w:pPr>
            <w:r>
              <w:rPr>
                <w:b w:val="0"/>
                <w:sz w:val="20"/>
              </w:rPr>
              <w:t>RiskTemplate ve yöntem profili</w:t>
            </w:r>
          </w:p>
        </w:tc>
        <w:tc>
          <w:tcPr>
            <w:tcW w:type="dxa" w:w="7992"/>
            <w:vAlign w:val="center"/>
            <w:shd w:fill="FFFFFF"/>
            <w:tcMar>
              <w:top w:w="90" w:type="dxa"/>
              <w:left w:w="90" w:type="dxa"/>
              <w:bottom w:w="90" w:type="dxa"/>
              <w:right w:w="90" w:type="dxa"/>
            </w:tcMar>
          </w:tcPr>
          <w:p>
            <w:pPr>
              <w:spacing w:line="247" w:lineRule="auto" w:after="40"/>
            </w:pPr>
            <w:r>
              <w:rPr>
                <w:b w:val="0"/>
                <w:sz w:val="20"/>
              </w:rPr>
              <w:t>Tekrar kullanılabilir sürümlü içerik ve risk yöntemi. Yeni işe kopyalanınca inceleme yapılmadan onaylı olmaz.</w:t>
            </w:r>
          </w:p>
        </w:tc>
      </w:tr>
      <w:tr>
        <w:trPr>
          <w:cantSplit/>
        </w:trPr>
        <w:tc>
          <w:tcPr>
            <w:tcW w:type="dxa" w:w="2232"/>
            <w:vAlign w:val="center"/>
            <w:shd w:fill="FFFFFF"/>
            <w:tcMar>
              <w:top w:w="90" w:type="dxa"/>
              <w:left w:w="90" w:type="dxa"/>
              <w:bottom w:w="90" w:type="dxa"/>
              <w:right w:w="90" w:type="dxa"/>
            </w:tcMar>
          </w:tcPr>
          <w:p>
            <w:pPr>
              <w:spacing w:line="247" w:lineRule="auto" w:after="40"/>
            </w:pPr>
            <w:r>
              <w:rPr>
                <w:b w:val="0"/>
                <w:sz w:val="20"/>
              </w:rPr>
              <w:t>HighRiskWorkProjection</w:t>
            </w:r>
          </w:p>
        </w:tc>
        <w:tc>
          <w:tcPr>
            <w:tcW w:type="dxa" w:w="7992"/>
            <w:vAlign w:val="center"/>
            <w:shd w:fill="FFFFFF"/>
            <w:tcMar>
              <w:top w:w="90" w:type="dxa"/>
              <w:left w:w="90" w:type="dxa"/>
              <w:bottom w:w="90" w:type="dxa"/>
              <w:right w:w="90" w:type="dxa"/>
            </w:tcMar>
          </w:tcPr>
          <w:p>
            <w:pPr>
              <w:spacing w:line="247" w:lineRule="auto" w:after="40"/>
            </w:pPr>
            <w:r>
              <w:rPr>
                <w:b w:val="0"/>
                <w:sz w:val="20"/>
              </w:rPr>
              <w:t>İş, risk, permit ve kritik kontrol durumlarını yetkili kapsamda birleştirir. Yeni izin yazmaz, geçerlilik otoritesi değildir.</w:t>
            </w:r>
          </w:p>
        </w:tc>
      </w:tr>
    </w:tbl>
    <w:p>
      <w:pPr>
        <w:widowControl/>
        <w:spacing w:after="60" w:line="240" w:lineRule="auto"/>
      </w:pPr>
      <w:r>
        <w:rPr>
          <w:sz w:val="2"/>
        </w:rPr>
        <w:t xml:space="preserve"> </w:t>
      </w:r>
    </w:p>
    <w:p>
      <w:pPr>
        <w:widowControl/>
      </w:pPr>
      <w:r>
        <w:t>Bir iş birden çok ilgili izne ihtiyaç duyabilir; bir RA revision’ı birden çok izinle ilişkilendirilebilir. Her bağlantı kendi kapsamı, yürürlük bağlamı ve review kararını taşır. Bir bağlantının varlığı diğer izin ailesinin koşullarını otomatik karşılamaz. İş emri tamamlandı diye izin kapanmaz; izin kapanınca iş emri veya izolasyon otomatik tamamlanmaz.</w:t>
      </w:r>
    </w:p>
    <w:p>
      <w:pPr>
        <w:pStyle w:val="Heading2"/>
        <w:widowControl/>
      </w:pPr>
      <w:r>
        <w:t>Tekrarlayan satırların kimliği</w:t>
      </w:r>
    </w:p>
    <w:p>
      <w:pPr>
        <w:widowControl/>
      </w:pPr>
      <w:r>
        <w:t>JSA adımı, tehlikesi, kontrolü, katılımcısı ve ölçüm kaydı ayrı kalıcı satır kimlikleri taşımalıdır. Sıra numarası kimlik değildir; yeniden sıralama eski onaylı satırı yeniden anlamlandırmaz. RiskAssessment kimliği ve değişmez revision kimliği ayrılır; Permit onayı tam revision’ı ve bağlı koşul snapshot’ını referans alır.</w:t>
      </w:r>
    </w:p>
    <w:p>
      <w:pPr>
        <w:widowControl/>
      </w:pPr>
      <w:r>
        <w:t>Kaynak FR/TC izleri korunur; yeni child koleksiyonları veya effective authorization alanları NEW-PROPOSED olarak işaretlenir. Kaynak kontrolün bulunması test PASS değildir. 50.02 sözlüğünde 46 alanın iz eşlemesi ve yeni öneriler ayrı listelenir; fiziksel tablo/FK, API DTO ve projection sözleşmeleri ayrıca onaylanır.</w:t>
      </w:r>
    </w:p>
    <w:p>
      <w:pPr>
        <w:widowControl/>
      </w:pPr>
      <w:r>
        <w:t xml:space="preserve">Ayrıntılı alan ve kabul kaydı: </w:t>
      </w:r>
      <w:hyperlink r:id="rId10">
        <w:r>
          <w:rPr>
            <w:color w:val="000000"/>
            <w:u w:val="single"/>
          </w:rPr>
          <w:t>50.02 HSE form ve alan sözlüğü</w:t>
        </w:r>
      </w:hyperlink>
    </w:p>
    <w:p>
      <w:pPr>
        <w:pStyle w:val="Heading1"/>
        <w:pageBreakBefore/>
        <w:widowControl/>
      </w:pPr>
      <w:r>
        <w:t>3 Risk değerlendirme ve JSA formu</w:t>
      </w:r>
    </w:p>
    <w:p>
      <w:pPr>
        <w:widowControl/>
      </w:pPr>
      <w:r>
        <w:t>Risk Değerlendirmeleri listesinde kayıt türü, gemi/işyeri, iş, revizyon, iş akışı durumu, inceleme gereksinimi ve kapsamı görünür. Temel değerlendirme ile işe özel JSA açık etiketlenir. Yeni taslak boş ve bilinmiyor değerlerini korur; örnek şablon Yes/No veya sıfır risk olarak kaydedilmez.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shd w:fill="E8EDF2"/>
            <w:tcMar>
              <w:top w:w="90" w:type="dxa"/>
              <w:left w:w="90" w:type="dxa"/>
              <w:bottom w:w="90" w:type="dxa"/>
              <w:right w:w="90" w:type="dxa"/>
            </w:tcMar>
          </w:tcPr>
          <w:p>
            <w:pPr>
              <w:spacing w:line="247" w:lineRule="auto" w:after="40"/>
            </w:pPr>
            <w:r>
              <w:rPr>
                <w:b/>
                <w:sz w:val="20"/>
              </w:rPr>
              <w:t>Form bölümü</w:t>
            </w:r>
          </w:p>
        </w:tc>
        <w:tc>
          <w:tcPr>
            <w:tcW w:type="dxa" w:w="8064"/>
            <w:vAlign w:val="center"/>
            <w:shd w:fill="E8EDF2"/>
            <w:tcMar>
              <w:top w:w="90" w:type="dxa"/>
              <w:left w:w="90" w:type="dxa"/>
              <w:bottom w:w="90" w:type="dxa"/>
              <w:right w:w="90" w:type="dxa"/>
            </w:tcMar>
          </w:tcPr>
          <w:p>
            <w:pPr>
              <w:spacing w:line="247" w:lineRule="auto" w:after="40"/>
            </w:pPr>
            <w:r>
              <w:rPr>
                <w:b/>
                <w:sz w:val="20"/>
              </w:rPr>
              <w:t>Kullanıcının gireceği veya doğrulayacağı bilgiler</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Kimlik ve kapsam</w:t>
            </w:r>
          </w:p>
        </w:tc>
        <w:tc>
          <w:tcPr>
            <w:tcW w:type="dxa" w:w="8064"/>
            <w:vAlign w:val="center"/>
            <w:shd w:fill="FFFFFF"/>
            <w:tcMar>
              <w:top w:w="90" w:type="dxa"/>
              <w:left w:w="90" w:type="dxa"/>
              <w:bottom w:w="90" w:type="dxa"/>
              <w:right w:w="90" w:type="dxa"/>
            </w:tcMar>
          </w:tcPr>
          <w:p>
            <w:pPr>
              <w:spacing w:line="247" w:lineRule="auto" w:after="40"/>
            </w:pPr>
            <w:r>
              <w:rPr>
                <w:b w:val="0"/>
                <w:sz w:val="20"/>
              </w:rPr>
              <w:t>assessment_no, vessel_id, işyeri/işveren, operation_context, mahal/ekipman/iş emri, kapsam dışı işler ve koşullar.</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Dayanak ve ekip</w:t>
            </w:r>
          </w:p>
        </w:tc>
        <w:tc>
          <w:tcPr>
            <w:tcW w:type="dxa" w:w="8064"/>
            <w:vAlign w:val="center"/>
            <w:shd w:fill="FFFFFF"/>
            <w:tcMar>
              <w:top w:w="90" w:type="dxa"/>
              <w:left w:w="90" w:type="dxa"/>
              <w:bottom w:w="90" w:type="dxa"/>
              <w:right w:w="90" w:type="dxa"/>
            </w:tcMar>
          </w:tcPr>
          <w:p>
            <w:pPr>
              <w:spacing w:line="247" w:lineRule="auto" w:after="40"/>
            </w:pPr>
            <w:r>
              <w:rPr>
                <w:b w:val="0"/>
                <w:sz w:val="20"/>
              </w:rPr>
              <w:t>template_id+revision, baseline id+revision, riskMethodVersion, SMS/kaynak profili, hazırlayanlar/yeterlik referansı ve katılım.</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İş adımları</w:t>
            </w:r>
          </w:p>
        </w:tc>
        <w:tc>
          <w:tcPr>
            <w:tcW w:type="dxa" w:w="8064"/>
            <w:vAlign w:val="center"/>
            <w:shd w:fill="FFFFFF"/>
            <w:tcMar>
              <w:top w:w="90" w:type="dxa"/>
              <w:left w:w="90" w:type="dxa"/>
              <w:bottom w:w="90" w:type="dxa"/>
              <w:right w:w="90" w:type="dxa"/>
            </w:tcMar>
          </w:tcPr>
          <w:p>
            <w:pPr>
              <w:spacing w:line="247" w:lineRule="auto" w:after="40"/>
            </w:pPr>
            <w:r>
              <w:rPr>
                <w:b w:val="0"/>
                <w:sz w:val="20"/>
              </w:rPr>
              <w:t>Sıralı steps[]; her adımda hazards[] ve consequences[]; etkilenen kişi grupları, mevcut kontrol ve barrier_refs.</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Kontrol ve takip</w:t>
            </w:r>
          </w:p>
        </w:tc>
        <w:tc>
          <w:tcPr>
            <w:tcW w:type="dxa" w:w="8064"/>
            <w:vAlign w:val="center"/>
            <w:shd w:fill="FFFFFF"/>
            <w:tcMar>
              <w:top w:w="90" w:type="dxa"/>
              <w:left w:w="90" w:type="dxa"/>
              <w:bottom w:w="90" w:type="dxa"/>
              <w:right w:w="90" w:type="dxa"/>
            </w:tcMar>
          </w:tcPr>
          <w:p>
            <w:pPr>
              <w:spacing w:line="247" w:lineRule="auto" w:after="40"/>
            </w:pPr>
            <w:r>
              <w:rPr>
                <w:b w:val="0"/>
                <w:sz w:val="20"/>
              </w:rPr>
              <w:t>controls[]: mevcut/önerilen ayrımı, control_owner, hedef tarih, uygulanma ve doğrulama kanıtı, ilgili durdurma koşulu.</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Değerlendirme</w:t>
            </w:r>
          </w:p>
        </w:tc>
        <w:tc>
          <w:tcPr>
            <w:tcW w:type="dxa" w:w="8064"/>
            <w:vAlign w:val="center"/>
            <w:shd w:fill="FFFFFF"/>
            <w:tcMar>
              <w:top w:w="90" w:type="dxa"/>
              <w:left w:w="90" w:type="dxa"/>
              <w:bottom w:w="90" w:type="dxa"/>
              <w:right w:w="90" w:type="dxa"/>
            </w:tcMar>
          </w:tcPr>
          <w:p>
            <w:pPr>
              <w:spacing w:line="247" w:lineRule="auto" w:after="40"/>
            </w:pPr>
            <w:r>
              <w:rPr>
                <w:b w:val="0"/>
                <w:sz w:val="20"/>
              </w:rPr>
              <w:t>Initial ve residual likelihood/severity/risk; yöntem sürümü ve açıklama; eksik girdide değerlendirilmedi.</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İnceleme ve karar</w:t>
            </w:r>
          </w:p>
        </w:tc>
        <w:tc>
          <w:tcPr>
            <w:tcW w:type="dxa" w:w="8064"/>
            <w:vAlign w:val="center"/>
            <w:shd w:fill="FFFFFF"/>
            <w:tcMar>
              <w:top w:w="90" w:type="dxa"/>
              <w:left w:w="90" w:type="dxa"/>
              <w:bottom w:w="90" w:type="dxa"/>
              <w:right w:w="90" w:type="dxa"/>
            </w:tcMar>
          </w:tcPr>
          <w:p>
            <w:pPr>
              <w:spacing w:line="247" w:lineRule="auto" w:after="40"/>
            </w:pPr>
            <w:r>
              <w:rPr>
                <w:b w:val="0"/>
                <w:sz w:val="20"/>
              </w:rPr>
              <w:t>Gerekçe, review/return, ayrı insan risk kabulü, participant_ack, stop_work_conditions ve erişim kontrollü evidence_ref.</w:t>
            </w:r>
          </w:p>
        </w:tc>
      </w:tr>
    </w:tbl>
    <w:p>
      <w:pPr>
        <w:widowControl/>
        <w:spacing w:after="60" w:line="240" w:lineRule="auto"/>
      </w:pPr>
      <w:r>
        <w:rPr>
          <w:sz w:val="2"/>
        </w:rPr>
        <w:t xml:space="preserve"> </w:t>
      </w:r>
    </w:p>
    <w:p>
      <w:pPr>
        <w:widowControl/>
      </w:pPr>
      <w:r>
        <w:t>Adım ekle, tehlike ekle ve kontrol ekle farklı komutlardır. Bir adımın çoklu tehlikesi ve bir tehlikenin çoklu kontrolü bulunabilir; tek uzun job_step/hazard metni yeterli değildir. Satır silme/sıralama taslakta gerekçeli değişikliktir; incelemeye sunulmuş içerik etkilenirse yeni revision gereksinimi görünür olur. Onaylı içerik üzerine yazılmaz.</w:t>
      </w:r>
    </w:p>
    <w:p>
      <w:pPr>
        <w:widowControl/>
      </w:pPr>
      <w:r>
        <w:t>Her kontrol için “önerildi”, “uygulandı” ve “yetkili tarafından doğrulandı” ayrılır. Kontrol sahibinin atanması uygulandığı anlamına gelmez. Ölçüm/kanıt gerekli fakat eksikse residual risk boşluğu iyimser değerle kapanmaz. Düşük hesaplanan skor kendiliğinden kabul, izin veya işe başlama kararı üretmez.</w:t>
      </w:r>
    </w:p>
    <w:p>
      <w:pPr>
        <w:pStyle w:val="Heading2"/>
        <w:widowControl/>
      </w:pPr>
      <w:r>
        <w:t>Yöntem ve katılım</w:t>
      </w:r>
    </w:p>
    <w:p>
      <w:pPr>
        <w:widowControl/>
      </w:pPr>
      <w:r>
        <w:t>Evrensel 5×5, çarpım formülü veya kabul eşiği sabitlenmez. Yöntem, ölçek tanımları, hesaplama ve kabul politikası yetkili uzman tarafından sürümlenir. ÇSGB açıklaması tek zorunlu puanlama yöntemi dayatmaz; hazır kontrol listesi formal risk değerlendirmesinin yerine geçmez.</w:t>
      </w:r>
      <w:r>
        <w:t xml:space="preserve"> </w:t>
      </w:r>
      <w:hyperlink r:id="rId11">
        <w:r>
          <w:rPr>
            <w:color w:val="000000"/>
            <w:u w:val="single"/>
          </w:rPr>
          <w:t>H10 ÇSGB risk değerlendirme SSS</w:t>
        </w:r>
      </w:hyperlink>
      <w:r>
        <w:t xml:space="preserve"> · </w:t>
      </w:r>
      <w:hyperlink r:id="rId12">
        <w:r>
          <w:rPr>
            <w:color w:val="000000"/>
            <w:u w:val="single"/>
          </w:rPr>
          <w:t>H12 ÇSGB kontrol listesi açıklaması</w:t>
        </w:r>
      </w:hyperlink>
    </w:p>
    <w:p>
      <w:pPr>
        <w:widowControl/>
      </w:pPr>
      <w:r>
        <w:t>Katılımcı teyidi kişinin kendisine gösterilen revision’a bağlıdır; risk kabulü veya izin verme imzası yerine kullanılamaz. İsim yazmak uygulama yetkisi ya da mesleki yeterlik sağlamaz. Dinamik gözlem yeni kritik risk gösterirse yalnız not eklemek değil, bağlı etkin yetkilendirmeyi yeniden değerlendirme ve kısıtlama akışı tetiklenir.</w:t>
      </w:r>
    </w:p>
    <w:p>
      <w:pPr>
        <w:pStyle w:val="Heading1"/>
        <w:pageBreakBefore/>
        <w:widowControl/>
      </w:pPr>
      <w:r>
        <w:t>4 Çalışma izni formu ve bağlantılı kayıtlar</w:t>
      </w:r>
    </w:p>
    <w:p>
      <w:pPr>
        <w:widowControl/>
      </w:pPr>
      <w:r>
        <w:t>İş İzinleri listesi gemi, mahal/ekipman, iş emri, izin ailesi, planlanan pencere, iş akışı durumu ve güncel yetkilendirme sonucunu ayrı gösterir. “Taslak”, “inceleme bekliyor” ve “etkinliği doğrulanamıyor” aynı renkle geçerli izin gibi gösterilmez. Süre sonu veya güncellik kaybı kullanıcı listeyi yenilemese de geçerlilik kararında uygulanır.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shd w:fill="E8EDF2"/>
            <w:tcMar>
              <w:top w:w="90" w:type="dxa"/>
              <w:left w:w="90" w:type="dxa"/>
              <w:bottom w:w="90" w:type="dxa"/>
              <w:right w:w="90" w:type="dxa"/>
            </w:tcMar>
          </w:tcPr>
          <w:p>
            <w:pPr>
              <w:spacing w:line="247" w:lineRule="auto" w:after="40"/>
            </w:pPr>
            <w:r>
              <w:rPr>
                <w:b/>
                <w:sz w:val="20"/>
              </w:rPr>
              <w:t>Form bölümü</w:t>
            </w:r>
          </w:p>
        </w:tc>
        <w:tc>
          <w:tcPr>
            <w:tcW w:type="dxa" w:w="8064"/>
            <w:vAlign w:val="center"/>
            <w:shd w:fill="E8EDF2"/>
            <w:tcMar>
              <w:top w:w="90" w:type="dxa"/>
              <w:left w:w="90" w:type="dxa"/>
              <w:bottom w:w="90" w:type="dxa"/>
              <w:right w:w="90" w:type="dxa"/>
            </w:tcMar>
          </w:tcPr>
          <w:p>
            <w:pPr>
              <w:spacing w:line="247" w:lineRule="auto" w:after="40"/>
            </w:pPr>
            <w:r>
              <w:rPr>
                <w:b/>
                <w:sz w:val="20"/>
              </w:rPr>
              <w:t>Gerekli tasarım içeriği</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İş tanımı</w:t>
            </w:r>
          </w:p>
        </w:tc>
        <w:tc>
          <w:tcPr>
            <w:tcW w:type="dxa" w:w="8064"/>
            <w:vAlign w:val="center"/>
            <w:shd w:fill="FFFFFF"/>
            <w:tcMar>
              <w:top w:w="90" w:type="dxa"/>
              <w:left w:w="90" w:type="dxa"/>
              <w:bottom w:w="90" w:type="dxa"/>
              <w:right w:w="90" w:type="dxa"/>
            </w:tcMar>
          </w:tcPr>
          <w:p>
            <w:pPr>
              <w:spacing w:line="247" w:lineRule="auto" w:after="40"/>
            </w:pPr>
            <w:r>
              <w:rPr>
                <w:b w:val="0"/>
                <w:sz w:val="20"/>
              </w:rPr>
              <w:t>Permit id/numarası, gemi, şirket, kesin kapsam ve kapsam dışı işler; mahal, ekipman, iş emri/operasyon referansları.</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Aile ve uygulanabilirlik</w:t>
            </w:r>
          </w:p>
        </w:tc>
        <w:tc>
          <w:tcPr>
            <w:tcW w:type="dxa" w:w="8064"/>
            <w:vAlign w:val="center"/>
            <w:shd w:fill="FFFFFF"/>
            <w:tcMar>
              <w:top w:w="90" w:type="dxa"/>
              <w:left w:w="90" w:type="dxa"/>
              <w:bottom w:w="90" w:type="dxa"/>
              <w:right w:w="90" w:type="dxa"/>
            </w:tcMar>
          </w:tcPr>
          <w:p>
            <w:pPr>
              <w:spacing w:line="247" w:lineRule="auto" w:after="40"/>
            </w:pPr>
            <w:r>
              <w:rPr>
                <w:b w:val="0"/>
                <w:sz w:val="20"/>
              </w:rPr>
              <w:t>İzin aileleri ve nedenleri; statutory/flag/port-terminal/SMS/recommended kaynağı; profil+revision, belirsiz koşullar.</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Risk dayanağı</w:t>
            </w:r>
          </w:p>
        </w:tc>
        <w:tc>
          <w:tcPr>
            <w:tcW w:type="dxa" w:w="8064"/>
            <w:vAlign w:val="center"/>
            <w:shd w:fill="FFFFFF"/>
            <w:tcMar>
              <w:top w:w="90" w:type="dxa"/>
              <w:left w:w="90" w:type="dxa"/>
              <w:bottom w:w="90" w:type="dxa"/>
              <w:right w:w="90" w:type="dxa"/>
            </w:tcMar>
          </w:tcPr>
          <w:p>
            <w:pPr>
              <w:spacing w:line="247" w:lineRule="auto" w:after="40"/>
            </w:pPr>
            <w:r>
              <w:rPr>
                <w:b w:val="0"/>
                <w:sz w:val="20"/>
              </w:rPr>
              <w:t>JSA ve temel RA id+revision, şablon/SMS sürümü, açık tehlikeler ve inceleme sonucu; sadece attachment adı değil.</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Ekip ve sorumlular</w:t>
            </w:r>
          </w:p>
        </w:tc>
        <w:tc>
          <w:tcPr>
            <w:tcW w:type="dxa" w:w="8064"/>
            <w:vAlign w:val="center"/>
            <w:shd w:fill="FFFFFF"/>
            <w:tcMar>
              <w:top w:w="90" w:type="dxa"/>
              <w:left w:w="90" w:type="dxa"/>
              <w:bottom w:w="90" w:type="dxa"/>
              <w:right w:w="90" w:type="dxa"/>
            </w:tcMar>
          </w:tcPr>
          <w:p>
            <w:pPr>
              <w:spacing w:line="247" w:lineRule="auto" w:after="40"/>
            </w:pPr>
            <w:r>
              <w:rPr>
                <w:b w:val="0"/>
                <w:sz w:val="20"/>
              </w:rPr>
              <w:t>Talep eden, inceleyen, izin veren, işi yürüten/teslim alan, gerekli özel kontrol yetkilileri; güncel assignment/yetkinlik izi.</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Zaman ve koşullar</w:t>
            </w:r>
          </w:p>
        </w:tc>
        <w:tc>
          <w:tcPr>
            <w:tcW w:type="dxa" w:w="8064"/>
            <w:vAlign w:val="center"/>
            <w:shd w:fill="FFFFFF"/>
            <w:tcMar>
              <w:top w:w="90" w:type="dxa"/>
              <w:left w:w="90" w:type="dxa"/>
              <w:bottom w:w="90" w:type="dxa"/>
              <w:right w:w="90" w:type="dxa"/>
            </w:tcMar>
          </w:tcPr>
          <w:p>
            <w:pPr>
              <w:spacing w:line="247" w:lineRule="auto" w:after="40"/>
            </w:pPr>
            <w:r>
              <w:rPr>
                <w:b w:val="0"/>
                <w:sz w:val="20"/>
              </w:rPr>
              <w:t>Planlanan başlangıç/bitiş, yetkilendirme ve fiili olay zamanları, yerel ofset+UTC, vardiya, geçerlilik profili ve yeniden kontrol koşulları.</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Önkoşul bağlantıları</w:t>
            </w:r>
          </w:p>
        </w:tc>
        <w:tc>
          <w:tcPr>
            <w:tcW w:type="dxa" w:w="8064"/>
            <w:vAlign w:val="center"/>
            <w:shd w:fill="FFFFFF"/>
            <w:tcMar>
              <w:top w:w="90" w:type="dxa"/>
              <w:left w:w="90" w:type="dxa"/>
              <w:bottom w:w="90" w:type="dxa"/>
              <w:right w:w="90" w:type="dxa"/>
            </w:tcMar>
          </w:tcPr>
          <w:p>
            <w:pPr>
              <w:spacing w:line="247" w:lineRule="auto" w:after="40"/>
            </w:pPr>
            <w:r>
              <w:rPr>
                <w:b w:val="0"/>
                <w:sz w:val="20"/>
              </w:rPr>
              <w:t>İzolasyon, ölçüm, ekipman/rol yeterliği, acil hazırlık, toolbox, SIMOPS ve ilgili diğer izinler; her biri uygulanır/uygulanmaz/bilinmiyor gerekçesi.</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Yetkilendirme</w:t>
            </w:r>
          </w:p>
        </w:tc>
        <w:tc>
          <w:tcPr>
            <w:tcW w:type="dxa" w:w="8064"/>
            <w:vAlign w:val="center"/>
            <w:shd w:fill="FFFFFF"/>
            <w:tcMar>
              <w:top w:w="90" w:type="dxa"/>
              <w:left w:w="90" w:type="dxa"/>
              <w:bottom w:w="90" w:type="dxa"/>
              <w:right w:w="90" w:type="dxa"/>
            </w:tcMar>
          </w:tcPr>
          <w:p>
            <w:pPr>
              <w:spacing w:line="247" w:lineRule="auto" w:after="40"/>
            </w:pPr>
            <w:r>
              <w:rPr>
                <w:b w:val="0"/>
                <w:sz w:val="20"/>
              </w:rPr>
              <w:t>Yetkili kişinin incelediği tam revision, koşul snapshot’ı, karar/gerekçe, zaman ve gerekli teyitler. Sistem veya AI imzası değil.</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Teslim ve kapanış</w:t>
            </w:r>
          </w:p>
        </w:tc>
        <w:tc>
          <w:tcPr>
            <w:tcW w:type="dxa" w:w="8064"/>
            <w:vAlign w:val="center"/>
            <w:shd w:fill="FFFFFF"/>
            <w:tcMar>
              <w:top w:w="90" w:type="dxa"/>
              <w:left w:w="90" w:type="dxa"/>
              <w:bottom w:w="90" w:type="dxa"/>
              <w:right w:w="90" w:type="dxa"/>
            </w:tcMar>
          </w:tcPr>
          <w:p>
            <w:pPr>
              <w:spacing w:line="247" w:lineRule="auto" w:after="40"/>
            </w:pPr>
            <w:r>
              <w:rPr>
                <w:b w:val="0"/>
                <w:sz w:val="20"/>
              </w:rPr>
              <w:t>Askı/iptal/devir, işin bildirilen sonucu, saha-ekipman teslimi, kapanış incelemesi, çözülmemiş hususlar ve ayrı izolasyon süreci.</w:t>
            </w:r>
          </w:p>
        </w:tc>
      </w:tr>
    </w:tbl>
    <w:p>
      <w:pPr>
        <w:widowControl/>
        <w:spacing w:after="60" w:line="240" w:lineRule="auto"/>
      </w:pPr>
      <w:r>
        <w:rPr>
          <w:sz w:val="2"/>
        </w:rPr>
        <w:t xml:space="preserve"> </w:t>
      </w:r>
    </w:p>
    <w:p>
      <w:pPr>
        <w:widowControl/>
      </w:pPr>
      <w:r>
        <w:t>Form iş bağlamını bağlı gemi/iş emrinden öneri olarak alabilir; kaynak ve revision görünür olmalı, kritik kapsam kullanıcının doğrulaması olmadan değişmemelidir. Zaman, ekip veya mahal değişimi eski onayı yeni koşullara taşımak için kullanılmaz. Gerekli alanı gizlemek önkoşulu kaldırmaz; uygulanmaz seçimi profilce izinli ve gerekçeli olmalıdır.</w:t>
      </w:r>
    </w:p>
    <w:p>
      <w:pPr>
        <w:widowControl/>
      </w:pPr>
      <w:r>
        <w:t>Ölçüm tekrarlayan kaydı; cihaz kimliği, doğrulama/kalibrasyon referansı, ölçen yetkili, yer/zaman, birim ve sonuç taşır. Bu tasarım gaz sınırı, ölçüm sıklığı veya uygulama yöntemi vermez. Güncel kanıtın geçerliliğini gemi/SMS/otorite profili belirler; eski ölçümün formda görünmesi güncel kontrol yerine geçmez.</w:t>
      </w:r>
    </w:p>
    <w:p>
      <w:pPr>
        <w:widowControl/>
      </w:pPr>
      <w:r>
        <w:t>Kapanış işin bildirildiği gibi tamamlandığını, izin kapatıldığını ve ekipmanın teslimini ayrı kaydeder. İzin kapatmak kilit/tag kaldırma, enerjilendirme veya ekipmanı servise alma komutu değildir. Acil müdahale planına erişim form tamamlanmasını bekletmez; yazılım kendi kurtarma talimatını üretmez.</w:t>
      </w:r>
    </w:p>
    <w:p>
      <w:pPr>
        <w:pStyle w:val="Heading1"/>
        <w:pageBreakBefore/>
        <w:widowControl/>
      </w:pPr>
      <w:r>
        <w:t>5 İzin ailesine göre koşullu bölümler</w:t>
      </w:r>
    </w:p>
    <w:p>
      <w:pPr>
        <w:widowControl/>
      </w:pPr>
      <w:r>
        <w:t>Aşağıdaki aileler aday ürün kapsamıdır; her gemide her iş için evrensel zorunlu form listesi değildir. Her aile onaylı gemi/SMS/otorite profiliyle açılır. Bir iş için birden fazla izin gerekirse bağlantı ve ortak kontroller görünür; biri diğerinin onayı yerine geçmez. Towage veya bunkering adı tek başına belirli bir izin ailesini zorunlu yapmaz.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trPr>
        <w:tc>
          <w:tcPr>
            <w:tcW w:type="dxa" w:w="2448"/>
            <w:vAlign w:val="center"/>
            <w:shd w:fill="E8EDF2"/>
            <w:tcMar>
              <w:top w:w="90" w:type="dxa"/>
              <w:left w:w="90" w:type="dxa"/>
              <w:bottom w:w="90" w:type="dxa"/>
              <w:right w:w="90" w:type="dxa"/>
            </w:tcMar>
          </w:tcPr>
          <w:p>
            <w:pPr>
              <w:spacing w:line="247" w:lineRule="auto" w:after="40"/>
            </w:pPr>
            <w:r>
              <w:rPr>
                <w:b/>
                <w:sz w:val="20"/>
              </w:rPr>
              <w:t>Aile adayı</w:t>
            </w:r>
          </w:p>
        </w:tc>
        <w:tc>
          <w:tcPr>
            <w:tcW w:type="dxa" w:w="7776"/>
            <w:vAlign w:val="center"/>
            <w:shd w:fill="E8EDF2"/>
            <w:tcMar>
              <w:top w:w="90" w:type="dxa"/>
              <w:left w:w="90" w:type="dxa"/>
              <w:bottom w:w="90" w:type="dxa"/>
              <w:right w:w="90" w:type="dxa"/>
            </w:tcMar>
          </w:tcPr>
          <w:p>
            <w:pPr>
              <w:spacing w:line="247" w:lineRule="auto" w:after="40"/>
            </w:pPr>
            <w:r>
              <w:rPr>
                <w:b/>
                <w:sz w:val="20"/>
              </w:rPr>
              <w:t>Koşullu form ve ilişki grupları</w:t>
            </w:r>
          </w:p>
        </w:tc>
      </w:tr>
      <w:tr>
        <w:trPr>
          <w:cantSplit/>
        </w:trPr>
        <w:tc>
          <w:tcPr>
            <w:tcW w:type="dxa" w:w="2448"/>
            <w:vAlign w:val="center"/>
            <w:shd w:fill="FFFFFF"/>
            <w:tcMar>
              <w:top w:w="90" w:type="dxa"/>
              <w:left w:w="90" w:type="dxa"/>
              <w:bottom w:w="90" w:type="dxa"/>
              <w:right w:w="90" w:type="dxa"/>
            </w:tcMar>
          </w:tcPr>
          <w:p>
            <w:pPr>
              <w:spacing w:line="247" w:lineRule="auto" w:after="40"/>
            </w:pPr>
            <w:r>
              <w:rPr>
                <w:b w:val="0"/>
                <w:sz w:val="20"/>
              </w:rPr>
              <w:t>Sıcak çalışma</w:t>
            </w:r>
          </w:p>
        </w:tc>
        <w:tc>
          <w:tcPr>
            <w:tcW w:type="dxa" w:w="7776"/>
            <w:vAlign w:val="center"/>
            <w:shd w:fill="FFFFFF"/>
            <w:tcMar>
              <w:top w:w="90" w:type="dxa"/>
              <w:left w:w="90" w:type="dxa"/>
              <w:bottom w:w="90" w:type="dxa"/>
              <w:right w:w="90" w:type="dxa"/>
            </w:tcMar>
          </w:tcPr>
          <w:p>
            <w:pPr>
              <w:spacing w:line="247" w:lineRule="auto" w:after="40"/>
            </w:pPr>
            <w:r>
              <w:rPr>
                <w:b w:val="0"/>
                <w:sz w:val="20"/>
              </w:rPr>
              <w:t>İş/mahal sınırı, onaylı profilin önkoşulları, gerekli gözetim ve yangın hazırlığı teyitleri, diğer izin ve izolasyon bağlantıları.</w:t>
            </w:r>
          </w:p>
        </w:tc>
      </w:tr>
      <w:tr>
        <w:trPr>
          <w:cantSplit/>
        </w:trPr>
        <w:tc>
          <w:tcPr>
            <w:tcW w:type="dxa" w:w="2448"/>
            <w:vAlign w:val="center"/>
            <w:shd w:fill="FFFFFF"/>
            <w:tcMar>
              <w:top w:w="90" w:type="dxa"/>
              <w:left w:w="90" w:type="dxa"/>
              <w:bottom w:w="90" w:type="dxa"/>
              <w:right w:w="90" w:type="dxa"/>
            </w:tcMar>
          </w:tcPr>
          <w:p>
            <w:pPr>
              <w:spacing w:line="247" w:lineRule="auto" w:after="40"/>
            </w:pPr>
            <w:r>
              <w:rPr>
                <w:b w:val="0"/>
                <w:sz w:val="20"/>
              </w:rPr>
              <w:t>Kapalı alana giriş</w:t>
            </w:r>
          </w:p>
        </w:tc>
        <w:tc>
          <w:tcPr>
            <w:tcW w:type="dxa" w:w="7776"/>
            <w:vAlign w:val="center"/>
            <w:shd w:fill="FFFFFF"/>
            <w:tcMar>
              <w:top w:w="90" w:type="dxa"/>
              <w:left w:w="90" w:type="dxa"/>
              <w:bottom w:w="90" w:type="dxa"/>
              <w:right w:w="90" w:type="dxa"/>
            </w:tcMar>
          </w:tcPr>
          <w:p>
            <w:pPr>
              <w:spacing w:line="247" w:lineRule="auto" w:after="40"/>
            </w:pPr>
            <w:r>
              <w:rPr>
                <w:b w:val="0"/>
                <w:sz w:val="20"/>
              </w:rPr>
              <w:t>Alan kimliği ve risk değerlendirmesi; gerekli ölçüm/izolasyon kanıtı; iletişim, gözetim ve gemi onaylı acil hazırlık referansları.</w:t>
            </w:r>
          </w:p>
        </w:tc>
      </w:tr>
      <w:tr>
        <w:trPr>
          <w:cantSplit/>
        </w:trPr>
        <w:tc>
          <w:tcPr>
            <w:tcW w:type="dxa" w:w="2448"/>
            <w:vAlign w:val="center"/>
            <w:shd w:fill="FFFFFF"/>
            <w:tcMar>
              <w:top w:w="90" w:type="dxa"/>
              <w:left w:w="90" w:type="dxa"/>
              <w:bottom w:w="90" w:type="dxa"/>
              <w:right w:w="90" w:type="dxa"/>
            </w:tcMar>
          </w:tcPr>
          <w:p>
            <w:pPr>
              <w:spacing w:line="247" w:lineRule="auto" w:after="40"/>
            </w:pPr>
            <w:r>
              <w:rPr>
                <w:b w:val="0"/>
                <w:sz w:val="20"/>
              </w:rPr>
              <w:t>Yüksekte veya borda dışı</w:t>
            </w:r>
          </w:p>
        </w:tc>
        <w:tc>
          <w:tcPr>
            <w:tcW w:type="dxa" w:w="7776"/>
            <w:vAlign w:val="center"/>
            <w:shd w:fill="FFFFFF"/>
            <w:tcMar>
              <w:top w:w="90" w:type="dxa"/>
              <w:left w:w="90" w:type="dxa"/>
              <w:bottom w:w="90" w:type="dxa"/>
              <w:right w:w="90" w:type="dxa"/>
            </w:tcMar>
          </w:tcPr>
          <w:p>
            <w:pPr>
              <w:spacing w:line="247" w:lineRule="auto" w:after="40"/>
            </w:pPr>
            <w:r>
              <w:rPr>
                <w:b w:val="0"/>
                <w:sz w:val="20"/>
              </w:rPr>
              <w:t>İş/erişim kapsamı, gerekli ekipman ve yetkinlik doğrulaması, ilgili koruma/acil hazırlık planı ve koşul değişim tetikleri.</w:t>
            </w:r>
          </w:p>
        </w:tc>
      </w:tr>
      <w:tr>
        <w:trPr>
          <w:cantSplit/>
        </w:trPr>
        <w:tc>
          <w:tcPr>
            <w:tcW w:type="dxa" w:w="2448"/>
            <w:vAlign w:val="center"/>
            <w:shd w:fill="FFFFFF"/>
            <w:tcMar>
              <w:top w:w="90" w:type="dxa"/>
              <w:left w:w="90" w:type="dxa"/>
              <w:bottom w:w="90" w:type="dxa"/>
              <w:right w:w="90" w:type="dxa"/>
            </w:tcMar>
          </w:tcPr>
          <w:p>
            <w:pPr>
              <w:spacing w:line="247" w:lineRule="auto" w:after="40"/>
            </w:pPr>
            <w:r>
              <w:rPr>
                <w:b w:val="0"/>
                <w:sz w:val="20"/>
              </w:rPr>
              <w:t>Enerji izolasyonu ve LOTO</w:t>
            </w:r>
          </w:p>
        </w:tc>
        <w:tc>
          <w:tcPr>
            <w:tcW w:type="dxa" w:w="7776"/>
            <w:vAlign w:val="center"/>
            <w:shd w:fill="FFFFFF"/>
            <w:tcMar>
              <w:top w:w="90" w:type="dxa"/>
              <w:left w:w="90" w:type="dxa"/>
              <w:bottom w:w="90" w:type="dxa"/>
              <w:right w:w="90" w:type="dxa"/>
            </w:tcMar>
          </w:tcPr>
          <w:p>
            <w:pPr>
              <w:spacing w:line="247" w:lineRule="auto" w:after="40"/>
            </w:pPr>
            <w:r>
              <w:rPr>
                <w:b w:val="0"/>
                <w:sz w:val="20"/>
              </w:rPr>
              <w:t>Yetkili izolasyon kaydı, nokta/ekipman kimliği, bağlı lock/tag/test teyit kayıtları ve ayrı teslim/serbest bırakma yetkisi.</w:t>
            </w:r>
          </w:p>
        </w:tc>
      </w:tr>
      <w:tr>
        <w:trPr>
          <w:cantSplit/>
        </w:trPr>
        <w:tc>
          <w:tcPr>
            <w:tcW w:type="dxa" w:w="2448"/>
            <w:vAlign w:val="center"/>
            <w:shd w:fill="FFFFFF"/>
            <w:tcMar>
              <w:top w:w="90" w:type="dxa"/>
              <w:left w:w="90" w:type="dxa"/>
              <w:bottom w:w="90" w:type="dxa"/>
              <w:right w:w="90" w:type="dxa"/>
            </w:tcMar>
          </w:tcPr>
          <w:p>
            <w:pPr>
              <w:spacing w:line="247" w:lineRule="auto" w:after="40"/>
            </w:pPr>
            <w:r>
              <w:rPr>
                <w:b w:val="0"/>
                <w:sz w:val="20"/>
              </w:rPr>
              <w:t>Elektrik işi veya test yetkisi</w:t>
            </w:r>
          </w:p>
        </w:tc>
        <w:tc>
          <w:tcPr>
            <w:tcW w:type="dxa" w:w="7776"/>
            <w:vAlign w:val="center"/>
            <w:shd w:fill="FFFFFF"/>
            <w:tcMar>
              <w:top w:w="90" w:type="dxa"/>
              <w:left w:w="90" w:type="dxa"/>
              <w:bottom w:w="90" w:type="dxa"/>
              <w:right w:w="90" w:type="dxa"/>
            </w:tcMar>
          </w:tcPr>
          <w:p>
            <w:pPr>
              <w:spacing w:line="247" w:lineRule="auto" w:after="40"/>
            </w:pPr>
            <w:r>
              <w:rPr>
                <w:b w:val="0"/>
                <w:sz w:val="20"/>
              </w:rPr>
              <w:t>Bakım izni ile test yetkisinin ayrımı; iş sınırı, uygun yetkinlik, gerekli izolasyon ve test profili ilişkileri.</w:t>
            </w:r>
          </w:p>
        </w:tc>
      </w:tr>
      <w:tr>
        <w:trPr>
          <w:cantSplit/>
        </w:trPr>
        <w:tc>
          <w:tcPr>
            <w:tcW w:type="dxa" w:w="2448"/>
            <w:vAlign w:val="center"/>
            <w:shd w:fill="FFFFFF"/>
            <w:tcMar>
              <w:top w:w="90" w:type="dxa"/>
              <w:left w:w="90" w:type="dxa"/>
              <w:bottom w:w="90" w:type="dxa"/>
              <w:right w:w="90" w:type="dxa"/>
            </w:tcMar>
          </w:tcPr>
          <w:p>
            <w:pPr>
              <w:spacing w:line="247" w:lineRule="auto" w:after="40"/>
            </w:pPr>
            <w:r>
              <w:rPr>
                <w:b w:val="0"/>
                <w:sz w:val="20"/>
              </w:rPr>
              <w:t>Diğer aday aileler</w:t>
            </w:r>
          </w:p>
        </w:tc>
        <w:tc>
          <w:tcPr>
            <w:tcW w:type="dxa" w:w="7776"/>
            <w:vAlign w:val="center"/>
            <w:shd w:fill="FFFFFF"/>
            <w:tcMar>
              <w:top w:w="90" w:type="dxa"/>
              <w:left w:w="90" w:type="dxa"/>
              <w:bottom w:w="90" w:type="dxa"/>
              <w:right w:w="90" w:type="dxa"/>
            </w:tcMar>
          </w:tcPr>
          <w:p>
            <w:pPr>
              <w:spacing w:line="247" w:lineRule="auto" w:after="40"/>
            </w:pPr>
            <w:r>
              <w:rPr>
                <w:b w:val="0"/>
                <w:sz w:val="20"/>
              </w:rPr>
              <w:t>Kaldırma, dalış, basınçlı hat açma gibi aileler yalnız kapsam analizi ve ayrı uzman profiliyle. Bu listeyle etkinleşmez.</w:t>
            </w:r>
          </w:p>
        </w:tc>
      </w:tr>
    </w:tbl>
    <w:p>
      <w:pPr>
        <w:widowControl/>
        <w:spacing w:after="60" w:line="240" w:lineRule="auto"/>
      </w:pPr>
      <w:r>
        <w:rPr>
          <w:sz w:val="2"/>
        </w:rPr>
        <w:t xml:space="preserve"> </w:t>
      </w:r>
    </w:p>
    <w:p>
      <w:pPr>
        <w:widowControl/>
      </w:pPr>
      <w:r>
        <w:t>Koşullu bölüm gizlenmişse neden ve profil karar izi tutulur. Bilinmiyor veya yanıtlanmamış kontrol “uygun” sayılmaz. Bir izin ailesi için uygulanabilir izolasyon, SIMOPS veya yetkinlik verisi yoksa, sonradan eklenmek üzere atlanarak etkin yetki verilemez. Gerekli kaynak ya da uzman kararı eksik aile DEMO/idari durumda kalır.</w:t>
      </w:r>
    </w:p>
    <w:p>
      <w:pPr>
        <w:pStyle w:val="Heading2"/>
        <w:widowControl/>
      </w:pPr>
      <w:r>
        <w:t>Kaynağa bağlı süre ve sınırlar</w:t>
      </w:r>
    </w:p>
    <w:p>
      <w:pPr>
        <w:widowControl/>
      </w:pPr>
      <w:r>
        <w:t>IMO MSC.581(110) kapalı alan tavsiyesi, risk bağlamında sekiz saati aşmayan süreyi ele alır. COSWP 2026 bölüm 14 genel izin bağlamında 24 saati aşmama yaklaşımını anlatır. Bunlar farklı kaynak/kapsamlardır; tek evrensel default veya otomatik timer değeri oluşturmaz. Yetkili profil doğru kaynağı ve daha kısıtlayıcı uygulanabilir koşulları belirlemelidir.</w:t>
      </w:r>
      <w:r>
        <w:t xml:space="preserve"> </w:t>
      </w:r>
      <w:hyperlink r:id="rId13">
        <w:r>
          <w:rPr>
            <w:color w:val="000000"/>
            <w:u w:val="single"/>
          </w:rPr>
          <w:t>H1 IMO MSC.581(110)</w:t>
        </w:r>
      </w:hyperlink>
      <w:r>
        <w:t xml:space="preserve"> · </w:t>
      </w:r>
      <w:hyperlink r:id="rId14">
        <w:r>
          <w:rPr>
            <w:color w:val="000000"/>
            <w:u w:val="single"/>
          </w:rPr>
          <w:t>H14 MCA COSWP 2026 Bölüm 14</w:t>
        </w:r>
      </w:hyperlink>
    </w:p>
    <w:p>
      <w:pPr>
        <w:widowControl/>
      </w:pPr>
      <w:r>
        <w:t>Bu sayfa bir alana nasıl girileceği, izolasyonun nasıl yapılacağı, ölçümün nasıl alınacağı veya bir operasyonun hangi teknik sınırda güvenli olduğu talimatını vermez. Ölçüm eşikleri, sıklık, kurtarma düzeni, yetkili görevler ve izin süresi gemi bağlamında uzman onaylı kaynaktan yönetilir. Şablon seçmek sahadaki doğrulamayı ortadan kaldırmaz.</w:t>
      </w:r>
    </w:p>
    <w:p>
      <w:pPr>
        <w:widowControl/>
      </w:pPr>
      <w:r>
        <w:t>Kaynak, lisans veya güvenlik kapsamı belirsiz ticari formlar kopyalanmaz. TR/EN alanlar aynı kimlik ve anlamı taşır; çevrilmiş metin yetkili prosedürün kapsamını genişletmez. Yanlış çeviri veya eksik zorunlu açıklama ilgili şablonun yeni kullanımını durdurmalıdır.</w:t>
      </w:r>
    </w:p>
    <w:p>
      <w:pPr>
        <w:pStyle w:val="Heading1"/>
        <w:pageBreakBefore/>
        <w:widowControl/>
      </w:pPr>
      <w:r>
        <w:t>6 Yaşam döngüsü ve etkin yetkilendirme</w:t>
      </w:r>
    </w:p>
    <w:p>
      <w:pPr>
        <w:widowControl/>
      </w:pPr>
      <w:r>
        <w:t>İş akışı kaydı ile şu anda işe yetki verip vermediği ayrı tutulmalıdır. PTW adayı DRAFT → REVIEW_REQUESTED → PREPARATION_REQUIRED → ISSUED → ACTIVE → HANDBACK_PENDING → CLOSED’dır; SUSPENDED/CANCELLED/EXPIRED yan durumları vardır. Etkin yetkilendirme ayrı UNCONFIRMED/VALID/REVIEW_REQUIRED/SUSPENDED/EXPIRED değeridir. Bu enumlar NEW-PROPOSED’dır, SMS/uzman onayı bekler; evrensel hukuki durum değildir. RA adayı DRAFT → REVIEW_REQUESTED → REVIEWED/RETURNED’dır; yeni revision eski onayı devralmaz. RA review, ayrı risk kabulü ve PTW issue farklı insan kararlarıdır. ISSUED kaydı, planlanan başlangıçtan önce işe başlanabileceği anlamına gelmez.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920"/>
      </w:tblGrid>
      <w:tr>
        <w:trPr>
          <w:cantSplit/>
          <w:tblHeader/>
        </w:trPr>
        <w:tc>
          <w:tcPr>
            <w:tcW w:type="dxa" w:w="2304"/>
            <w:vAlign w:val="center"/>
            <w:shd w:fill="E8EDF2"/>
            <w:tcMar>
              <w:top w:w="90" w:type="dxa"/>
              <w:left w:w="90" w:type="dxa"/>
              <w:bottom w:w="90" w:type="dxa"/>
              <w:right w:w="90" w:type="dxa"/>
            </w:tcMar>
          </w:tcPr>
          <w:p>
            <w:pPr>
              <w:spacing w:line="247" w:lineRule="auto" w:after="40"/>
            </w:pPr>
            <w:r>
              <w:rPr>
                <w:b/>
                <w:sz w:val="20"/>
              </w:rPr>
              <w:t>Olay</w:t>
            </w:r>
          </w:p>
        </w:tc>
        <w:tc>
          <w:tcPr>
            <w:tcW w:type="dxa" w:w="7920"/>
            <w:vAlign w:val="center"/>
            <w:shd w:fill="E8EDF2"/>
            <w:tcMar>
              <w:top w:w="90" w:type="dxa"/>
              <w:left w:w="90" w:type="dxa"/>
              <w:bottom w:w="90" w:type="dxa"/>
              <w:right w:w="90" w:type="dxa"/>
            </w:tcMar>
          </w:tcPr>
          <w:p>
            <w:pPr>
              <w:spacing w:line="247" w:lineRule="auto" w:after="40"/>
            </w:pPr>
            <w:r>
              <w:rPr>
                <w:b/>
                <w:sz w:val="20"/>
              </w:rPr>
              <w:t>Etkin yetkilendirmeye etkisi</w:t>
            </w:r>
          </w:p>
        </w:tc>
      </w:tr>
      <w:tr>
        <w:trPr>
          <w:cantSplit/>
        </w:trPr>
        <w:tc>
          <w:tcPr>
            <w:tcW w:type="dxa" w:w="2304"/>
            <w:vAlign w:val="center"/>
            <w:shd w:fill="FFFFFF"/>
            <w:tcMar>
              <w:top w:w="90" w:type="dxa"/>
              <w:left w:w="90" w:type="dxa"/>
              <w:bottom w:w="90" w:type="dxa"/>
              <w:right w:w="90" w:type="dxa"/>
            </w:tcMar>
          </w:tcPr>
          <w:p>
            <w:pPr>
              <w:spacing w:line="247" w:lineRule="auto" w:after="40"/>
            </w:pPr>
            <w:r>
              <w:rPr>
                <w:b w:val="0"/>
                <w:sz w:val="20"/>
              </w:rPr>
              <w:t>İlk issue veya aktivasyon</w:t>
            </w:r>
          </w:p>
        </w:tc>
        <w:tc>
          <w:tcPr>
            <w:tcW w:type="dxa" w:w="7920"/>
            <w:vAlign w:val="center"/>
            <w:shd w:fill="FFFFFF"/>
            <w:tcMar>
              <w:top w:w="90" w:type="dxa"/>
              <w:left w:w="90" w:type="dxa"/>
              <w:bottom w:w="90" w:type="dxa"/>
              <w:right w:w="90" w:type="dxa"/>
            </w:tcMar>
          </w:tcPr>
          <w:p>
            <w:pPr>
              <w:spacing w:line="247" w:lineRule="auto" w:after="40"/>
            </w:pPr>
            <w:r>
              <w:rPr>
                <w:b w:val="0"/>
                <w:sz w:val="20"/>
              </w:rPr>
              <w:t>Tüm uygulanabilir önkoşullar, doğru revision, yetkili roller, güncel kanıt ve izin penceresi yeniden denetlenir; eksik/unknown varsa yetki yok.</w:t>
            </w:r>
          </w:p>
        </w:tc>
      </w:tr>
      <w:tr>
        <w:trPr>
          <w:cantSplit/>
        </w:trPr>
        <w:tc>
          <w:tcPr>
            <w:tcW w:type="dxa" w:w="2304"/>
            <w:vAlign w:val="center"/>
            <w:shd w:fill="FFFFFF"/>
            <w:tcMar>
              <w:top w:w="90" w:type="dxa"/>
              <w:left w:w="90" w:type="dxa"/>
              <w:bottom w:w="90" w:type="dxa"/>
              <w:right w:w="90" w:type="dxa"/>
            </w:tcMar>
          </w:tcPr>
          <w:p>
            <w:pPr>
              <w:spacing w:line="247" w:lineRule="auto" w:after="40"/>
            </w:pPr>
            <w:r>
              <w:rPr>
                <w:b w:val="0"/>
                <w:sz w:val="20"/>
              </w:rPr>
              <w:t>İlgili RA veya koşul değişimi</w:t>
            </w:r>
          </w:p>
        </w:tc>
        <w:tc>
          <w:tcPr>
            <w:tcW w:type="dxa" w:w="7920"/>
            <w:vAlign w:val="center"/>
            <w:shd w:fill="FFFFFF"/>
            <w:tcMar>
              <w:top w:w="90" w:type="dxa"/>
              <w:left w:w="90" w:type="dxa"/>
              <w:bottom w:w="90" w:type="dxa"/>
              <w:right w:w="90" w:type="dxa"/>
            </w:tcMar>
          </w:tcPr>
          <w:p>
            <w:pPr>
              <w:spacing w:line="247" w:lineRule="auto" w:after="40"/>
            </w:pPr>
            <w:r>
              <w:rPr>
                <w:b w:val="0"/>
                <w:sz w:val="20"/>
              </w:rPr>
              <w:t>Onaylı profil uyarınca etkin yetki askıya/geçersizliğe veya REVIEW_REQUIRED’a alınır. Eski onaylı metin korunur; yeşil ACTIVE + banner yeterli değil.</w:t>
            </w:r>
          </w:p>
        </w:tc>
      </w:tr>
      <w:tr>
        <w:trPr>
          <w:cantSplit/>
        </w:trPr>
        <w:tc>
          <w:tcPr>
            <w:tcW w:type="dxa" w:w="2304"/>
            <w:vAlign w:val="center"/>
            <w:shd w:fill="FFFFFF"/>
            <w:tcMar>
              <w:top w:w="90" w:type="dxa"/>
              <w:left w:w="90" w:type="dxa"/>
              <w:bottom w:w="90" w:type="dxa"/>
              <w:right w:w="90" w:type="dxa"/>
            </w:tcMar>
          </w:tcPr>
          <w:p>
            <w:pPr>
              <w:spacing w:line="247" w:lineRule="auto" w:after="40"/>
            </w:pPr>
            <w:r>
              <w:rPr>
                <w:b w:val="0"/>
                <w:sz w:val="20"/>
              </w:rPr>
              <w:t>Süre sonu veya güncellik kaybı</w:t>
            </w:r>
          </w:p>
        </w:tc>
        <w:tc>
          <w:tcPr>
            <w:tcW w:type="dxa" w:w="7920"/>
            <w:vAlign w:val="center"/>
            <w:shd w:fill="FFFFFF"/>
            <w:tcMar>
              <w:top w:w="90" w:type="dxa"/>
              <w:left w:w="90" w:type="dxa"/>
              <w:bottom w:w="90" w:type="dxa"/>
              <w:right w:w="90" w:type="dxa"/>
            </w:tcMar>
          </w:tcPr>
          <w:p>
            <w:pPr>
              <w:spacing w:line="247" w:lineRule="auto" w:after="40"/>
            </w:pPr>
            <w:r>
              <w:rPr>
                <w:b w:val="0"/>
                <w:sz w:val="20"/>
              </w:rPr>
              <w:t>Bildirim okunmasa da etkin yetki sona erer ya da doğrulanamaz sayılır. Cache veya açık sekme eski ACTIVE ile yetki iddia edemez.</w:t>
            </w:r>
          </w:p>
        </w:tc>
      </w:tr>
      <w:tr>
        <w:trPr>
          <w:cantSplit/>
        </w:trPr>
        <w:tc>
          <w:tcPr>
            <w:tcW w:type="dxa" w:w="2304"/>
            <w:vAlign w:val="center"/>
            <w:shd w:fill="FFFFFF"/>
            <w:tcMar>
              <w:top w:w="90" w:type="dxa"/>
              <w:left w:w="90" w:type="dxa"/>
              <w:bottom w:w="90" w:type="dxa"/>
              <w:right w:w="90" w:type="dxa"/>
            </w:tcMar>
          </w:tcPr>
          <w:p>
            <w:pPr>
              <w:spacing w:line="247" w:lineRule="auto" w:after="40"/>
            </w:pPr>
            <w:r>
              <w:rPr>
                <w:b w:val="0"/>
                <w:sz w:val="20"/>
              </w:rPr>
              <w:t>Resume veya uzatma</w:t>
            </w:r>
          </w:p>
        </w:tc>
        <w:tc>
          <w:tcPr>
            <w:tcW w:type="dxa" w:w="7920"/>
            <w:vAlign w:val="center"/>
            <w:shd w:fill="FFFFFF"/>
            <w:tcMar>
              <w:top w:w="90" w:type="dxa"/>
              <w:left w:w="90" w:type="dxa"/>
              <w:bottom w:w="90" w:type="dxa"/>
              <w:right w:w="90" w:type="dxa"/>
            </w:tcMar>
          </w:tcPr>
          <w:p>
            <w:pPr>
              <w:spacing w:line="247" w:lineRule="auto" w:after="40"/>
            </w:pPr>
            <w:r>
              <w:rPr>
                <w:b w:val="0"/>
                <w:sz w:val="20"/>
              </w:rPr>
              <w:t>Gerekli yeni kontroller ve yetkili yeniden karar gerekir. Profil yeni izin istiyorsa yalnız resume yeterli değildir; timer otomatik uzatmaz.</w:t>
            </w:r>
          </w:p>
        </w:tc>
      </w:tr>
      <w:tr>
        <w:trPr>
          <w:cantSplit/>
        </w:trPr>
        <w:tc>
          <w:tcPr>
            <w:tcW w:type="dxa" w:w="2304"/>
            <w:vAlign w:val="center"/>
            <w:shd w:fill="FFFFFF"/>
            <w:tcMar>
              <w:top w:w="90" w:type="dxa"/>
              <w:left w:w="90" w:type="dxa"/>
              <w:bottom w:w="90" w:type="dxa"/>
              <w:right w:w="90" w:type="dxa"/>
            </w:tcMar>
          </w:tcPr>
          <w:p>
            <w:pPr>
              <w:spacing w:line="247" w:lineRule="auto" w:after="40"/>
            </w:pPr>
            <w:r>
              <w:rPr>
                <w:b w:val="0"/>
                <w:sz w:val="20"/>
              </w:rPr>
              <w:t>Handback ve close</w:t>
            </w:r>
          </w:p>
        </w:tc>
        <w:tc>
          <w:tcPr>
            <w:tcW w:type="dxa" w:w="7920"/>
            <w:vAlign w:val="center"/>
            <w:shd w:fill="FFFFFF"/>
            <w:tcMar>
              <w:top w:w="90" w:type="dxa"/>
              <w:left w:w="90" w:type="dxa"/>
              <w:bottom w:w="90" w:type="dxa"/>
              <w:right w:w="90" w:type="dxa"/>
            </w:tcMar>
          </w:tcPr>
          <w:p>
            <w:pPr>
              <w:spacing w:line="247" w:lineRule="auto" w:after="40"/>
            </w:pPr>
            <w:r>
              <w:rPr>
                <w:b w:val="0"/>
                <w:sz w:val="20"/>
              </w:rPr>
              <w:t>İş teslimi ve izin kapanışı ayrı olaydır. Açık izolasyonlar, ekipman teslimi ve diğer izinler kendi yetkili süreçlerinde kalır.</w:t>
            </w:r>
          </w:p>
        </w:tc>
      </w:tr>
    </w:tbl>
    <w:p>
      <w:pPr>
        <w:widowControl/>
        <w:spacing w:after="60" w:line="240" w:lineRule="auto"/>
      </w:pPr>
      <w:r>
        <w:rPr>
          <w:sz w:val="2"/>
        </w:rPr>
        <w:t xml:space="preserve"> </w:t>
      </w:r>
    </w:p>
    <w:p>
      <w:pPr>
        <w:pStyle w:val="Heading2"/>
        <w:widowControl/>
      </w:pPr>
      <w:r>
        <w:t>HSE C01 düzeltmesi</w:t>
      </w:r>
    </w:p>
    <w:p>
      <w:pPr>
        <w:widowControl/>
      </w:pPr>
      <w:r>
        <w:t>İlk araştırma/teknik notlardaki “uyarı” veya “review gereksinimini görünür kılma” anlatımı tek başına yeterli değildir. İlgili emniyet koşulu değişince etkili yetkilendirme ayrıca kısıtlanır; yalnız metinsel uyarıyla geçerli statü sürdürülemez. Hangi değişikliğin maddi olmadığı açık profil/otorite kararıyla tanımlanır; bilinmeyen etki otomatik önemsiz sayılmaz.</w:t>
      </w:r>
    </w:p>
    <w:p>
      <w:pPr>
        <w:widowControl/>
      </w:pPr>
      <w:r>
        <w:t>Şablon yayınında yeni revision oluşur; geçmiş onaylı belge değişmez. Ancak değişiklik mevcut işe ilişkin kritik kontrolü etkiliyorsa bağlı izinlerde etki değerlendirmesi ve etkin yetki kısıtlaması gerekir. Eski revision’ın değişmezliği, eski izinle devam hakkı değildir. Gerekli yeniden değerlendirme ve yetkili onay tamamlanmadan yeşil geçerli statü dönmez.</w:t>
      </w:r>
    </w:p>
    <w:p>
      <w:pPr>
        <w:widowControl/>
      </w:pPr>
      <w:r>
        <w:t>Onay sırasında kontrol edilen revision, koşul snapshot’ı ve current authorization version aynı işlemde doğrulanmalıdır. Eşzamanlı RA/koşul değişimiyle issue yarışı kabul testidir. Sonradan gelen eski async yanıt veya yeniden bağlanma eski onayı canlandıramaz. Kısıtlamanın tetiklenmesi denetlenebilir olaydır; geçmiş insan kararları silinmez.</w:t>
      </w:r>
    </w:p>
    <w:p>
      <w:pPr>
        <w:widowControl/>
      </w:pPr>
      <w:r>
        <w:t>Stop-work bildirimi ve acil plan erişimi kolay bulunmalıdır. Uygulama yetkisi kaybı fiziksel işi durdurma hakkını sınırlayan talimat değildir. Yeniden başlatma yetkisi, durdurma bildirimini yapabilen geniş gruba otomatik verilmez; AI, düşük risk puanı veya admin rolü onay yerine geçmez.</w:t>
      </w:r>
    </w:p>
    <w:p>
      <w:pPr>
        <w:pStyle w:val="Heading1"/>
        <w:pageBreakBefore/>
        <w:widowControl/>
      </w:pPr>
      <w:r>
        <w:t>7 Roller güvenlik ve denetim kaydı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632"/>
      </w:tblGrid>
      <w:tr>
        <w:trPr>
          <w:cantSplit/>
          <w:tblHeader/>
        </w:trPr>
        <w:tc>
          <w:tcPr>
            <w:tcW w:type="dxa" w:w="2592"/>
            <w:vAlign w:val="center"/>
            <w:shd w:fill="E8EDF2"/>
            <w:tcMar>
              <w:top w:w="90" w:type="dxa"/>
              <w:left w:w="90" w:type="dxa"/>
              <w:bottom w:w="90" w:type="dxa"/>
              <w:right w:w="90" w:type="dxa"/>
            </w:tcMar>
          </w:tcPr>
          <w:p>
            <w:pPr>
              <w:spacing w:line="247" w:lineRule="auto" w:after="40"/>
            </w:pPr>
            <w:r>
              <w:rPr>
                <w:b/>
                <w:sz w:val="20"/>
              </w:rPr>
              <w:t>Sorumluluk</w:t>
            </w:r>
          </w:p>
        </w:tc>
        <w:tc>
          <w:tcPr>
            <w:tcW w:type="dxa" w:w="7632"/>
            <w:vAlign w:val="center"/>
            <w:shd w:fill="E8EDF2"/>
            <w:tcMar>
              <w:top w:w="90" w:type="dxa"/>
              <w:left w:w="90" w:type="dxa"/>
              <w:bottom w:w="90" w:type="dxa"/>
              <w:right w:w="90" w:type="dxa"/>
            </w:tcMar>
          </w:tcPr>
          <w:p>
            <w:pPr>
              <w:spacing w:line="247" w:lineRule="auto" w:after="40"/>
            </w:pPr>
            <w:r>
              <w:rPr>
                <w:b/>
                <w:sz w:val="20"/>
              </w:rPr>
              <w:t>Önerilen yetki sınırı</w:t>
            </w:r>
          </w:p>
        </w:tc>
      </w:tr>
      <w:tr>
        <w:trPr>
          <w:cantSplit/>
        </w:trPr>
        <w:tc>
          <w:tcPr>
            <w:tcW w:type="dxa" w:w="2592"/>
            <w:vAlign w:val="center"/>
            <w:shd w:fill="FFFFFF"/>
            <w:tcMar>
              <w:top w:w="90" w:type="dxa"/>
              <w:left w:w="90" w:type="dxa"/>
              <w:bottom w:w="90" w:type="dxa"/>
              <w:right w:w="90" w:type="dxa"/>
            </w:tcMar>
          </w:tcPr>
          <w:p>
            <w:pPr>
              <w:spacing w:line="247" w:lineRule="auto" w:after="40"/>
            </w:pPr>
            <w:r>
              <w:rPr>
                <w:b w:val="0"/>
                <w:sz w:val="20"/>
              </w:rPr>
              <w:t>Hazırlayan ve katılımcı</w:t>
            </w:r>
          </w:p>
        </w:tc>
        <w:tc>
          <w:tcPr>
            <w:tcW w:type="dxa" w:w="7632"/>
            <w:vAlign w:val="center"/>
            <w:shd w:fill="FFFFFF"/>
            <w:tcMar>
              <w:top w:w="90" w:type="dxa"/>
              <w:left w:w="90" w:type="dxa"/>
              <w:bottom w:w="90" w:type="dxa"/>
              <w:right w:w="90" w:type="dxa"/>
            </w:tcMar>
          </w:tcPr>
          <w:p>
            <w:pPr>
              <w:spacing w:line="247" w:lineRule="auto" w:after="40"/>
            </w:pPr>
            <w:r>
              <w:rPr>
                <w:b w:val="0"/>
                <w:sz w:val="20"/>
              </w:rPr>
              <w:t>Taslak/katılım kaydı; kendiliğinden risk kabulü veya permit issue yok.</w:t>
            </w:r>
          </w:p>
        </w:tc>
      </w:tr>
      <w:tr>
        <w:trPr>
          <w:cantSplit/>
        </w:trPr>
        <w:tc>
          <w:tcPr>
            <w:tcW w:type="dxa" w:w="2592"/>
            <w:vAlign w:val="center"/>
            <w:shd w:fill="FFFFFF"/>
            <w:tcMar>
              <w:top w:w="90" w:type="dxa"/>
              <w:left w:w="90" w:type="dxa"/>
              <w:bottom w:w="90" w:type="dxa"/>
              <w:right w:w="90" w:type="dxa"/>
            </w:tcMar>
          </w:tcPr>
          <w:p>
            <w:pPr>
              <w:spacing w:line="247" w:lineRule="auto" w:after="40"/>
            </w:pPr>
            <w:r>
              <w:rPr>
                <w:b w:val="0"/>
                <w:sz w:val="20"/>
              </w:rPr>
              <w:t>Risk değerlendirici ve kabul yetkilisi</w:t>
            </w:r>
          </w:p>
        </w:tc>
        <w:tc>
          <w:tcPr>
            <w:tcW w:type="dxa" w:w="7632"/>
            <w:vAlign w:val="center"/>
            <w:shd w:fill="FFFFFF"/>
            <w:tcMar>
              <w:top w:w="90" w:type="dxa"/>
              <w:left w:w="90" w:type="dxa"/>
              <w:bottom w:w="90" w:type="dxa"/>
              <w:right w:w="90" w:type="dxa"/>
            </w:tcMar>
          </w:tcPr>
          <w:p>
            <w:pPr>
              <w:spacing w:line="247" w:lineRule="auto" w:after="40"/>
            </w:pPr>
            <w:r>
              <w:rPr>
                <w:b w:val="0"/>
                <w:sz w:val="20"/>
              </w:rPr>
              <w:t>Yöntem/kapsam/kanıt incelemesi ve ayrı karar. Gerekli görev ayrılığı/ikinci kişi politikası profile bağlı.</w:t>
            </w:r>
          </w:p>
        </w:tc>
      </w:tr>
      <w:tr>
        <w:trPr>
          <w:cantSplit/>
        </w:trPr>
        <w:tc>
          <w:tcPr>
            <w:tcW w:type="dxa" w:w="2592"/>
            <w:vAlign w:val="center"/>
            <w:shd w:fill="FFFFFF"/>
            <w:tcMar>
              <w:top w:w="90" w:type="dxa"/>
              <w:left w:w="90" w:type="dxa"/>
              <w:bottom w:w="90" w:type="dxa"/>
              <w:right w:w="90" w:type="dxa"/>
            </w:tcMar>
          </w:tcPr>
          <w:p>
            <w:pPr>
              <w:spacing w:line="247" w:lineRule="auto" w:after="40"/>
            </w:pPr>
            <w:r>
              <w:rPr>
                <w:b w:val="0"/>
                <w:sz w:val="20"/>
              </w:rPr>
              <w:t>İzin veren</w:t>
            </w:r>
          </w:p>
        </w:tc>
        <w:tc>
          <w:tcPr>
            <w:tcW w:type="dxa" w:w="7632"/>
            <w:vAlign w:val="center"/>
            <w:shd w:fill="FFFFFF"/>
            <w:tcMar>
              <w:top w:w="90" w:type="dxa"/>
              <w:left w:w="90" w:type="dxa"/>
              <w:bottom w:w="90" w:type="dxa"/>
              <w:right w:w="90" w:type="dxa"/>
            </w:tcMar>
          </w:tcPr>
          <w:p>
            <w:pPr>
              <w:spacing w:line="247" w:lineRule="auto" w:after="40"/>
            </w:pPr>
            <w:r>
              <w:rPr>
                <w:b w:val="0"/>
                <w:sz w:val="20"/>
              </w:rPr>
              <w:t>Yetkili görev ataması, gemi/iş kapsamı ve yeterlik güncel olmalı; tüm önkoşulları atlama yetkisi yok.</w:t>
            </w:r>
          </w:p>
        </w:tc>
      </w:tr>
      <w:tr>
        <w:trPr>
          <w:cantSplit/>
        </w:trPr>
        <w:tc>
          <w:tcPr>
            <w:tcW w:type="dxa" w:w="2592"/>
            <w:vAlign w:val="center"/>
            <w:shd w:fill="FFFFFF"/>
            <w:tcMar>
              <w:top w:w="90" w:type="dxa"/>
              <w:left w:w="90" w:type="dxa"/>
              <w:bottom w:w="90" w:type="dxa"/>
              <w:right w:w="90" w:type="dxa"/>
            </w:tcMar>
          </w:tcPr>
          <w:p>
            <w:pPr>
              <w:spacing w:line="247" w:lineRule="auto" w:after="40"/>
            </w:pPr>
            <w:r>
              <w:rPr>
                <w:b w:val="0"/>
                <w:sz w:val="20"/>
              </w:rPr>
              <w:t>İşi yürüten ve teslim alan</w:t>
            </w:r>
          </w:p>
        </w:tc>
        <w:tc>
          <w:tcPr>
            <w:tcW w:type="dxa" w:w="7632"/>
            <w:vAlign w:val="center"/>
            <w:shd w:fill="FFFFFF"/>
            <w:tcMar>
              <w:top w:w="90" w:type="dxa"/>
              <w:left w:w="90" w:type="dxa"/>
              <w:bottom w:w="90" w:type="dxa"/>
              <w:right w:w="90" w:type="dxa"/>
            </w:tcMar>
          </w:tcPr>
          <w:p>
            <w:pPr>
              <w:spacing w:line="247" w:lineRule="auto" w:after="40"/>
            </w:pPr>
            <w:r>
              <w:rPr>
                <w:b w:val="0"/>
                <w:sz w:val="20"/>
              </w:rPr>
              <w:t>Kapsam ve koşulları kabul, devir/handback; başka kişinin yetkilendirme kararını taklit edemez.</w:t>
            </w:r>
          </w:p>
        </w:tc>
      </w:tr>
      <w:tr>
        <w:trPr>
          <w:cantSplit/>
        </w:trPr>
        <w:tc>
          <w:tcPr>
            <w:tcW w:type="dxa" w:w="2592"/>
            <w:vAlign w:val="center"/>
            <w:shd w:fill="FFFFFF"/>
            <w:tcMar>
              <w:top w:w="90" w:type="dxa"/>
              <w:left w:w="90" w:type="dxa"/>
              <w:bottom w:w="90" w:type="dxa"/>
              <w:right w:w="90" w:type="dxa"/>
            </w:tcMar>
          </w:tcPr>
          <w:p>
            <w:pPr>
              <w:spacing w:line="247" w:lineRule="auto" w:after="40"/>
            </w:pPr>
            <w:r>
              <w:rPr>
                <w:b w:val="0"/>
                <w:sz w:val="20"/>
              </w:rPr>
              <w:t>Özel kontrol yetkilileri</w:t>
            </w:r>
          </w:p>
        </w:tc>
        <w:tc>
          <w:tcPr>
            <w:tcW w:type="dxa" w:w="7632"/>
            <w:vAlign w:val="center"/>
            <w:shd w:fill="FFFFFF"/>
            <w:tcMar>
              <w:top w:w="90" w:type="dxa"/>
              <w:left w:w="90" w:type="dxa"/>
              <w:bottom w:w="90" w:type="dxa"/>
              <w:right w:w="90" w:type="dxa"/>
            </w:tcMar>
          </w:tcPr>
          <w:p>
            <w:pPr>
              <w:spacing w:line="247" w:lineRule="auto" w:after="40"/>
            </w:pPr>
            <w:r>
              <w:rPr>
                <w:b w:val="0"/>
                <w:sz w:val="20"/>
              </w:rPr>
              <w:t>Ölçüm/izolasyon gibi kontroller için ayrı assignment/capability ve kanıt; isim veya unvan yazmak yeterlik yaratmaz.</w:t>
            </w:r>
          </w:p>
        </w:tc>
      </w:tr>
      <w:tr>
        <w:trPr>
          <w:cantSplit/>
        </w:trPr>
        <w:tc>
          <w:tcPr>
            <w:tcW w:type="dxa" w:w="2592"/>
            <w:vAlign w:val="center"/>
            <w:shd w:fill="FFFFFF"/>
            <w:tcMar>
              <w:top w:w="90" w:type="dxa"/>
              <w:left w:w="90" w:type="dxa"/>
              <w:bottom w:w="90" w:type="dxa"/>
              <w:right w:w="90" w:type="dxa"/>
            </w:tcMar>
          </w:tcPr>
          <w:p>
            <w:pPr>
              <w:spacing w:line="247" w:lineRule="auto" w:after="40"/>
            </w:pPr>
            <w:r>
              <w:rPr>
                <w:b w:val="0"/>
                <w:sz w:val="20"/>
              </w:rPr>
              <w:t>Platform yöneticisi</w:t>
            </w:r>
          </w:p>
        </w:tc>
        <w:tc>
          <w:tcPr>
            <w:tcW w:type="dxa" w:w="7632"/>
            <w:vAlign w:val="center"/>
            <w:shd w:fill="FFFFFF"/>
            <w:tcMar>
              <w:top w:w="90" w:type="dxa"/>
              <w:left w:w="90" w:type="dxa"/>
              <w:bottom w:w="90" w:type="dxa"/>
              <w:right w:w="90" w:type="dxa"/>
            </w:tcMar>
          </w:tcPr>
          <w:p>
            <w:pPr>
              <w:spacing w:line="247" w:lineRule="auto" w:after="40"/>
            </w:pPr>
            <w:r>
              <w:rPr>
                <w:b w:val="0"/>
                <w:sz w:val="20"/>
              </w:rPr>
              <w:t>Teknik yönetim; hukuki/İSG/operasyonel onay veya otomatik emergency override değildir.</w:t>
            </w:r>
          </w:p>
        </w:tc>
      </w:tr>
    </w:tbl>
    <w:p>
      <w:pPr>
        <w:widowControl/>
        <w:spacing w:after="60" w:line="240" w:lineRule="auto"/>
      </w:pPr>
      <w:r>
        <w:rPr>
          <w:sz w:val="2"/>
        </w:rPr>
        <w:t xml:space="preserve"> </w:t>
      </w:r>
    </w:p>
    <w:p>
      <w:pPr>
        <w:widowControl/>
      </w:pPr>
      <w:r>
        <w:t>Master/Tug Master, DPA/HSEQ ve Control Owner kaynak rol adlarıdır. Bunlar tek başına imza/grant değildir. Self-approval, vekalet, vardiya devri, çift kontrol ve çıkar çatışması politikaları ayrıca onaylanır. Kullanıcı grant’i ile mesleki yetkinlik farklı kayıtlardır; ikisi de gerekli komutta güncel doğrulanır.</w:t>
      </w:r>
    </w:p>
    <w:p>
      <w:pPr>
        <w:pStyle w:val="Heading2"/>
        <w:widowControl/>
      </w:pPr>
      <w:r>
        <w:t>Sunucu denetimleri ve belirsiz komutlar</w:t>
      </w:r>
    </w:p>
    <w:p>
      <w:pPr>
        <w:widowControl/>
      </w:pPr>
      <w:r>
        <w:t>Her read/command tenant/company/vessel/job/object scope’u sunucuda denetler. Cookie kullanan unsafe komutlarda CSRF gerekir; client state veya gizli düğme güvenlik sınırı değildir. If-Match stale revision’ı reddeder. Revoked izinler replay’de özgün action yetkisiyle yeniden denetlenir; farklı eylem veya payload aynı anahtarla başarı sayılmaz.</w:t>
      </w:r>
    </w:p>
    <w:p>
      <w:pPr>
        <w:widowControl/>
      </w:pPr>
      <w:r>
        <w:t>Idempotency action + payload + revision fingerprint’e bağlanır; başarı olayı ve değişiklik atomiktir. Commit sonrası yanıt kaybı aynı değişmez anahtar/gövdeyle belirsiz kalır; sonraki 403/409/412/422 yeni create veya key recreation gerekçesi olmaz. Eski açık bundle, oturum kaybı, navigation ve sayfa kapanışı güvenli uzlaştırma tasarımına dahil edilir. Kapanışı aşan anahtar kalıcılığı bugün mevcut kabul edilmez.</w:t>
      </w:r>
    </w:p>
    <w:p>
      <w:pPr>
        <w:pStyle w:val="Heading2"/>
        <w:widowControl/>
      </w:pPr>
      <w:r>
        <w:t>Kanıt ve mahremiyet</w:t>
      </w:r>
    </w:p>
    <w:p>
      <w:pPr>
        <w:widowControl/>
      </w:pPr>
      <w:r>
        <w:t>Yeni evidence_ref mevcut karantina sınırını aşamaz. Dosya yüklemek okunabilir, temiz, doğrulanmış veya işe uygun kanıt yaratmaz; mevcut quarantine içeriği izin önkoşulunu sağlamış sayılmaz. Güvenli kanıt kullanımı için ayrı kabul edilmiş işlev gerekir. Belge adı veya id’si üzerinden kapsam dışı nesne sızıntısı önlenmelidir.</w:t>
      </w:r>
    </w:p>
    <w:p>
      <w:pPr>
        <w:widowControl/>
      </w:pPr>
      <w:r>
        <w:t>Geçmiş olaylar değişmez kimlik/revision/action/sonuç ve gereken gerekçeyi taşır; geniş kullanıcıya gösterilen safe history hassas eski/yeni içerikleri veya klinik sağlık verisini açmaz. İmza kanıtı, kişisel veri minimizasyonu, saklama/hold ve erişim kuralları ayrı onaylıdır. Bu tasarım e-imzanın hukuki yeterliğini veya WORM niteliğini iddia etmez.</w:t>
      </w:r>
    </w:p>
    <w:p>
      <w:pPr>
        <w:pStyle w:val="Heading1"/>
        <w:pageBreakBefore/>
        <w:widowControl/>
      </w:pPr>
      <w:r>
        <w:t>8 Gezinim erişilebilirlik ve offline durum</w:t>
      </w:r>
    </w:p>
    <w:p>
      <w:pPr>
        <w:widowControl/>
      </w:pPr>
      <w:r>
        <w:t>HSE geziniminde mevcut RA, risk şablonu ve yüksek risk görünümü bulunabilir olmalıdır; İş İzinleri girişinden canonical Permit listesine gidilir. SHIP/TUG modları, rol filtresi ve menü araması aynı izinli yolu bulmalıdır. GROUPS bağlantısını düzeltmek ilk görünürlük adımıdır, fakat ilk 12 generic alanı göstermek tek başına kullanılabilir JSA/PTW formu oluşturmaz.</w:t>
      </w:r>
    </w:p>
    <w:p>
      <w:pPr>
        <w:pStyle w:val="Heading2"/>
        <w:widowControl/>
      </w:pPr>
      <w:r>
        <w:t>Form davranışı</w:t>
      </w:r>
    </w:p>
    <w:p>
      <w:pPr>
        <w:widowControl/>
      </w:pPr>
      <w:r>
        <w:t>Başlıkta kayıt türü, revision, görev durumu ve etkin yetki sonucu ayrı görünür. Bölümler anlamlı gruplar ve tekrarlayan kart/satır düzenleyicileriyle sunulur; geniş spreadsheet biçimi küçük ekrana zorlanmaz. Klavyeyle bölüm/satır ekleme, silme onayı, hata özetine ve ilgili alana odak, Tab sırası, ekran okuyucu etiketleri ve uzun metinler tasarlanır. Sadece renk üzerinden risk veya izin kararı verilmez.</w:t>
      </w:r>
    </w:p>
    <w:p>
      <w:pPr>
        <w:widowControl/>
      </w:pPr>
      <w:r>
        <w:t>TR/EN aynı kayıt ve karar kimliğini korur. Dil değişimi dirty veriyi kaybetmez; boş/sıfır/uygulanmaz ayrımı açık kalır. Kaydedilmemiş form, scope/hesap değişimi, navigation ve eski async yanıt yanlış kaydı dolduramaz. Kritik bir koşulu auto-save etmek izin revizyonunu sessiz değiştiremez; taslak kaydı ile onay komutu farklıdır.</w:t>
      </w:r>
    </w:p>
    <w:p>
      <w:pPr>
        <w:pStyle w:val="Heading2"/>
        <w:widowControl/>
      </w:pPr>
      <w:r>
        <w:t>HSE C02 düzeltmesi ve güncellik</w:t>
      </w:r>
    </w:p>
    <w:p>
      <w:pPr>
        <w:widowControl/>
      </w:pPr>
      <w:r>
        <w:t>Cache’teki ACTIVE veya ISSUED yalnız geçmiş görülen durumdur. Server bağlantısı, saat güvenilirliği veya yetki/kanıt güncelliği belirsizse ekran “güncel geçerlilik doğrulanamıyor” der; geçerli operasyon yetkisi iddia etmez. Yalnız yeni offline permit’i engellemek yetmez; önceden aktif kaydın eski cache’i de aynı sınıra tabidir.</w:t>
      </w:r>
    </w:p>
    <w:p>
      <w:pPr>
        <w:widowControl/>
      </w:pPr>
      <w:r>
        <w:t>Yerel saat/ofset, son doğrulama ve senkronizasyon zamanı görünür tutulur. Offline taslak önerisi mümkündür; offline issue, resume, uzatma veya otomatik geçerlilik garantisi verilmez. Yeniden bağlanma current revision/current authority, olaylar ve çakışmaları uzlaştırmadan izin canlandırmaz. Yeniden gönderim veya arka planda resync, insan yeniden yetkilendirmesi yerine geçmez.</w:t>
      </w:r>
    </w:p>
    <w:p>
      <w:pPr>
        <w:widowControl/>
      </w:pPr>
      <w:r>
        <w:t>Geminin onaylı kâğıt/yerel devamlılık prosedürü ayrıca yönetilir; yazılım kesintisi bu prosedürün yerine geçmez veya kontrolleri aşma yetkisi vermez. Sonradan kayda alınan yerel kararın kaynağı ve zamanı ayrılır; güncel app onayı gibi geçmişe dönük üretilmez.</w:t>
      </w:r>
    </w:p>
    <w:p>
      <w:pPr>
        <w:pStyle w:val="Heading2"/>
        <w:widowControl/>
      </w:pPr>
      <w:r>
        <w:t>On prem çalışma ve kullanıcı kabulü</w:t>
      </w:r>
    </w:p>
    <w:p>
      <w:pPr>
        <w:widowControl/>
      </w:pPr>
      <w:r>
        <w:t>Self-hosted/on-prem ana hedeftir. Offline şablon ve profil paketleri revision/hash/lisans ve geçmişle dağıtılır; cloud development üretim barındırma kararı değildir. Windows/Android fiziksel cihaz, ekran okuyucu, kesinti ve yeniden bağlanma koşuları ayrıca kabul edilir. Statik prototip veya emüle viewport testleri bunların yerine geçmez; bu dilimde hiçbiri çalıştırılmadı.</w:t>
      </w:r>
    </w:p>
    <w:p>
      <w:pPr>
        <w:pStyle w:val="Heading1"/>
        <w:pageBreakBefore/>
        <w:widowControl/>
      </w:pPr>
      <w:r>
        <w:t>9 Hukuki kaynak ve öneri ayrımı</w:t>
      </w:r>
    </w:p>
    <w:p>
      <w:pPr>
        <w:widowControl/>
      </w:pPr>
      <w:r>
        <w:t>Her kural statutory, flag_instruction, port_terminal, company_sms veya recommended_practice olarak kaynaklandırılır. Bayrak idaresi, GT/tonaj dayanağı, sefer/operasyon alanı, mevzuat gemi sınıfı, ticari kullanım, işveren/taşeron ve SMS revision’ı uygulanabilirlik bağlamıdır. “Tug” tek başına zorunluluk veya muafiyet kararı değildir.</w:t>
      </w:r>
    </w:p>
    <w:p>
      <w:pPr>
        <w:widowControl/>
      </w:pPr>
      <w:r>
        <w:t>IMO ISM açıklaması belirlenen risklerin değerlendirilmesi ve uygun koruyucu tedbirleri amaçlar arasında sayar. SOLAS IX uluslararası kapsamı ile ulusal genişletmeler ayrılır; küçük liman römorkörü otomatik olarak tüm ISM kapsamına sokulamaz veya bütün İSG yükümlülüklerinden çıkarılamaz. Transport Canada kaynağı Türkiye için doğrudan hukuk kararı değildir.</w:t>
      </w:r>
      <w:r>
        <w:t xml:space="preserve"> </w:t>
      </w:r>
      <w:hyperlink r:id="rId15">
        <w:r>
          <w:rPr>
            <w:color w:val="000000"/>
            <w:u w:val="single"/>
          </w:rPr>
          <w:t>H2 IMO ISM açıklaması</w:t>
        </w:r>
      </w:hyperlink>
      <w:r>
        <w:t xml:space="preserve"> · </w:t>
      </w:r>
      <w:hyperlink r:id="rId16">
        <w:r>
          <w:rPr>
            <w:color w:val="000000"/>
            <w:u w:val="single"/>
          </w:rPr>
          <w:t>H3 Transport Canada ISM kapsamı</w:t>
        </w:r>
      </w:hyperlink>
    </w:p>
    <w:p>
      <w:pPr>
        <w:widowControl/>
      </w:pPr>
      <w:r>
        <w:t>MSC.581(110), 27 Haziran 2025 tarihli güncel kapalı alan tavsiyesidir. İzin sistemi, risk bağlamlı süre ve koşul değişiminde geçersizleşme ile ilgili önerileri, SOLAS’ın tatbikat/ölçüm cihazı yükümlülükleriyle aynı hukuki kuvvette sunulmaz. Hong Kong 68/2025 eski A.1050(27)’nin kaldırıldığını bildirir; buradan evrensel bağlayıcı yürürlük günü icat edilmez.</w:t>
      </w:r>
      <w:r>
        <w:t xml:space="preserve"> </w:t>
      </w:r>
      <w:hyperlink r:id="rId13">
        <w:r>
          <w:rPr>
            <w:color w:val="000000"/>
            <w:u w:val="single"/>
          </w:rPr>
          <w:t>H1 IMO MSC.581(110)</w:t>
        </w:r>
      </w:hyperlink>
      <w:r>
        <w:t xml:space="preserve"> · </w:t>
      </w:r>
      <w:hyperlink r:id="rId17">
        <w:r>
          <w:rPr>
            <w:color w:val="000000"/>
            <w:u w:val="single"/>
          </w:rPr>
          <w:t>H4 Hong Kong 68 2025 duyurusu</w:t>
        </w:r>
      </w:hyperlink>
    </w:p>
    <w:p>
      <w:pPr>
        <w:widowControl/>
      </w:pPr>
      <w:r>
        <w:t>Türkiye, araştırma tarihinde ILO’nun MLC 2006’yı onaylamamış ülkeler listesinde bulunur. MLC bütün Türk bayraklı römorkörler için onaylanmış sözleşme diye zorunlu gösterilemez. Yabancı bayrak/liman bağlamı ayrıca incelenir. Temel gemi kapsamı ile 500 GT/uluslararası sefer sertifikalandırma eşiği aynı şey değildir. 2025 değişiklikleri henüz yürürlükte değildir; beklenen 23.12.2027 tarihi güncel hukuk gibi uygulanmaz.</w:t>
      </w:r>
      <w:r>
        <w:t xml:space="preserve"> </w:t>
      </w:r>
      <w:hyperlink r:id="rId18">
        <w:r>
          <w:rPr>
            <w:color w:val="000000"/>
            <w:u w:val="single"/>
          </w:rPr>
          <w:t>H5 ILO Türkiye onaylamadığı sözleşmeler</w:t>
        </w:r>
      </w:hyperlink>
      <w:r>
        <w:t xml:space="preserve"> · </w:t>
      </w:r>
      <w:hyperlink r:id="rId19">
        <w:r>
          <w:rPr>
            <w:color w:val="000000"/>
            <w:u w:val="single"/>
          </w:rPr>
          <w:t>H6 ILO MLC A4.3</w:t>
        </w:r>
      </w:hyperlink>
      <w:r>
        <w:t xml:space="preserve"> · </w:t>
      </w:r>
      <w:hyperlink r:id="rId20">
        <w:r>
          <w:rPr>
            <w:color w:val="000000"/>
            <w:u w:val="single"/>
          </w:rPr>
          <w:t>H7 ILO MLC metni ve kapsamı</w:t>
        </w:r>
      </w:hyperlink>
      <w:r>
        <w:t xml:space="preserve"> · </w:t>
      </w:r>
      <w:hyperlink r:id="rId21">
        <w:r>
          <w:rPr>
            <w:color w:val="000000"/>
            <w:u w:val="single"/>
          </w:rPr>
          <w:t>H8 ILO MLC 2025 değişiklikleri</w:t>
        </w:r>
      </w:hyperlink>
    </w:p>
    <w:p>
      <w:pPr>
        <w:widowControl/>
      </w:pPr>
      <w:r>
        <w:t>6331’in resmi metni geniş işyeri/çalışan kapsamı ve sayılı istisnalar içerir; genel deniz taşıması istisnası yoktur. 4857’deki istisna otomatik 6331’e taşınmaz. Buna karşılık her bayrakta her iş için 6331 kesin uygulanır sonucu da verilmez; uygulanacak hukuk, işveren/çalışan ilişkisi, faaliyet yeri ve 854 bağlamı uzman incelemesindedir.</w:t>
      </w:r>
      <w:r>
        <w:t xml:space="preserve"> </w:t>
      </w:r>
      <w:hyperlink r:id="rId22">
        <w:r>
          <w:rPr>
            <w:color w:val="000000"/>
            <w:u w:val="single"/>
          </w:rPr>
          <w:t>H9 ÇSGB 6331 resmi metni</w:t>
        </w:r>
      </w:hyperlink>
    </w:p>
    <w:p>
      <w:pPr>
        <w:widowControl/>
      </w:pPr>
      <w:r>
        <w:t>Risk Değerlendirmesi Yönetmeliğinin dokümantasyon ve elektronik arşivleme hükümleri form tasarımını destekler. 2/4/6 yıllık azami yenileme aralıkları iş izni süresi değildir; olay/değişiklik tetikleri ayrıca değerlendirilir. İmza, saklama ve güncel konsolidasyon için hukuk incelemesi gerekir. Kontrol listesi tek başına risk değerlendirmesi değildir.</w:t>
      </w:r>
      <w:r>
        <w:t xml:space="preserve"> </w:t>
      </w:r>
      <w:hyperlink r:id="rId11">
        <w:r>
          <w:rPr>
            <w:color w:val="000000"/>
            <w:u w:val="single"/>
          </w:rPr>
          <w:t>H10 ÇSGB risk değerlendirme SSS</w:t>
        </w:r>
      </w:hyperlink>
      <w:r>
        <w:t xml:space="preserve"> · </w:t>
      </w:r>
      <w:hyperlink r:id="rId23">
        <w:r>
          <w:rPr>
            <w:color w:val="000000"/>
            <w:u w:val="single"/>
          </w:rPr>
          <w:t>H11 Risk Değerlendirmesi Yönetmeliği</w:t>
        </w:r>
      </w:hyperlink>
      <w:r>
        <w:t xml:space="preserve"> · </w:t>
      </w:r>
      <w:hyperlink r:id="rId12">
        <w:r>
          <w:rPr>
            <w:color w:val="000000"/>
            <w:u w:val="single"/>
          </w:rPr>
          <w:t>H12 ÇSGB kontrol listesi açıklaması</w:t>
        </w:r>
      </w:hyperlink>
    </w:p>
    <w:p>
      <w:pPr>
        <w:widowControl/>
      </w:pPr>
      <w:r>
        <w:t>COSWP 2026 güncel MCA baskısıdır; UK taşıma yükümlülüğü UK bağlamındadır. Genel 24 saat yaklaşımı, IMO kapalı alan sekiz saat tavsiyesiyle tek default yapılamaz. Bu rapordaki çevrimiçi PDF kaynağı gemide taşınması gereken uygun baskı yerine sunulmaz. Hiçbir gaz eşiği, operasyon prosedürü veya yetkili görev evrensel değer olarak kodlanmadı.</w:t>
      </w:r>
      <w:r>
        <w:t xml:space="preserve"> </w:t>
      </w:r>
      <w:hyperlink r:id="rId24">
        <w:r>
          <w:rPr>
            <w:color w:val="000000"/>
            <w:u w:val="single"/>
          </w:rPr>
          <w:t>H13 MCA COSWP 2026 yayın kaydı</w:t>
        </w:r>
      </w:hyperlink>
      <w:r>
        <w:t xml:space="preserve"> · </w:t>
      </w:r>
      <w:hyperlink r:id="rId14">
        <w:r>
          <w:rPr>
            <w:color w:val="000000"/>
            <w:u w:val="single"/>
          </w:rPr>
          <w:t>H14 MCA COSWP 2026 Bölüm 14</w:t>
        </w:r>
      </w:hyperlink>
    </w:p>
    <w:p>
      <w:pPr>
        <w:pStyle w:val="Heading1"/>
        <w:pageBreakBefore/>
        <w:widowControl/>
      </w:pPr>
      <w:r>
        <w:t>10 Rakip kanıtı ve kontrollü veri geçişi</w:t>
      </w:r>
    </w:p>
    <w:p>
      <w:pPr>
        <w:widowControl/>
      </w:pPr>
      <w:r>
        <w:t>Üç ürün grubunda altı resmi kamu kaynağı incelendi. Bunlar tedarikçi beyanı veya tarihli dokümantasyondur; satın alma/demo, alan düzeyinde test veya güvenlik sertifikasyonu değildir. Güncel sayfada ayrıntı bulunmaması özelliğin yokluğunu kanıtlamaz; eski beyan güncel tüm lisanslarda aynı davranış garantisi değildir.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trPr>
        <w:tc>
          <w:tcPr>
            <w:tcW w:type="dxa" w:w="2448"/>
            <w:vAlign w:val="center"/>
            <w:shd w:fill="E8EDF2"/>
            <w:tcMar>
              <w:top w:w="90" w:type="dxa"/>
              <w:left w:w="90" w:type="dxa"/>
              <w:bottom w:w="90" w:type="dxa"/>
              <w:right w:w="90" w:type="dxa"/>
            </w:tcMar>
          </w:tcPr>
          <w:p>
            <w:pPr>
              <w:spacing w:line="247" w:lineRule="auto" w:after="40"/>
            </w:pPr>
            <w:r>
              <w:rPr>
                <w:b/>
                <w:sz w:val="20"/>
              </w:rPr>
              <w:t>Ürün ve kanıt</w:t>
            </w:r>
          </w:p>
        </w:tc>
        <w:tc>
          <w:tcPr>
            <w:tcW w:type="dxa" w:w="7776"/>
            <w:vAlign w:val="center"/>
            <w:shd w:fill="E8EDF2"/>
            <w:tcMar>
              <w:top w:w="90" w:type="dxa"/>
              <w:left w:w="90" w:type="dxa"/>
              <w:bottom w:w="90" w:type="dxa"/>
              <w:right w:w="90" w:type="dxa"/>
            </w:tcMar>
          </w:tcPr>
          <w:p>
            <w:pPr>
              <w:spacing w:line="247" w:lineRule="auto" w:after="40"/>
            </w:pPr>
            <w:r>
              <w:rPr>
                <w:b/>
                <w:sz w:val="20"/>
              </w:rPr>
              <w:t>Tasarım çıkarımı ve sınır</w:t>
            </w:r>
          </w:p>
        </w:tc>
      </w:tr>
      <w:tr>
        <w:trPr>
          <w:cantSplit/>
        </w:trPr>
        <w:tc>
          <w:tcPr>
            <w:tcW w:type="dxa" w:w="2448"/>
            <w:vAlign w:val="center"/>
            <w:shd w:fill="FFFFFF"/>
            <w:tcMar>
              <w:top w:w="90" w:type="dxa"/>
              <w:left w:w="90" w:type="dxa"/>
              <w:bottom w:w="90" w:type="dxa"/>
              <w:right w:w="90" w:type="dxa"/>
            </w:tcMar>
          </w:tcPr>
          <w:p>
            <w:pPr>
              <w:spacing w:line="247" w:lineRule="auto" w:after="40"/>
            </w:pPr>
            <w:r>
              <w:rPr>
                <w:b w:val="0"/>
                <w:sz w:val="20"/>
              </w:rPr>
              <w:t>MariApps PALng ve smartPAL</w:t>
            </w:r>
          </w:p>
        </w:tc>
        <w:tc>
          <w:tcPr>
            <w:tcW w:type="dxa" w:w="7776"/>
            <w:vAlign w:val="center"/>
            <w:shd w:fill="FFFFFF"/>
            <w:tcMar>
              <w:top w:w="90" w:type="dxa"/>
              <w:left w:w="90" w:type="dxa"/>
              <w:bottom w:w="90" w:type="dxa"/>
              <w:right w:w="90" w:type="dxa"/>
            </w:tcMar>
          </w:tcPr>
          <w:p>
            <w:pPr>
              <w:spacing w:line="247" w:lineRule="auto" w:after="40"/>
            </w:pPr>
            <w:r>
              <w:rPr>
                <w:b w:val="0"/>
                <w:sz w:val="20"/>
              </w:rPr>
              <w:t>Güncel PALng HSEQ RA workflow/PTW sayar; 2023 smartPAL beyanı tarihsel bağlamdır. Ayrı görünür girişler ve ortak iş ilişkileri önerilir; rol/offline/süre ayrıntısı doğrulanmadı.</w:t>
            </w:r>
          </w:p>
        </w:tc>
      </w:tr>
      <w:tr>
        <w:trPr>
          <w:cantSplit/>
        </w:trPr>
        <w:tc>
          <w:tcPr>
            <w:tcW w:type="dxa" w:w="2448"/>
            <w:vAlign w:val="center"/>
            <w:shd w:fill="FFFFFF"/>
            <w:tcMar>
              <w:top w:w="90" w:type="dxa"/>
              <w:left w:w="90" w:type="dxa"/>
              <w:bottom w:w="90" w:type="dxa"/>
              <w:right w:w="90" w:type="dxa"/>
            </w:tcMar>
          </w:tcPr>
          <w:p>
            <w:pPr>
              <w:spacing w:line="247" w:lineRule="auto" w:after="40"/>
            </w:pPr>
            <w:r>
              <w:rPr>
                <w:b w:val="0"/>
                <w:sz w:val="20"/>
              </w:rPr>
              <w:t>BASSnet</w:t>
            </w:r>
          </w:p>
        </w:tc>
        <w:tc>
          <w:tcPr>
            <w:tcW w:type="dxa" w:w="7776"/>
            <w:vAlign w:val="center"/>
            <w:shd w:fill="FFFFFF"/>
            <w:tcMar>
              <w:top w:w="90" w:type="dxa"/>
              <w:left w:w="90" w:type="dxa"/>
              <w:bottom w:w="90" w:type="dxa"/>
              <w:right w:w="90" w:type="dxa"/>
            </w:tcMar>
          </w:tcPr>
          <w:p>
            <w:pPr>
              <w:spacing w:line="247" w:lineRule="auto" w:after="40"/>
            </w:pPr>
            <w:r>
              <w:rPr>
                <w:b w:val="0"/>
                <w:sz w:val="20"/>
              </w:rPr>
              <w:t>2023 broşür RA şablon/kontrol/PTW; 2020 2.11 duyurusu RA ile çoklu PTW ve iş bağlantıları. Bir RA’ya çoklu izin tasarımını destekler; güncel kurulum testi değil.</w:t>
            </w:r>
          </w:p>
        </w:tc>
      </w:tr>
      <w:tr>
        <w:trPr>
          <w:cantSplit/>
        </w:trPr>
        <w:tc>
          <w:tcPr>
            <w:tcW w:type="dxa" w:w="2448"/>
            <w:vAlign w:val="center"/>
            <w:shd w:fill="FFFFFF"/>
            <w:tcMar>
              <w:top w:w="90" w:type="dxa"/>
              <w:left w:w="90" w:type="dxa"/>
              <w:bottom w:w="90" w:type="dxa"/>
              <w:right w:w="90" w:type="dxa"/>
            </w:tcMar>
          </w:tcPr>
          <w:p>
            <w:pPr>
              <w:spacing w:line="247" w:lineRule="auto" w:after="40"/>
            </w:pPr>
            <w:r>
              <w:rPr>
                <w:b w:val="0"/>
                <w:sz w:val="20"/>
              </w:rPr>
              <w:t>DNV ShipManager QHSE</w:t>
            </w:r>
          </w:p>
        </w:tc>
        <w:tc>
          <w:tcPr>
            <w:tcW w:type="dxa" w:w="7776"/>
            <w:vAlign w:val="center"/>
            <w:shd w:fill="FFFFFF"/>
            <w:tcMar>
              <w:top w:w="90" w:type="dxa"/>
              <w:left w:w="90" w:type="dxa"/>
              <w:bottom w:w="90" w:type="dxa"/>
              <w:right w:w="90" w:type="dxa"/>
            </w:tcMar>
          </w:tcPr>
          <w:p>
            <w:pPr>
              <w:spacing w:line="247" w:lineRule="auto" w:after="40"/>
            </w:pPr>
            <w:r>
              <w:rPr>
                <w:b w:val="0"/>
                <w:sz w:val="20"/>
              </w:rPr>
              <w:t>Güncel sayfa genel QHSE; eski DNV GL broşürü RA şablon ve izin izlemesini sayar. Filo/olay bağlantısı önerilir; tarihsel ayrıntı güncel garanti değil.</w:t>
            </w:r>
          </w:p>
        </w:tc>
      </w:tr>
    </w:tbl>
    <w:p>
      <w:pPr>
        <w:widowControl/>
        <w:spacing w:after="60" w:line="240" w:lineRule="auto"/>
      </w:pPr>
      <w:r>
        <w:rPr>
          <w:sz w:val="2"/>
        </w:rPr>
        <w:t xml:space="preserve"> </w:t>
      </w:r>
    </w:p>
    <w:p>
      <w:pPr>
        <w:widowControl/>
      </w:pPr>
      <w:r>
        <w:t>Kaynaklar:</w:t>
      </w:r>
      <w:r>
        <w:t xml:space="preserve"> </w:t>
      </w:r>
      <w:hyperlink r:id="rId25">
        <w:r>
          <w:rPr>
            <w:color w:val="000000"/>
            <w:u w:val="single"/>
          </w:rPr>
          <w:t>HC01 MariApps PALng HSEQ</w:t>
        </w:r>
      </w:hyperlink>
      <w:r>
        <w:t xml:space="preserve"> · </w:t>
      </w:r>
      <w:hyperlink r:id="rId26">
        <w:r>
          <w:rPr>
            <w:color w:val="000000"/>
            <w:u w:val="single"/>
          </w:rPr>
          <w:t>HC02 MariApps 2023 güvenlik beyanı</w:t>
        </w:r>
      </w:hyperlink>
      <w:r>
        <w:t xml:space="preserve"> · </w:t>
      </w:r>
      <w:hyperlink r:id="rId27">
        <w:r>
          <w:rPr>
            <w:color w:val="000000"/>
            <w:u w:val="single"/>
          </w:rPr>
          <w:t>HC03 BASS 2023 broşürü</w:t>
        </w:r>
      </w:hyperlink>
      <w:r>
        <w:t xml:space="preserve"> · </w:t>
      </w:r>
      <w:hyperlink r:id="rId28">
        <w:r>
          <w:rPr>
            <w:color w:val="000000"/>
            <w:u w:val="single"/>
          </w:rPr>
          <w:t>HC04 BASSnet 2.11 2020 duyurusu</w:t>
        </w:r>
      </w:hyperlink>
      <w:r>
        <w:t xml:space="preserve"> · </w:t>
      </w:r>
      <w:hyperlink r:id="rId29">
        <w:r>
          <w:rPr>
            <w:color w:val="000000"/>
            <w:u w:val="single"/>
          </w:rPr>
          <w:t>HC05 DNV ShipManager QHSE</w:t>
        </w:r>
      </w:hyperlink>
      <w:r>
        <w:t xml:space="preserve"> · </w:t>
      </w:r>
      <w:hyperlink r:id="rId30">
        <w:r>
          <w:rPr>
            <w:color w:val="000000"/>
            <w:u w:val="single"/>
          </w:rPr>
          <w:t>HC06 DNV GL tarihsel broşürü</w:t>
        </w:r>
      </w:hyperlink>
    </w:p>
    <w:p>
      <w:pPr>
        <w:widowControl/>
      </w:pPr>
      <w:r>
        <w:t>HSE-P2-01 düzeltme izi: Ham rakip araştırmasının P0 yetkilendirme, P1 aile önkoşulları ayrımı operasyonel sürüm için kabul edilmez. P0 DEMO/idari hazırlık olabilir; etkinleştirilecek ailede gerekli izolasyon, SIMOPS, yetkinlik ve güncel kanıt dahil bütün uygulanabilir emniyet koşulları aynı sürüm kapısındadır. P1 yalnız ek aileler/iyileştirmeler için planlamadır. Ham dosya korunur; nihai sözleşme bu düzeltmeyi esas alır.</w:t>
      </w:r>
    </w:p>
    <w:p>
      <w:pPr>
        <w:pStyle w:val="Heading2"/>
        <w:widowControl/>
      </w:pPr>
      <w:r>
        <w:t>Mevcut veri ve şablonların taşınması</w:t>
      </w:r>
    </w:p>
    <w:p>
      <w:pPr>
        <w:widowControl/>
      </w:pPr>
      <w:r>
        <w:t>Kaynak 46 alanın FR/TC izleri yeni form bölümlerine bağlanır; tek job_step/hazard veya düz metin kontrolleri kayıpsız ham değer olarak saklanır. Tek metinden otomatik onaylı çok satırlı JSA, risk puanı, yetkin kişi veya izin statüsü üretilmez. İçe aktarılan belge/legacy kayıt “inceleme gerekli” olur, geçmişe dönük issue imzası yaratılmaz.</w:t>
      </w:r>
    </w:p>
    <w:p>
      <w:pPr>
        <w:widowControl/>
      </w:pPr>
      <w:r>
        <w:t>Geçiş dry-run, count/id reconciliation, insan eşleme kararı, dar yazı batch’i, audit ve rollback kanıtıyla yapılır. Eski onaylı revision’lar değiştirilmez; yeni form eski raporu yeni şablonla sessiz yeniden basmaz. Hatalı veya eksik kaynak alanı varsayılan “uygun” ile kapatılmaz. API/schema ve eski consumer uyumu ayrı test kapısıdır.</w:t>
      </w:r>
    </w:p>
    <w:p>
      <w:pPr>
        <w:widowControl/>
      </w:pPr>
      <w:r>
        <w:t>Şablon/profil pasifleştirme eski kayıtları silmez; yeni işte kullanımını sınırlar ve ilgili etkin işlere etkisi ayrıca değerlendirilir. Rollback yeni karar ve olayları silmez, eski uygulamanın yeni revision’ı okuyabildiğini kanıtlamayı gerektirir. Mevcut kanonik 14.02, prototip ve 151 ürün dosyası bu görevde değiştirilmedi.</w:t>
      </w:r>
    </w:p>
    <w:p>
      <w:pPr>
        <w:pStyle w:val="Heading1"/>
        <w:pageBreakBefore/>
        <w:widowControl/>
      </w:pPr>
      <w:r>
        <w:t>11 Kabul planı ve kritik negatif senaryolar</w:t>
      </w:r>
    </w:p>
    <w:p>
      <w:pPr>
        <w:widowControl/>
      </w:pPr>
      <w:r>
        <w:t>HSE-DAT01–10 bu belgenin özet kabul senaryolarıdır. Kanonik 30 senaryo 50.02’de HSE-AT01–30 olarak tutulur; teknik paketin H01–H12 önerileri ayrıdır. Bu yeni kabul planı henüz çalıştırılmadı; geçmiş FR/TC satırlarına PASS yazılmaz.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784"/>
      </w:tblGrid>
      <w:tr>
        <w:trPr>
          <w:cantSplit/>
          <w:tblHeader/>
        </w:trPr>
        <w:tc>
          <w:tcPr>
            <w:tcW w:type="dxa" w:w="1440"/>
            <w:vAlign w:val="center"/>
            <w:shd w:fill="E8EDF2"/>
            <w:tcMar>
              <w:top w:w="90" w:type="dxa"/>
              <w:left w:w="90" w:type="dxa"/>
              <w:bottom w:w="90" w:type="dxa"/>
              <w:right w:w="90" w:type="dxa"/>
            </w:tcMar>
          </w:tcPr>
          <w:p>
            <w:pPr>
              <w:spacing w:line="247" w:lineRule="auto" w:after="40"/>
            </w:pPr>
            <w:r>
              <w:rPr>
                <w:b/>
                <w:sz w:val="19"/>
              </w:rPr>
              <w:t>ID</w:t>
            </w:r>
          </w:p>
        </w:tc>
        <w:tc>
          <w:tcPr>
            <w:tcW w:type="dxa" w:w="8784"/>
            <w:vAlign w:val="center"/>
            <w:shd w:fill="E8EDF2"/>
            <w:tcMar>
              <w:top w:w="90" w:type="dxa"/>
              <w:left w:w="90" w:type="dxa"/>
              <w:bottom w:w="90" w:type="dxa"/>
              <w:right w:w="90" w:type="dxa"/>
            </w:tcMar>
          </w:tcPr>
          <w:p>
            <w:pPr>
              <w:spacing w:line="247" w:lineRule="auto" w:after="40"/>
            </w:pPr>
            <w:r>
              <w:rPr>
                <w:b/>
                <w:sz w:val="19"/>
              </w:rPr>
              <w:t>Senaryo ve beklenen sonuç</w:t>
            </w:r>
          </w:p>
        </w:tc>
      </w:tr>
      <w:tr>
        <w:trPr>
          <w:cantSplit/>
        </w:trPr>
        <w:tc>
          <w:tcPr>
            <w:tcW w:type="dxa" w:w="1440"/>
            <w:vAlign w:val="center"/>
            <w:shd w:fill="FFFFFF"/>
            <w:tcMar>
              <w:top w:w="90" w:type="dxa"/>
              <w:left w:w="90" w:type="dxa"/>
              <w:bottom w:w="90" w:type="dxa"/>
              <w:right w:w="90" w:type="dxa"/>
            </w:tcMar>
          </w:tcPr>
          <w:p>
            <w:pPr>
              <w:spacing w:line="247" w:lineRule="auto" w:after="40"/>
            </w:pPr>
            <w:r>
              <w:rPr>
                <w:b w:val="0"/>
                <w:sz w:val="19"/>
              </w:rPr>
              <w:t>HSE-DAT01</w:t>
            </w:r>
          </w:p>
        </w:tc>
        <w:tc>
          <w:tcPr>
            <w:tcW w:type="dxa" w:w="8784"/>
            <w:vAlign w:val="center"/>
            <w:shd w:fill="FFFFFF"/>
            <w:tcMar>
              <w:top w:w="90" w:type="dxa"/>
              <w:left w:w="90" w:type="dxa"/>
              <w:bottom w:w="90" w:type="dxa"/>
              <w:right w:w="90" w:type="dxa"/>
            </w:tcMar>
          </w:tcPr>
          <w:p>
            <w:pPr>
              <w:spacing w:line="247" w:lineRule="auto" w:after="40"/>
            </w:pPr>
            <w:r>
              <w:rPr>
                <w:b w:val="0"/>
                <w:sz w:val="19"/>
              </w:rPr>
              <w:t>46 kaynak alanı korunur; RA/şablon/high-risk menü ve aramada iki gemi modunda yetkili bulunur. PTW canonical, projection duplicate yazmaz.</w:t>
            </w:r>
          </w:p>
        </w:tc>
      </w:tr>
      <w:tr>
        <w:trPr>
          <w:cantSplit/>
        </w:trPr>
        <w:tc>
          <w:tcPr>
            <w:tcW w:type="dxa" w:w="1440"/>
            <w:vAlign w:val="center"/>
            <w:shd w:fill="FFFFFF"/>
            <w:tcMar>
              <w:top w:w="90" w:type="dxa"/>
              <w:left w:w="90" w:type="dxa"/>
              <w:bottom w:w="90" w:type="dxa"/>
              <w:right w:w="90" w:type="dxa"/>
            </w:tcMar>
          </w:tcPr>
          <w:p>
            <w:pPr>
              <w:spacing w:line="247" w:lineRule="auto" w:after="40"/>
            </w:pPr>
            <w:r>
              <w:rPr>
                <w:b w:val="0"/>
                <w:sz w:val="19"/>
              </w:rPr>
              <w:t>HSE-DAT02</w:t>
            </w:r>
          </w:p>
        </w:tc>
        <w:tc>
          <w:tcPr>
            <w:tcW w:type="dxa" w:w="8784"/>
            <w:vAlign w:val="center"/>
            <w:shd w:fill="FFFFFF"/>
            <w:tcMar>
              <w:top w:w="90" w:type="dxa"/>
              <w:left w:w="90" w:type="dxa"/>
              <w:bottom w:w="90" w:type="dxa"/>
              <w:right w:w="90" w:type="dxa"/>
            </w:tcMar>
          </w:tcPr>
          <w:p>
            <w:pPr>
              <w:spacing w:line="247" w:lineRule="auto" w:after="40"/>
            </w:pPr>
            <w:r>
              <w:rPr>
                <w:b w:val="0"/>
                <w:sz w:val="19"/>
              </w:rPr>
              <w:t>Çoklu adım/tehlike/kontrol; boş/unknown/No/0 ayrımı; TR/EN, klavye, dirty navigation ve mobil odak. Şablon yeni işi otomatik onaylamaz.</w:t>
            </w:r>
          </w:p>
        </w:tc>
      </w:tr>
      <w:tr>
        <w:trPr>
          <w:cantSplit/>
        </w:trPr>
        <w:tc>
          <w:tcPr>
            <w:tcW w:type="dxa" w:w="1440"/>
            <w:vAlign w:val="center"/>
            <w:shd w:fill="FFFFFF"/>
            <w:tcMar>
              <w:top w:w="90" w:type="dxa"/>
              <w:left w:w="90" w:type="dxa"/>
              <w:bottom w:w="90" w:type="dxa"/>
              <w:right w:w="90" w:type="dxa"/>
            </w:tcMar>
          </w:tcPr>
          <w:p>
            <w:pPr>
              <w:spacing w:line="247" w:lineRule="auto" w:after="40"/>
            </w:pPr>
            <w:r>
              <w:rPr>
                <w:b w:val="0"/>
                <w:sz w:val="19"/>
              </w:rPr>
              <w:t>HSE-DAT03</w:t>
            </w:r>
          </w:p>
        </w:tc>
        <w:tc>
          <w:tcPr>
            <w:tcW w:type="dxa" w:w="8784"/>
            <w:vAlign w:val="center"/>
            <w:shd w:fill="FFFFFF"/>
            <w:tcMar>
              <w:top w:w="90" w:type="dxa"/>
              <w:left w:w="90" w:type="dxa"/>
              <w:bottom w:w="90" w:type="dxa"/>
              <w:right w:w="90" w:type="dxa"/>
            </w:tcMar>
          </w:tcPr>
          <w:p>
            <w:pPr>
              <w:spacing w:line="247" w:lineRule="auto" w:after="40"/>
            </w:pPr>
            <w:r>
              <w:rPr>
                <w:b w:val="0"/>
                <w:sz w:val="19"/>
              </w:rPr>
              <w:t>HSE-C01: ilgili risk revision’ı, saha/ekip/ölçüm/izolasyon/SIMOPS değişince etkin yetki askı/geçersiz/review olur; yeşil ACTIVE+uyarı kalmaz.</w:t>
            </w:r>
          </w:p>
        </w:tc>
      </w:tr>
      <w:tr>
        <w:trPr>
          <w:cantSplit/>
        </w:trPr>
        <w:tc>
          <w:tcPr>
            <w:tcW w:type="dxa" w:w="1440"/>
            <w:vAlign w:val="center"/>
            <w:shd w:fill="FFFFFF"/>
            <w:tcMar>
              <w:top w:w="90" w:type="dxa"/>
              <w:left w:w="90" w:type="dxa"/>
              <w:bottom w:w="90" w:type="dxa"/>
              <w:right w:w="90" w:type="dxa"/>
            </w:tcMar>
          </w:tcPr>
          <w:p>
            <w:pPr>
              <w:spacing w:line="247" w:lineRule="auto" w:after="40"/>
            </w:pPr>
            <w:r>
              <w:rPr>
                <w:b w:val="0"/>
                <w:sz w:val="19"/>
              </w:rPr>
              <w:t>HSE-DAT04</w:t>
            </w:r>
          </w:p>
        </w:tc>
        <w:tc>
          <w:tcPr>
            <w:tcW w:type="dxa" w:w="8784"/>
            <w:vAlign w:val="center"/>
            <w:shd w:fill="FFFFFF"/>
            <w:tcMar>
              <w:top w:w="90" w:type="dxa"/>
              <w:left w:w="90" w:type="dxa"/>
              <w:bottom w:w="90" w:type="dxa"/>
              <w:right w:w="90" w:type="dxa"/>
            </w:tcMar>
          </w:tcPr>
          <w:p>
            <w:pPr>
              <w:spacing w:line="247" w:lineRule="auto" w:after="40"/>
            </w:pPr>
            <w:r>
              <w:rPr>
                <w:b w:val="0"/>
                <w:sz w:val="19"/>
              </w:rPr>
              <w:t>HSE-C02: eski offline ACTIVE, bilinmeyen saat veya güncellik güncel izin değildir. Reconnect yalnız uzlaştırır; otomatik issue/resume/extension yok.</w:t>
            </w:r>
          </w:p>
        </w:tc>
      </w:tr>
      <w:tr>
        <w:trPr>
          <w:cantSplit/>
        </w:trPr>
        <w:tc>
          <w:tcPr>
            <w:tcW w:type="dxa" w:w="1440"/>
            <w:vAlign w:val="center"/>
            <w:shd w:fill="FFFFFF"/>
            <w:tcMar>
              <w:top w:w="90" w:type="dxa"/>
              <w:left w:w="90" w:type="dxa"/>
              <w:bottom w:w="90" w:type="dxa"/>
              <w:right w:w="90" w:type="dxa"/>
            </w:tcMar>
          </w:tcPr>
          <w:p>
            <w:pPr>
              <w:spacing w:line="247" w:lineRule="auto" w:after="40"/>
            </w:pPr>
            <w:r>
              <w:rPr>
                <w:b w:val="0"/>
                <w:sz w:val="19"/>
              </w:rPr>
              <w:t>HSE-DAT05</w:t>
            </w:r>
          </w:p>
        </w:tc>
        <w:tc>
          <w:tcPr>
            <w:tcW w:type="dxa" w:w="8784"/>
            <w:vAlign w:val="center"/>
            <w:shd w:fill="FFFFFF"/>
            <w:tcMar>
              <w:top w:w="90" w:type="dxa"/>
              <w:left w:w="90" w:type="dxa"/>
              <w:bottom w:w="90" w:type="dxa"/>
              <w:right w:w="90" w:type="dxa"/>
            </w:tcMar>
          </w:tcPr>
          <w:p>
            <w:pPr>
              <w:spacing w:line="247" w:lineRule="auto" w:after="40"/>
            </w:pPr>
            <w:r>
              <w:rPr>
                <w:b w:val="0"/>
                <w:sz w:val="19"/>
              </w:rPr>
              <w:t>HSE-P2-01: açılan ailede herhangi uygulanabilir önkoşul missing/stale/unknown/deferred ise etkin yetki verilmez; admin ve düşük puan bypass yapamaz.</w:t>
            </w:r>
          </w:p>
        </w:tc>
      </w:tr>
      <w:tr>
        <w:trPr>
          <w:cantSplit/>
        </w:trPr>
        <w:tc>
          <w:tcPr>
            <w:tcW w:type="dxa" w:w="1440"/>
            <w:vAlign w:val="center"/>
            <w:shd w:fill="FFFFFF"/>
            <w:tcMar>
              <w:top w:w="90" w:type="dxa"/>
              <w:left w:w="90" w:type="dxa"/>
              <w:bottom w:w="90" w:type="dxa"/>
              <w:right w:w="90" w:type="dxa"/>
            </w:tcMar>
          </w:tcPr>
          <w:p>
            <w:pPr>
              <w:spacing w:line="247" w:lineRule="auto" w:after="40"/>
            </w:pPr>
            <w:r>
              <w:rPr>
                <w:b w:val="0"/>
                <w:sz w:val="19"/>
              </w:rPr>
              <w:t>HSE-DAT06</w:t>
            </w:r>
          </w:p>
        </w:tc>
        <w:tc>
          <w:tcPr>
            <w:tcW w:type="dxa" w:w="8784"/>
            <w:vAlign w:val="center"/>
            <w:shd w:fill="FFFFFF"/>
            <w:tcMar>
              <w:top w:w="90" w:type="dxa"/>
              <w:left w:w="90" w:type="dxa"/>
              <w:bottom w:w="90" w:type="dxa"/>
              <w:right w:w="90" w:type="dxa"/>
            </w:tcMar>
          </w:tcPr>
          <w:p>
            <w:pPr>
              <w:spacing w:line="247" w:lineRule="auto" w:after="40"/>
            </w:pPr>
            <w:r>
              <w:rPr>
                <w:b w:val="0"/>
                <w:sz w:val="19"/>
              </w:rPr>
              <w:t>Scope/revoke/viewer/forged reviewer ve CSRF reddi; iki editör412; RA değişimi ile issue yarışı; current authority tekrar denetlenir.</w:t>
            </w:r>
          </w:p>
        </w:tc>
      </w:tr>
      <w:tr>
        <w:trPr>
          <w:cantSplit/>
        </w:trPr>
        <w:tc>
          <w:tcPr>
            <w:tcW w:type="dxa" w:w="1440"/>
            <w:vAlign w:val="center"/>
            <w:shd w:fill="FFFFFF"/>
            <w:tcMar>
              <w:top w:w="90" w:type="dxa"/>
              <w:left w:w="90" w:type="dxa"/>
              <w:bottom w:w="90" w:type="dxa"/>
              <w:right w:w="90" w:type="dxa"/>
            </w:tcMar>
          </w:tcPr>
          <w:p>
            <w:pPr>
              <w:spacing w:line="247" w:lineRule="auto" w:after="40"/>
            </w:pPr>
            <w:r>
              <w:rPr>
                <w:b w:val="0"/>
                <w:sz w:val="19"/>
              </w:rPr>
              <w:t>HSE-DAT07</w:t>
            </w:r>
          </w:p>
        </w:tc>
        <w:tc>
          <w:tcPr>
            <w:tcW w:type="dxa" w:w="8784"/>
            <w:vAlign w:val="center"/>
            <w:shd w:fill="FFFFFF"/>
            <w:tcMar>
              <w:top w:w="90" w:type="dxa"/>
              <w:left w:w="90" w:type="dxa"/>
              <w:bottom w:w="90" w:type="dxa"/>
              <w:right w:w="90" w:type="dxa"/>
            </w:tcMar>
          </w:tcPr>
          <w:p>
            <w:pPr>
              <w:spacing w:line="247" w:lineRule="auto" w:after="40"/>
            </w:pPr>
            <w:r>
              <w:rPr>
                <w:b w:val="0"/>
                <w:sz w:val="19"/>
              </w:rPr>
              <w:t>Same-key replay tek olay; DB failure başarı göstermez. Commit/lost-response sonrası403/422 anahtarı silmez; eski sekme/key recreation mükerrer izin oluşturmaz.</w:t>
            </w:r>
          </w:p>
        </w:tc>
      </w:tr>
      <w:tr>
        <w:trPr>
          <w:cantSplit/>
        </w:trPr>
        <w:tc>
          <w:tcPr>
            <w:tcW w:type="dxa" w:w="1440"/>
            <w:vAlign w:val="center"/>
            <w:shd w:fill="FFFFFF"/>
            <w:tcMar>
              <w:top w:w="90" w:type="dxa"/>
              <w:left w:w="90" w:type="dxa"/>
              <w:bottom w:w="90" w:type="dxa"/>
              <w:right w:w="90" w:type="dxa"/>
            </w:tcMar>
          </w:tcPr>
          <w:p>
            <w:pPr>
              <w:spacing w:line="247" w:lineRule="auto" w:after="40"/>
            </w:pPr>
            <w:r>
              <w:rPr>
                <w:b w:val="0"/>
                <w:sz w:val="19"/>
              </w:rPr>
              <w:t>HSE-DAT08</w:t>
            </w:r>
          </w:p>
        </w:tc>
        <w:tc>
          <w:tcPr>
            <w:tcW w:type="dxa" w:w="8784"/>
            <w:vAlign w:val="center"/>
            <w:shd w:fill="FFFFFF"/>
            <w:tcMar>
              <w:top w:w="90" w:type="dxa"/>
              <w:left w:w="90" w:type="dxa"/>
              <w:bottom w:w="90" w:type="dxa"/>
              <w:right w:w="90" w:type="dxa"/>
            </w:tcMar>
          </w:tcPr>
          <w:p>
            <w:pPr>
              <w:spacing w:line="247" w:lineRule="auto" w:after="40"/>
            </w:pPr>
            <w:r>
              <w:rPr>
                <w:b w:val="0"/>
                <w:sz w:val="19"/>
              </w:rPr>
              <w:t>Süre sonu, devir ve yeniden inceleme; yetkisiz resume reddi. Close izolasyon kaldırmaz, ekipmanı devreye almaz; history önceki revision’ı korur.</w:t>
            </w:r>
          </w:p>
        </w:tc>
      </w:tr>
      <w:tr>
        <w:trPr>
          <w:cantSplit/>
        </w:trPr>
        <w:tc>
          <w:tcPr>
            <w:tcW w:type="dxa" w:w="1440"/>
            <w:vAlign w:val="center"/>
            <w:shd w:fill="FFFFFF"/>
            <w:tcMar>
              <w:top w:w="90" w:type="dxa"/>
              <w:left w:w="90" w:type="dxa"/>
              <w:bottom w:w="90" w:type="dxa"/>
              <w:right w:w="90" w:type="dxa"/>
            </w:tcMar>
          </w:tcPr>
          <w:p>
            <w:pPr>
              <w:spacing w:line="247" w:lineRule="auto" w:after="40"/>
            </w:pPr>
            <w:r>
              <w:rPr>
                <w:b w:val="0"/>
                <w:sz w:val="19"/>
              </w:rPr>
              <w:t>HSE-DAT09</w:t>
            </w:r>
          </w:p>
        </w:tc>
        <w:tc>
          <w:tcPr>
            <w:tcW w:type="dxa" w:w="8784"/>
            <w:vAlign w:val="center"/>
            <w:shd w:fill="FFFFFF"/>
            <w:tcMar>
              <w:top w:w="90" w:type="dxa"/>
              <w:left w:w="90" w:type="dxa"/>
              <w:bottom w:w="90" w:type="dxa"/>
              <w:right w:w="90" w:type="dxa"/>
            </w:tcMar>
          </w:tcPr>
          <w:p>
            <w:pPr>
              <w:spacing w:line="247" w:lineRule="auto" w:after="40"/>
            </w:pPr>
            <w:r>
              <w:rPr>
                <w:b w:val="0"/>
                <w:sz w:val="19"/>
              </w:rPr>
              <w:t>Karantinadaki ek önkoşulu tamamlamaz; dosya/nesne varlığı sızıntısı ve klinik veri safe history’de yok. İmza/retention erişimi ayrı denetlenir.</w:t>
            </w:r>
          </w:p>
        </w:tc>
      </w:tr>
      <w:tr>
        <w:trPr>
          <w:cantSplit/>
        </w:trPr>
        <w:tc>
          <w:tcPr>
            <w:tcW w:type="dxa" w:w="1440"/>
            <w:vAlign w:val="center"/>
            <w:shd w:fill="FFFFFF"/>
            <w:tcMar>
              <w:top w:w="90" w:type="dxa"/>
              <w:left w:w="90" w:type="dxa"/>
              <w:bottom w:w="90" w:type="dxa"/>
              <w:right w:w="90" w:type="dxa"/>
            </w:tcMar>
          </w:tcPr>
          <w:p>
            <w:pPr>
              <w:spacing w:line="247" w:lineRule="auto" w:after="40"/>
            </w:pPr>
            <w:r>
              <w:rPr>
                <w:b w:val="0"/>
                <w:sz w:val="19"/>
              </w:rPr>
              <w:t>HSE-DAT10</w:t>
            </w:r>
          </w:p>
        </w:tc>
        <w:tc>
          <w:tcPr>
            <w:tcW w:type="dxa" w:w="8784"/>
            <w:vAlign w:val="center"/>
            <w:shd w:fill="FFFFFF"/>
            <w:tcMar>
              <w:top w:w="90" w:type="dxa"/>
              <w:left w:w="90" w:type="dxa"/>
              <w:bottom w:w="90" w:type="dxa"/>
              <w:right w:w="90" w:type="dxa"/>
            </w:tcMar>
          </w:tcPr>
          <w:p>
            <w:pPr>
              <w:spacing w:line="247" w:lineRule="auto" w:after="40"/>
            </w:pPr>
            <w:r>
              <w:rPr>
                <w:b w:val="0"/>
                <w:sz w:val="19"/>
              </w:rPr>
              <w:t>Dry-run ve rollback count/id/audit korur; gerçek Windows/Android ve Esra kabulü ayrıca kaydedilir. Hiçbir test operasyon güvenliği garantisi değildir.</w:t>
            </w:r>
          </w:p>
        </w:tc>
      </w:tr>
    </w:tbl>
    <w:p>
      <w:pPr>
        <w:widowControl/>
        <w:spacing w:after="60" w:line="240" w:lineRule="auto"/>
      </w:pPr>
      <w:r>
        <w:rPr>
          <w:sz w:val="2"/>
        </w:rPr>
        <w:t xml:space="preserve"> </w:t>
      </w:r>
    </w:p>
    <w:p>
      <w:pPr>
        <w:widowControl/>
      </w:pPr>
      <w:r>
        <w:t>Özet eşleme (DAT → 50.02 AT): 01→01/02; 02→03/04/10/25; 03→05/06/29; 04→22/23/24; 05→07/08/09/27; 06→12/13/14/16; 07→14/15; 08→17/18/19; 09→20/21; 10→27/28. Eşleme tematik kapsama işaret eder, bire bir test eşitliği değildir; göç/rollback ayrıntısı ayrıca bu tasarımın şartıdır.</w:t>
      </w:r>
    </w:p>
    <w:p>
      <w:pPr>
        <w:pStyle w:val="Heading1"/>
        <w:pageBreakBefore/>
        <w:widowControl/>
      </w:pPr>
      <w:r>
        <w:t>12 Yayın kapıları ve mevcut kanıt</w:t>
      </w:r>
    </w:p>
    <w:p>
      <w:pPr>
        <w:widowControl/>
      </w:pPr>
      <w:r>
        <w:t>P0 DEMO/idari sınırı kapılar kapanmadan değişmez. Aşağıdaki kimlik, ad ve ölçütler 50.02’nin kanonik kapı sözleşmesiyle aynıdır; hepsi Bekliyor durumundadır. Bütün uygulanabilir kapılar kapanmadan operasyonel kullanım yoktur.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232"/>
        <w:gridCol w:w="6984"/>
      </w:tblGrid>
      <w:tr>
        <w:trPr>
          <w:cantSplit/>
          <w:tblHeader/>
        </w:trPr>
        <w:tc>
          <w:tcPr>
            <w:tcW w:type="dxa" w:w="1008"/>
            <w:vAlign w:val="center"/>
            <w:shd w:fill="E8EDF2"/>
            <w:tcMar>
              <w:top w:w="90" w:type="dxa"/>
              <w:left w:w="90" w:type="dxa"/>
              <w:bottom w:w="90" w:type="dxa"/>
              <w:right w:w="90" w:type="dxa"/>
            </w:tcMar>
          </w:tcPr>
          <w:p>
            <w:pPr>
              <w:spacing w:line="247" w:lineRule="auto" w:after="40"/>
            </w:pPr>
            <w:r>
              <w:rPr>
                <w:b/>
                <w:sz w:val="19"/>
              </w:rPr>
              <w:t>ID</w:t>
            </w:r>
          </w:p>
        </w:tc>
        <w:tc>
          <w:tcPr>
            <w:tcW w:type="dxa" w:w="2232"/>
            <w:vAlign w:val="center"/>
            <w:shd w:fill="E8EDF2"/>
            <w:tcMar>
              <w:top w:w="90" w:type="dxa"/>
              <w:left w:w="90" w:type="dxa"/>
              <w:bottom w:w="90" w:type="dxa"/>
              <w:right w:w="90" w:type="dxa"/>
            </w:tcMar>
          </w:tcPr>
          <w:p>
            <w:pPr>
              <w:spacing w:line="247" w:lineRule="auto" w:after="40"/>
            </w:pPr>
            <w:r>
              <w:rPr>
                <w:b/>
                <w:sz w:val="19"/>
              </w:rPr>
              <w:t>Kapı</w:t>
            </w:r>
          </w:p>
        </w:tc>
        <w:tc>
          <w:tcPr>
            <w:tcW w:type="dxa" w:w="6984"/>
            <w:vAlign w:val="center"/>
            <w:shd w:fill="E8EDF2"/>
            <w:tcMar>
              <w:top w:w="90" w:type="dxa"/>
              <w:left w:w="90" w:type="dxa"/>
              <w:bottom w:w="90" w:type="dxa"/>
              <w:right w:w="90" w:type="dxa"/>
            </w:tcMar>
          </w:tcPr>
          <w:p>
            <w:pPr>
              <w:spacing w:line="247" w:lineRule="auto" w:after="40"/>
            </w:pPr>
            <w:r>
              <w:rPr>
                <w:b/>
                <w:sz w:val="19"/>
              </w:rPr>
              <w:t>Kapanış ölçütü</w:t>
            </w:r>
          </w:p>
        </w:tc>
      </w:tr>
      <w:tr>
        <w:trPr>
          <w:cantSplit/>
        </w:trPr>
        <w:tc>
          <w:tcPr>
            <w:tcW w:type="dxa" w:w="1008"/>
            <w:vAlign w:val="center"/>
            <w:shd w:fill="FFFFFF"/>
            <w:tcMar>
              <w:top w:w="90" w:type="dxa"/>
              <w:left w:w="90" w:type="dxa"/>
              <w:bottom w:w="90" w:type="dxa"/>
              <w:right w:w="90" w:type="dxa"/>
            </w:tcMar>
          </w:tcPr>
          <w:p>
            <w:pPr>
              <w:spacing w:line="247" w:lineRule="auto" w:after="40"/>
            </w:pPr>
            <w:r>
              <w:rPr>
                <w:b w:val="0"/>
                <w:sz w:val="19"/>
              </w:rPr>
              <w:t>HSE-G01</w:t>
            </w:r>
          </w:p>
        </w:tc>
        <w:tc>
          <w:tcPr>
            <w:tcW w:type="dxa" w:w="2232"/>
            <w:vAlign w:val="center"/>
            <w:shd w:fill="FFFFFF"/>
            <w:tcMar>
              <w:top w:w="90" w:type="dxa"/>
              <w:left w:w="90" w:type="dxa"/>
              <w:bottom w:w="90" w:type="dxa"/>
              <w:right w:w="90" w:type="dxa"/>
            </w:tcMar>
          </w:tcPr>
          <w:p>
            <w:pPr>
              <w:spacing w:line="247" w:lineRule="auto" w:after="40"/>
            </w:pPr>
            <w:r>
              <w:rPr>
                <w:b w:val="0"/>
                <w:sz w:val="19"/>
              </w:rPr>
              <w:t>Kaynak ve kapsam onayı</w:t>
            </w:r>
          </w:p>
        </w:tc>
        <w:tc>
          <w:tcPr>
            <w:tcW w:type="dxa" w:w="6984"/>
            <w:vAlign w:val="center"/>
            <w:shd w:fill="FFFFFF"/>
            <w:tcMar>
              <w:top w:w="90" w:type="dxa"/>
              <w:left w:w="90" w:type="dxa"/>
              <w:bottom w:w="90" w:type="dxa"/>
              <w:right w:w="90" w:type="dxa"/>
            </w:tcMar>
          </w:tcPr>
          <w:p>
            <w:pPr>
              <w:spacing w:line="247" w:lineRule="auto" w:after="40"/>
            </w:pPr>
            <w:r>
              <w:rPr>
                <w:b w:val="0"/>
                <w:sz w:val="19"/>
              </w:rPr>
              <w:t>Gemi/bayrak/sefer/işveren/SMS bağlamı, kaynak sürümü ve yasal-tavsiye ayrımı yetkili hukuk/denizcilik/İSG incelemesinden geçer.</w:t>
            </w:r>
          </w:p>
        </w:tc>
      </w:tr>
      <w:tr>
        <w:trPr>
          <w:cantSplit/>
        </w:trPr>
        <w:tc>
          <w:tcPr>
            <w:tcW w:type="dxa" w:w="1008"/>
            <w:vAlign w:val="center"/>
            <w:shd w:fill="FFFFFF"/>
            <w:tcMar>
              <w:top w:w="90" w:type="dxa"/>
              <w:left w:w="90" w:type="dxa"/>
              <w:bottom w:w="90" w:type="dxa"/>
              <w:right w:w="90" w:type="dxa"/>
            </w:tcMar>
          </w:tcPr>
          <w:p>
            <w:pPr>
              <w:spacing w:line="247" w:lineRule="auto" w:after="40"/>
            </w:pPr>
            <w:r>
              <w:rPr>
                <w:b w:val="0"/>
                <w:sz w:val="19"/>
              </w:rPr>
              <w:t>HSE-G02</w:t>
            </w:r>
          </w:p>
        </w:tc>
        <w:tc>
          <w:tcPr>
            <w:tcW w:type="dxa" w:w="2232"/>
            <w:vAlign w:val="center"/>
            <w:shd w:fill="FFFFFF"/>
            <w:tcMar>
              <w:top w:w="90" w:type="dxa"/>
              <w:left w:w="90" w:type="dxa"/>
              <w:bottom w:w="90" w:type="dxa"/>
              <w:right w:w="90" w:type="dxa"/>
            </w:tcMar>
          </w:tcPr>
          <w:p>
            <w:pPr>
              <w:spacing w:line="247" w:lineRule="auto" w:after="40"/>
            </w:pPr>
            <w:r>
              <w:rPr>
                <w:b w:val="0"/>
                <w:sz w:val="19"/>
              </w:rPr>
              <w:t>Form ve revizyon sözleşmesi</w:t>
            </w:r>
          </w:p>
        </w:tc>
        <w:tc>
          <w:tcPr>
            <w:tcW w:type="dxa" w:w="6984"/>
            <w:vAlign w:val="center"/>
            <w:shd w:fill="FFFFFF"/>
            <w:tcMar>
              <w:top w:w="90" w:type="dxa"/>
              <w:left w:w="90" w:type="dxa"/>
              <w:bottom w:w="90" w:type="dxa"/>
              <w:right w:w="90" w:type="dxa"/>
            </w:tcMar>
          </w:tcPr>
          <w:p>
            <w:pPr>
              <w:spacing w:line="247" w:lineRule="auto" w:after="40"/>
            </w:pPr>
            <w:r>
              <w:rPr>
                <w:b w:val="0"/>
                <w:sz w:val="19"/>
              </w:rPr>
              <w:t>46 kaynak alanı ve FR/TC korunur. Baseline RA, job JSA, dinamik değerlendirme ve canonical Permit ayrı kimlik/revizyon taşır; yeni alanlar ve tekrar eden satırlar onaylanır.</w:t>
            </w:r>
          </w:p>
        </w:tc>
      </w:tr>
      <w:tr>
        <w:trPr>
          <w:cantSplit/>
        </w:trPr>
        <w:tc>
          <w:tcPr>
            <w:tcW w:type="dxa" w:w="1008"/>
            <w:vAlign w:val="center"/>
            <w:shd w:fill="FFFFFF"/>
            <w:tcMar>
              <w:top w:w="90" w:type="dxa"/>
              <w:left w:w="90" w:type="dxa"/>
              <w:bottom w:w="90" w:type="dxa"/>
              <w:right w:w="90" w:type="dxa"/>
            </w:tcMar>
          </w:tcPr>
          <w:p>
            <w:pPr>
              <w:spacing w:line="247" w:lineRule="auto" w:after="40"/>
            </w:pPr>
            <w:r>
              <w:rPr>
                <w:b w:val="0"/>
                <w:sz w:val="19"/>
              </w:rPr>
              <w:t>HSE-G03</w:t>
            </w:r>
          </w:p>
        </w:tc>
        <w:tc>
          <w:tcPr>
            <w:tcW w:type="dxa" w:w="2232"/>
            <w:vAlign w:val="center"/>
            <w:shd w:fill="FFFFFF"/>
            <w:tcMar>
              <w:top w:w="90" w:type="dxa"/>
              <w:left w:w="90" w:type="dxa"/>
              <w:bottom w:w="90" w:type="dxa"/>
              <w:right w:w="90" w:type="dxa"/>
            </w:tcMar>
          </w:tcPr>
          <w:p>
            <w:pPr>
              <w:spacing w:line="247" w:lineRule="auto" w:after="40"/>
            </w:pPr>
            <w:r>
              <w:rPr>
                <w:b w:val="0"/>
                <w:sz w:val="19"/>
              </w:rPr>
              <w:t>İzin ailesi önkoşulları</w:t>
            </w:r>
          </w:p>
        </w:tc>
        <w:tc>
          <w:tcPr>
            <w:tcW w:type="dxa" w:w="6984"/>
            <w:vAlign w:val="center"/>
            <w:shd w:fill="FFFFFF"/>
            <w:tcMar>
              <w:top w:w="90" w:type="dxa"/>
              <w:left w:w="90" w:type="dxa"/>
              <w:bottom w:w="90" w:type="dxa"/>
              <w:right w:w="90" w:type="dxa"/>
            </w:tcMar>
          </w:tcPr>
          <w:p>
            <w:pPr>
              <w:spacing w:line="247" w:lineRule="auto" w:after="40"/>
            </w:pPr>
            <w:r>
              <w:rPr>
                <w:b w:val="0"/>
                <w:sz w:val="19"/>
              </w:rPr>
              <w:t>Etkinleştirilen her izin ailesinin uygulanabilir izolasyon, SIMOPS, yetkinlik ve güncel kanıt önkoşulları eksiksiz uygulanır. P0 bu kapıya kadar DEMO/idari-only kalır.</w:t>
            </w:r>
          </w:p>
        </w:tc>
      </w:tr>
      <w:tr>
        <w:trPr>
          <w:cantSplit/>
        </w:trPr>
        <w:tc>
          <w:tcPr>
            <w:tcW w:type="dxa" w:w="1008"/>
            <w:vAlign w:val="center"/>
            <w:shd w:fill="FFFFFF"/>
            <w:tcMar>
              <w:top w:w="90" w:type="dxa"/>
              <w:left w:w="90" w:type="dxa"/>
              <w:bottom w:w="90" w:type="dxa"/>
              <w:right w:w="90" w:type="dxa"/>
            </w:tcMar>
          </w:tcPr>
          <w:p>
            <w:pPr>
              <w:spacing w:line="247" w:lineRule="auto" w:after="40"/>
            </w:pPr>
            <w:r>
              <w:rPr>
                <w:b w:val="0"/>
                <w:sz w:val="19"/>
              </w:rPr>
              <w:t>HSE-G04</w:t>
            </w:r>
          </w:p>
        </w:tc>
        <w:tc>
          <w:tcPr>
            <w:tcW w:type="dxa" w:w="2232"/>
            <w:vAlign w:val="center"/>
            <w:shd w:fill="FFFFFF"/>
            <w:tcMar>
              <w:top w:w="90" w:type="dxa"/>
              <w:left w:w="90" w:type="dxa"/>
              <w:bottom w:w="90" w:type="dxa"/>
              <w:right w:w="90" w:type="dxa"/>
            </w:tcMar>
          </w:tcPr>
          <w:p>
            <w:pPr>
              <w:spacing w:line="247" w:lineRule="auto" w:after="40"/>
            </w:pPr>
            <w:r>
              <w:rPr>
                <w:b w:val="0"/>
                <w:sz w:val="19"/>
              </w:rPr>
              <w:t>Etkin yetkilendirme ve değişiklik</w:t>
            </w:r>
          </w:p>
        </w:tc>
        <w:tc>
          <w:tcPr>
            <w:tcW w:type="dxa" w:w="6984"/>
            <w:vAlign w:val="center"/>
            <w:shd w:fill="FFFFFF"/>
            <w:tcMar>
              <w:top w:w="90" w:type="dxa"/>
              <w:left w:w="90" w:type="dxa"/>
              <w:bottom w:w="90" w:type="dxa"/>
              <w:right w:w="90" w:type="dxa"/>
            </w:tcMar>
          </w:tcPr>
          <w:p>
            <w:pPr>
              <w:spacing w:line="247" w:lineRule="auto" w:after="40"/>
            </w:pPr>
            <w:r>
              <w:rPr>
                <w:b w:val="0"/>
                <w:sz w:val="19"/>
              </w:rPr>
              <w:t>Kritik RA/koşul değişimi effective authorization değerini askıya/geçersiz/REVIEW_REQUIRED yapar; insan yeniden değerlendirmesi ve yetkili yeniden onay olmadan geçerli gösterim veya otomatik resume yoktur.</w:t>
            </w:r>
          </w:p>
        </w:tc>
      </w:tr>
      <w:tr>
        <w:trPr>
          <w:cantSplit/>
        </w:trPr>
        <w:tc>
          <w:tcPr>
            <w:tcW w:type="dxa" w:w="1008"/>
            <w:vAlign w:val="center"/>
            <w:shd w:fill="FFFFFF"/>
            <w:tcMar>
              <w:top w:w="90" w:type="dxa"/>
              <w:left w:w="90" w:type="dxa"/>
              <w:bottom w:w="90" w:type="dxa"/>
              <w:right w:w="90" w:type="dxa"/>
            </w:tcMar>
          </w:tcPr>
          <w:p>
            <w:pPr>
              <w:spacing w:line="247" w:lineRule="auto" w:after="40"/>
            </w:pPr>
            <w:r>
              <w:rPr>
                <w:b w:val="0"/>
                <w:sz w:val="19"/>
              </w:rPr>
              <w:t>HSE-G05</w:t>
            </w:r>
          </w:p>
        </w:tc>
        <w:tc>
          <w:tcPr>
            <w:tcW w:type="dxa" w:w="2232"/>
            <w:vAlign w:val="center"/>
            <w:shd w:fill="FFFFFF"/>
            <w:tcMar>
              <w:top w:w="90" w:type="dxa"/>
              <w:left w:w="90" w:type="dxa"/>
              <w:bottom w:w="90" w:type="dxa"/>
              <w:right w:w="90" w:type="dxa"/>
            </w:tcMar>
          </w:tcPr>
          <w:p>
            <w:pPr>
              <w:spacing w:line="247" w:lineRule="auto" w:after="40"/>
            </w:pPr>
            <w:r>
              <w:rPr>
                <w:b w:val="0"/>
                <w:sz w:val="19"/>
              </w:rPr>
              <w:t>Sunucu yetkisi ve kalıcılık</w:t>
            </w:r>
          </w:p>
        </w:tc>
        <w:tc>
          <w:tcPr>
            <w:tcW w:type="dxa" w:w="6984"/>
            <w:vAlign w:val="center"/>
            <w:shd w:fill="FFFFFF"/>
            <w:tcMar>
              <w:top w:w="90" w:type="dxa"/>
              <w:left w:w="90" w:type="dxa"/>
              <w:bottom w:w="90" w:type="dxa"/>
              <w:right w:w="90" w:type="dxa"/>
            </w:tcMar>
          </w:tcPr>
          <w:p>
            <w:pPr>
              <w:spacing w:line="247" w:lineRule="auto" w:after="40"/>
            </w:pPr>
            <w:r>
              <w:rPr>
                <w:b w:val="0"/>
                <w:sz w:val="19"/>
              </w:rPr>
              <w:t>Komut bazlı scope/grant, görev ayrılığı, CSRF, If-Match, idempotency/replay, belirsiz sonuç anahtarı, atomik audit ve kalıcılık negatif testlerle doğrulanır.</w:t>
            </w:r>
          </w:p>
        </w:tc>
      </w:tr>
      <w:tr>
        <w:trPr>
          <w:cantSplit/>
        </w:trPr>
        <w:tc>
          <w:tcPr>
            <w:tcW w:type="dxa" w:w="1008"/>
            <w:vAlign w:val="center"/>
            <w:shd w:fill="FFFFFF"/>
            <w:tcMar>
              <w:top w:w="90" w:type="dxa"/>
              <w:left w:w="90" w:type="dxa"/>
              <w:bottom w:w="90" w:type="dxa"/>
              <w:right w:w="90" w:type="dxa"/>
            </w:tcMar>
          </w:tcPr>
          <w:p>
            <w:pPr>
              <w:spacing w:line="247" w:lineRule="auto" w:after="40"/>
            </w:pPr>
            <w:r>
              <w:rPr>
                <w:b w:val="0"/>
                <w:sz w:val="19"/>
              </w:rPr>
              <w:t>HSE-G06</w:t>
            </w:r>
          </w:p>
        </w:tc>
        <w:tc>
          <w:tcPr>
            <w:tcW w:type="dxa" w:w="2232"/>
            <w:vAlign w:val="center"/>
            <w:shd w:fill="FFFFFF"/>
            <w:tcMar>
              <w:top w:w="90" w:type="dxa"/>
              <w:left w:w="90" w:type="dxa"/>
              <w:bottom w:w="90" w:type="dxa"/>
              <w:right w:w="90" w:type="dxa"/>
            </w:tcMar>
          </w:tcPr>
          <w:p>
            <w:pPr>
              <w:spacing w:line="247" w:lineRule="auto" w:after="40"/>
            </w:pPr>
            <w:r>
              <w:rPr>
                <w:b w:val="0"/>
                <w:sz w:val="19"/>
              </w:rPr>
              <w:t>Kanıt, imza ve mahremiyet</w:t>
            </w:r>
          </w:p>
        </w:tc>
        <w:tc>
          <w:tcPr>
            <w:tcW w:type="dxa" w:w="6984"/>
            <w:vAlign w:val="center"/>
            <w:shd w:fill="FFFFFF"/>
            <w:tcMar>
              <w:top w:w="90" w:type="dxa"/>
              <w:left w:w="90" w:type="dxa"/>
              <w:bottom w:w="90" w:type="dxa"/>
              <w:right w:w="90" w:type="dxa"/>
            </w:tcMar>
          </w:tcPr>
          <w:p>
            <w:pPr>
              <w:spacing w:line="247" w:lineRule="auto" w:after="40"/>
            </w:pPr>
            <w:r>
              <w:rPr>
                <w:b w:val="0"/>
                <w:sz w:val="19"/>
              </w:rPr>
              <w:t>Karantina erişimi atlanmaz; güncel/erişilebilir kanıt, imza/vekalet/saklama politikası ve asgari kişisel veri sınırı onaylanır. Klinik sağlık verisi forma kopyalanmaz.</w:t>
            </w:r>
          </w:p>
        </w:tc>
      </w:tr>
      <w:tr>
        <w:trPr>
          <w:cantSplit/>
        </w:trPr>
        <w:tc>
          <w:tcPr>
            <w:tcW w:type="dxa" w:w="1008"/>
            <w:vAlign w:val="center"/>
            <w:shd w:fill="FFFFFF"/>
            <w:tcMar>
              <w:top w:w="90" w:type="dxa"/>
              <w:left w:w="90" w:type="dxa"/>
              <w:bottom w:w="90" w:type="dxa"/>
              <w:right w:w="90" w:type="dxa"/>
            </w:tcMar>
          </w:tcPr>
          <w:p>
            <w:pPr>
              <w:spacing w:line="247" w:lineRule="auto" w:after="40"/>
            </w:pPr>
            <w:r>
              <w:rPr>
                <w:b w:val="0"/>
                <w:sz w:val="19"/>
              </w:rPr>
              <w:t>HSE-G07</w:t>
            </w:r>
          </w:p>
        </w:tc>
        <w:tc>
          <w:tcPr>
            <w:tcW w:type="dxa" w:w="2232"/>
            <w:vAlign w:val="center"/>
            <w:shd w:fill="FFFFFF"/>
            <w:tcMar>
              <w:top w:w="90" w:type="dxa"/>
              <w:left w:w="90" w:type="dxa"/>
              <w:bottom w:w="90" w:type="dxa"/>
              <w:right w:w="90" w:type="dxa"/>
            </w:tcMar>
          </w:tcPr>
          <w:p>
            <w:pPr>
              <w:spacing w:line="247" w:lineRule="auto" w:after="40"/>
            </w:pPr>
            <w:r>
              <w:rPr>
                <w:b w:val="0"/>
                <w:sz w:val="19"/>
              </w:rPr>
              <w:t>Offline ve güncellik</w:t>
            </w:r>
          </w:p>
        </w:tc>
        <w:tc>
          <w:tcPr>
            <w:tcW w:type="dxa" w:w="6984"/>
            <w:vAlign w:val="center"/>
            <w:shd w:fill="FFFFFF"/>
            <w:tcMar>
              <w:top w:w="90" w:type="dxa"/>
              <w:left w:w="90" w:type="dxa"/>
              <w:bottom w:w="90" w:type="dxa"/>
              <w:right w:w="90" w:type="dxa"/>
            </w:tcMar>
          </w:tcPr>
          <w:p>
            <w:pPr>
              <w:spacing w:line="247" w:lineRule="auto" w:after="40"/>
            </w:pPr>
            <w:r>
              <w:rPr>
                <w:b w:val="0"/>
                <w:sz w:val="19"/>
              </w:rPr>
              <w:t>Cache ACTIVE/ISSUED tarihsel durumdur. Güncellik/saat/yetki belirsizse mevcut geçerlilik iddia edilmez; issue/resume/extension otomatik olmaz. Yeniden bağlantıda revizyon/çatışma/yetki uzlaştırılır.</w:t>
            </w:r>
          </w:p>
        </w:tc>
      </w:tr>
      <w:tr>
        <w:trPr>
          <w:cantSplit/>
        </w:trPr>
        <w:tc>
          <w:tcPr>
            <w:tcW w:type="dxa" w:w="1008"/>
            <w:vAlign w:val="center"/>
            <w:shd w:fill="FFFFFF"/>
            <w:tcMar>
              <w:top w:w="90" w:type="dxa"/>
              <w:left w:w="90" w:type="dxa"/>
              <w:bottom w:w="90" w:type="dxa"/>
              <w:right w:w="90" w:type="dxa"/>
            </w:tcMar>
          </w:tcPr>
          <w:p>
            <w:pPr>
              <w:spacing w:line="247" w:lineRule="auto" w:after="40"/>
            </w:pPr>
            <w:r>
              <w:rPr>
                <w:b w:val="0"/>
                <w:sz w:val="19"/>
              </w:rPr>
              <w:t>HSE-G08</w:t>
            </w:r>
          </w:p>
        </w:tc>
        <w:tc>
          <w:tcPr>
            <w:tcW w:type="dxa" w:w="2232"/>
            <w:vAlign w:val="center"/>
            <w:shd w:fill="FFFFFF"/>
            <w:tcMar>
              <w:top w:w="90" w:type="dxa"/>
              <w:left w:w="90" w:type="dxa"/>
              <w:bottom w:w="90" w:type="dxa"/>
              <w:right w:w="90" w:type="dxa"/>
            </w:tcMar>
          </w:tcPr>
          <w:p>
            <w:pPr>
              <w:spacing w:line="247" w:lineRule="auto" w:after="40"/>
            </w:pPr>
            <w:r>
              <w:rPr>
                <w:b w:val="0"/>
                <w:sz w:val="19"/>
              </w:rPr>
              <w:t>Gezinim, UAT ve release</w:t>
            </w:r>
          </w:p>
        </w:tc>
        <w:tc>
          <w:tcPr>
            <w:tcW w:type="dxa" w:w="6984"/>
            <w:vAlign w:val="center"/>
            <w:shd w:fill="FFFFFF"/>
            <w:tcMar>
              <w:top w:w="90" w:type="dxa"/>
              <w:left w:w="90" w:type="dxa"/>
              <w:bottom w:w="90" w:type="dxa"/>
              <w:right w:w="90" w:type="dxa"/>
            </w:tcMar>
          </w:tcPr>
          <w:p>
            <w:pPr>
              <w:spacing w:line="247" w:lineRule="auto" w:after="40"/>
            </w:pPr>
            <w:r>
              <w:rPr>
                <w:b w:val="0"/>
                <w:sz w:val="19"/>
              </w:rPr>
              <w:t>Menü/arama, tam JSA satırları, TR/EN/klavye/mobil/dirty-scope ve kullanıcı UAT doğrulanır. Tüm ilgili kapılar ve yetkili release kararı olmadan operasyonel kullanım yoktur.</w:t>
            </w:r>
          </w:p>
        </w:tc>
      </w:tr>
    </w:tbl>
    <w:p>
      <w:pPr>
        <w:widowControl/>
        <w:spacing w:after="60" w:line="240" w:lineRule="auto"/>
      </w:pPr>
      <w:r>
        <w:rPr>
          <w:sz w:val="2"/>
        </w:rPr>
        <w:t xml:space="preserve"> </w:t>
      </w:r>
    </w:p>
    <w:p>
      <w:pPr>
        <w:widowControl/>
      </w:pPr>
      <w:r>
        <w:t>Bu kapılar yalnız yeni HSE sözleşmesinin kapılarıdır; önceki hukuki/release kapılarını kapatmaz. Ürün yönetiminin bir aileyi kapsam dışı bırakması, açılan başka ailenin zorunlu emniyet koşulunu atlama yetkisi değildir. HSE-G03 tek başına release onayı vermez; HSE-G08 bütün ilgili kapıların ve yetkili kararın tamamlanmasını ister.</w:t>
      </w:r>
    </w:p>
    <w:p>
      <w:pPr>
        <w:pStyle w:val="Heading1"/>
        <w:pageBreakBefore/>
        <w:widowControl/>
      </w:pPr>
      <w:r>
        <w:t>13 Kanıt ve uygulamaya geçiş sırası</w:t>
      </w:r>
    </w:p>
    <w:p>
      <w:pPr>
        <w:pStyle w:val="Heading2"/>
        <w:widowControl/>
      </w:pPr>
      <w:r>
        <w:t>Mevcut analiz kanıtı</w:t>
      </w:r>
    </w:p>
    <w:p>
      <w:pPr>
        <w:widowControl/>
      </w:pPr>
      <w:r>
        <w:t>Özgün teknik ZIP, dokuz giriş ve sekiz manifest payload kaydı içerir. Bağımsız inceleme hash/tam envanteri, 151 taban kaynak eşitliğini ve kanonik HTML’den alınan üç ekran/46 alan/GROUPS çıkarımını doğruladı. Kaynak-capture doğrulama betiği PASS, yalnız statik kaynak tutarlılığıdır; HSE runtime, tarayıcı veya form kabul testi değildir. Bu belge yazılırken hiçbir ürün/helper/test çalıştırılmadı.</w:t>
      </w:r>
    </w:p>
    <w:p>
      <w:pPr>
        <w:widowControl/>
      </w:pPr>
      <w:r>
        <w:t>Mevcut dd504631b8df6c3061953444295353ae53041afc kaynağı değişmez. Bu tasarım yeni API route/store, DB migration, production grant, çalışan form veya public prototip yayını yapmaz. Eski 226 backend/119 frontend ve browser kanıtları HSE uygulamasının testi değildir; yeniden koşulmadı. Kullanıcının Ctrl+C niyeti doğrulanmış stop veya yeni UAT sonucu olarak kaydedilmez.</w:t>
      </w:r>
    </w:p>
    <w:p>
      <w:pPr>
        <w:widowControl/>
      </w:pPr>
      <w:r>
        <w:t>Bağımsız hedefli içerik incelemesi HSE-P2-01, HSE-C01 ve HSE-C02 düzeltmelerini bu metin ve 50.02 için içerik düzeyinde kapattı; yeni P1/P2 bulgusu bildirmedi. Bu kapanış runtime, hukuki veya operasyonel kabul değildir. Ham araştırma/teknik raporlar korunur; düzeltme izi yeni sözleşme ve inceleme kaydındadır. Hukuk/SMS sahibi onayı ve gerçek kullanıcı kabulü açık kalır.</w:t>
      </w:r>
    </w:p>
    <w:p>
      <w:pPr>
        <w:widowControl/>
      </w:pPr>
      <w:r>
        <w:t xml:space="preserve">İlişkili paket: </w:t>
      </w:r>
      <w:hyperlink r:id="rId31">
        <w:r>
          <w:rPr>
            <w:color w:val="000000"/>
            <w:u w:val="single"/>
          </w:rPr>
          <w:t>50.03 HSE araştırma ve teknik kanıtları</w:t>
        </w:r>
      </w:hyperlink>
      <w:r>
        <w:t xml:space="preserve"> · </w:t>
      </w:r>
      <w:hyperlink r:id="rId32">
        <w:r>
          <w:rPr>
            <w:color w:val="000000"/>
            <w:u w:val="single"/>
          </w:rPr>
          <w:t>Değişmeyen kaynak commit kaydı</w:t>
        </w:r>
      </w:hyperlink>
    </w:p>
    <w:p>
      <w:pPr>
        <w:pStyle w:val="Heading2"/>
        <w:widowControl/>
      </w:pPr>
      <w:r>
        <w:t>Kontrollü uygulama sırası</w:t>
      </w:r>
    </w:p>
    <w:p>
      <w:pPr>
        <w:widowControl/>
      </w:pPr>
      <w:r>
        <w:t>Önce aile kapsamı ve kaynak/SMS profili, sonra alan/revision/state ve görev ayrılığı sözleşmesi onaylanır. Ardından backend kalıcılık/komut/etkin yetki ve güvenli kanıt bağlantıları kurulur; görünür form ve projection aynı sözleşmeye bağlanır. Demo, bu denetimleri atlayan bir operasyon geçişi değildir. Teknik inceleme, adversarial negatif test ve bağımsız kullanıcı kabulü ayrı kayıtlar olur.</w:t>
      </w:r>
    </w:p>
    <w:p>
      <w:pPr>
        <w:widowControl/>
      </w:pPr>
      <w:r>
        <w:t>Yayın bir izin ailesiyle sınırlandırılabilir; bütün ailelerin aynı anda açılması gerekmez. Ancak seçilen ailede tek bir uygulanabilir kritik önkoşul dahi eksikse etkin yetki verilmez. İzin/profil revision paketi, audit ve on-prem geri alma planı yetkili review’den geçmeden kullanım genişletilmez. Kontrolün uygulanmadığı durum yeşil kabul rozetine çevrilmez.</w:t>
      </w:r>
    </w:p>
    <w:p>
      <w:pPr>
        <w:widowControl/>
      </w:pPr>
      <w:r>
        <w:t>Self-hosted üretim, hesap/ücret/özel erişim ve insan onay sınırları korunur. Yeni kaynak commit’i, main güncellemesi, merge, deployment veya uygulamaya erişim/üretim izni yoktur. Repo linki uygulama URL’si değildir; AI önerisi veya tasarım incelemesi iş emniyeti sorumluluğunu devralmaz.</w:t>
      </w:r>
    </w:p>
    <w:p>
      <w:pPr>
        <w:pStyle w:val="Heading1"/>
        <w:pageBreakBefore/>
        <w:widowControl/>
      </w:pPr>
      <w:r>
        <w:t>14 Kaynak sicili ve kullanım sınırı</w:t>
      </w:r>
    </w:p>
    <w:p>
      <w:pPr>
        <w:widowControl/>
      </w:pPr>
      <w:r>
        <w:t>Erişim tarihi 29 Ekim 2026. Bağlantılar ilgili iddianın yanında ve burada verilir. Hukuki kaynak, tavsiye, satıcı beyanı ve ürün önerisi ayrıdır. Tam ticari form, standart metni veya kullanıcı görüntüsü çoğaltılmadı.</w:t>
      </w:r>
    </w:p>
    <w:p>
      <w:pPr>
        <w:widowControl/>
        <w:spacing w:after="80" w:line="240" w:lineRule="auto"/>
      </w:pPr>
      <w:r>
        <w:rPr>
          <w:sz w:val="19"/>
        </w:rPr>
      </w:r>
      <w:hyperlink r:id="rId13">
        <w:r>
          <w:rPr>
            <w:color w:val="000000"/>
            <w:u w:val="single"/>
          </w:rPr>
          <w:t>H1 IMO MSC.581(110)</w:t>
        </w:r>
      </w:hyperlink>
      <w:r>
        <w:rPr>
          <w:sz w:val="19"/>
        </w:rPr>
        <w:t xml:space="preserve"> — 27 Haziran 2025; §5/Ek2, kapalı alan tavsiyesi.</w:t>
      </w:r>
    </w:p>
    <w:p>
      <w:pPr>
        <w:widowControl/>
        <w:spacing w:after="80" w:line="240" w:lineRule="auto"/>
      </w:pPr>
      <w:r>
        <w:rPr>
          <w:sz w:val="19"/>
        </w:rPr>
      </w:r>
      <w:hyperlink r:id="rId15">
        <w:r>
          <w:rPr>
            <w:color w:val="000000"/>
            <w:u w:val="single"/>
          </w:rPr>
          <w:t>H2 IMO ISM açıklaması</w:t>
        </w:r>
      </w:hyperlink>
      <w:r>
        <w:rPr>
          <w:sz w:val="19"/>
        </w:rPr>
        <w:t xml:space="preserve"> — Risk ve koruyucu tedbirlerle ISM çerçevesi.</w:t>
      </w:r>
    </w:p>
    <w:p>
      <w:pPr>
        <w:widowControl/>
        <w:spacing w:after="80" w:line="240" w:lineRule="auto"/>
      </w:pPr>
      <w:r>
        <w:rPr>
          <w:sz w:val="19"/>
        </w:rPr>
      </w:r>
      <w:hyperlink r:id="rId16">
        <w:r>
          <w:rPr>
            <w:color w:val="000000"/>
            <w:u w:val="single"/>
          </w:rPr>
          <w:t>H3 Transport Canada ISM kapsamı</w:t>
        </w:r>
      </w:hyperlink>
      <w:r>
        <w:rPr>
          <w:sz w:val="19"/>
        </w:rPr>
        <w:t xml:space="preserve"> — Uluslararası kapsam; Türkiye hukuk kararı değil.</w:t>
      </w:r>
    </w:p>
    <w:p>
      <w:pPr>
        <w:widowControl/>
        <w:spacing w:after="80" w:line="240" w:lineRule="auto"/>
      </w:pPr>
      <w:r>
        <w:rPr>
          <w:sz w:val="19"/>
        </w:rPr>
      </w:r>
      <w:hyperlink r:id="rId17">
        <w:r>
          <w:rPr>
            <w:color w:val="000000"/>
            <w:u w:val="single"/>
          </w:rPr>
          <w:t>H4 Hong Kong 68 2025 duyurusu</w:t>
        </w:r>
      </w:hyperlink>
      <w:r>
        <w:rPr>
          <w:sz w:val="19"/>
        </w:rPr>
        <w:t xml:space="preserve"> — A.1050(27) kaldırılması; evrensel tarih değil.</w:t>
      </w:r>
    </w:p>
    <w:p>
      <w:pPr>
        <w:widowControl/>
        <w:spacing w:after="80" w:line="240" w:lineRule="auto"/>
      </w:pPr>
      <w:r>
        <w:rPr>
          <w:sz w:val="19"/>
        </w:rPr>
      </w:r>
      <w:hyperlink r:id="rId18">
        <w:r>
          <w:rPr>
            <w:color w:val="000000"/>
            <w:u w:val="single"/>
          </w:rPr>
          <w:t>H5 ILO Türkiye onaylamadığı sözleşmeler</w:t>
        </w:r>
      </w:hyperlink>
      <w:r>
        <w:rPr>
          <w:sz w:val="19"/>
        </w:rPr>
        <w:t xml:space="preserve"> — Türkiye MLC2006 onay durumu; indexed primary içerik.</w:t>
      </w:r>
    </w:p>
    <w:p>
      <w:pPr>
        <w:widowControl/>
        <w:spacing w:after="80" w:line="240" w:lineRule="auto"/>
      </w:pPr>
      <w:r>
        <w:rPr>
          <w:sz w:val="19"/>
        </w:rPr>
      </w:r>
      <w:hyperlink r:id="rId19">
        <w:r>
          <w:rPr>
            <w:color w:val="000000"/>
            <w:u w:val="single"/>
          </w:rPr>
          <w:t>H6 ILO MLC A4.3</w:t>
        </w:r>
      </w:hyperlink>
      <w:r>
        <w:rPr>
          <w:sz w:val="19"/>
        </w:rPr>
        <w:t xml:space="preserve"> — A4.3 İSG ve risk değerlendirme çerçevesi.</w:t>
      </w:r>
    </w:p>
    <w:p>
      <w:pPr>
        <w:widowControl/>
        <w:spacing w:after="80" w:line="240" w:lineRule="auto"/>
      </w:pPr>
      <w:r>
        <w:rPr>
          <w:sz w:val="19"/>
        </w:rPr>
      </w:r>
      <w:hyperlink r:id="rId20">
        <w:r>
          <w:rPr>
            <w:color w:val="000000"/>
            <w:u w:val="single"/>
          </w:rPr>
          <w:t>H7 ILO MLC metni ve kapsamı</w:t>
        </w:r>
      </w:hyperlink>
      <w:r>
        <w:rPr>
          <w:sz w:val="19"/>
        </w:rPr>
        <w:t xml:space="preserve"> — Temel kapsam ile sertifikalandırma ayrımı.</w:t>
      </w:r>
    </w:p>
    <w:p>
      <w:pPr>
        <w:widowControl/>
        <w:spacing w:after="80" w:line="240" w:lineRule="auto"/>
      </w:pPr>
      <w:r>
        <w:rPr>
          <w:sz w:val="19"/>
        </w:rPr>
      </w:r>
      <w:hyperlink r:id="rId21">
        <w:r>
          <w:rPr>
            <w:color w:val="000000"/>
            <w:u w:val="single"/>
          </w:rPr>
          <w:t>H8 ILO MLC 2025 değişiklikleri</w:t>
        </w:r>
      </w:hyperlink>
      <w:r>
        <w:rPr>
          <w:sz w:val="19"/>
        </w:rPr>
        <w:t xml:space="preserve"> — 2025 değişiklikleri henüz yürürlükte değil.</w:t>
      </w:r>
    </w:p>
    <w:p>
      <w:pPr>
        <w:widowControl/>
        <w:spacing w:after="80" w:line="240" w:lineRule="auto"/>
      </w:pPr>
      <w:r>
        <w:rPr>
          <w:sz w:val="19"/>
        </w:rPr>
      </w:r>
      <w:hyperlink r:id="rId22">
        <w:r>
          <w:rPr>
            <w:color w:val="000000"/>
            <w:u w:val="single"/>
          </w:rPr>
          <w:t>H9 ÇSGB 6331 resmi metni</w:t>
        </w:r>
      </w:hyperlink>
      <w:r>
        <w:rPr>
          <w:sz w:val="19"/>
        </w:rPr>
        <w:t xml:space="preserve"> — Madde2–4/10; genel deniz taşıması istisnası yok.</w:t>
      </w:r>
    </w:p>
    <w:p>
      <w:pPr>
        <w:widowControl/>
        <w:spacing w:after="80" w:line="240" w:lineRule="auto"/>
      </w:pPr>
      <w:r>
        <w:rPr>
          <w:sz w:val="19"/>
        </w:rPr>
      </w:r>
      <w:hyperlink r:id="rId11">
        <w:r>
          <w:rPr>
            <w:color w:val="000000"/>
            <w:u w:val="single"/>
          </w:rPr>
          <w:t>H10 ÇSGB risk değerlendirme SSS</w:t>
        </w:r>
      </w:hyperlink>
      <w:r>
        <w:rPr>
          <w:sz w:val="19"/>
        </w:rPr>
        <w:t xml:space="preserve"> — Ekip/alt işveren ve yöntem açıklaması.</w:t>
      </w:r>
    </w:p>
    <w:p>
      <w:pPr>
        <w:widowControl/>
        <w:spacing w:after="80" w:line="240" w:lineRule="auto"/>
      </w:pPr>
      <w:r>
        <w:rPr>
          <w:sz w:val="19"/>
        </w:rPr>
      </w:r>
      <w:hyperlink r:id="rId23">
        <w:r>
          <w:rPr>
            <w:color w:val="000000"/>
            <w:u w:val="single"/>
          </w:rPr>
          <w:t>H11 Risk Değerlendirmesi Yönetmeliği</w:t>
        </w:r>
      </w:hyperlink>
      <w:r>
        <w:rPr>
          <w:sz w:val="19"/>
        </w:rPr>
        <w:t xml:space="preserve"> — Dokümantasyon ve yenileme; PTW süresi değil.</w:t>
      </w:r>
    </w:p>
    <w:p>
      <w:pPr>
        <w:widowControl/>
        <w:spacing w:after="80" w:line="240" w:lineRule="auto"/>
      </w:pPr>
      <w:r>
        <w:rPr>
          <w:sz w:val="19"/>
        </w:rPr>
      </w:r>
      <w:hyperlink r:id="rId12">
        <w:r>
          <w:rPr>
            <w:color w:val="000000"/>
            <w:u w:val="single"/>
          </w:rPr>
          <w:t>H12 ÇSGB kontrol listesi açıklaması</w:t>
        </w:r>
      </w:hyperlink>
      <w:r>
        <w:rPr>
          <w:sz w:val="19"/>
        </w:rPr>
        <w:t xml:space="preserve"> — Kontrol listesi RA yerine geçmez.</w:t>
      </w:r>
    </w:p>
    <w:p>
      <w:pPr>
        <w:widowControl/>
        <w:spacing w:after="80" w:line="240" w:lineRule="auto"/>
      </w:pPr>
      <w:r>
        <w:rPr>
          <w:sz w:val="19"/>
        </w:rPr>
      </w:r>
      <w:hyperlink r:id="rId24">
        <w:r>
          <w:rPr>
            <w:color w:val="000000"/>
            <w:u w:val="single"/>
          </w:rPr>
          <w:t>H13 MCA COSWP 2026 yayın kaydı</w:t>
        </w:r>
      </w:hyperlink>
      <w:r>
        <w:rPr>
          <w:sz w:val="19"/>
        </w:rPr>
        <w:t xml:space="preserve"> — 2026 baskısı ve UK taşıma bağlamı.</w:t>
      </w:r>
    </w:p>
    <w:p>
      <w:pPr>
        <w:widowControl/>
        <w:spacing w:after="80" w:line="240" w:lineRule="auto"/>
      </w:pPr>
      <w:r>
        <w:rPr>
          <w:sz w:val="19"/>
        </w:rPr>
      </w:r>
      <w:hyperlink r:id="rId14">
        <w:r>
          <w:rPr>
            <w:color w:val="000000"/>
            <w:u w:val="single"/>
          </w:rPr>
          <w:t>H14 MCA COSWP 2026 Bölüm 14</w:t>
        </w:r>
      </w:hyperlink>
      <w:r>
        <w:rPr>
          <w:sz w:val="19"/>
        </w:rPr>
        <w:t xml:space="preserve"> — Bölüm14 s.185–187; rol, süre, devir/kapanış.</w:t>
      </w:r>
    </w:p>
    <w:p>
      <w:pPr>
        <w:widowControl/>
        <w:spacing w:after="80" w:line="240" w:lineRule="auto"/>
      </w:pPr>
      <w:r>
        <w:rPr>
          <w:sz w:val="19"/>
        </w:rPr>
      </w:r>
      <w:hyperlink r:id="rId25">
        <w:r>
          <w:rPr>
            <w:color w:val="000000"/>
            <w:u w:val="single"/>
          </w:rPr>
          <w:t>HC01 MariApps PALng HSEQ</w:t>
        </w:r>
      </w:hyperlink>
      <w:r>
        <w:rPr>
          <w:sz w:val="19"/>
        </w:rPr>
        <w:t xml:space="preserve"> — Güncel resmi HSEQ RA/PTW beyanı.</w:t>
      </w:r>
    </w:p>
    <w:p>
      <w:pPr>
        <w:widowControl/>
        <w:spacing w:after="80" w:line="240" w:lineRule="auto"/>
      </w:pPr>
      <w:r>
        <w:rPr>
          <w:sz w:val="19"/>
        </w:rPr>
      </w:r>
      <w:hyperlink r:id="rId26">
        <w:r>
          <w:rPr>
            <w:color w:val="000000"/>
            <w:u w:val="single"/>
          </w:rPr>
          <w:t>HC02 MariApps 2023 güvenlik beyanı</w:t>
        </w:r>
      </w:hyperlink>
      <w:r>
        <w:rPr>
          <w:sz w:val="19"/>
        </w:rPr>
        <w:t xml:space="preserve"> — 2023 tarihsel smartPAL işlev beyanı.</w:t>
      </w:r>
    </w:p>
    <w:p>
      <w:pPr>
        <w:widowControl/>
        <w:spacing w:after="80" w:line="240" w:lineRule="auto"/>
      </w:pPr>
      <w:r>
        <w:rPr>
          <w:sz w:val="19"/>
        </w:rPr>
      </w:r>
      <w:hyperlink r:id="rId27">
        <w:r>
          <w:rPr>
            <w:color w:val="000000"/>
            <w:u w:val="single"/>
          </w:rPr>
          <w:t>HC03 BASS 2023 broşürü</w:t>
        </w:r>
      </w:hyperlink>
      <w:r>
        <w:rPr>
          <w:sz w:val="19"/>
        </w:rPr>
        <w:t xml:space="preserve"> — 2023 broşür s.42–43; indekslenmiş resmi PDF.</w:t>
      </w:r>
    </w:p>
    <w:p>
      <w:pPr>
        <w:widowControl/>
        <w:spacing w:after="80" w:line="240" w:lineRule="auto"/>
      </w:pPr>
      <w:r>
        <w:rPr>
          <w:sz w:val="19"/>
        </w:rPr>
      </w:r>
      <w:hyperlink r:id="rId28">
        <w:r>
          <w:rPr>
            <w:color w:val="000000"/>
            <w:u w:val="single"/>
          </w:rPr>
          <w:t>HC04 BASSnet 2.11 2020 duyurusu</w:t>
        </w:r>
      </w:hyperlink>
      <w:r>
        <w:rPr>
          <w:sz w:val="19"/>
        </w:rPr>
        <w:t xml:space="preserve"> — 17.11.2020; RA çoklu PTW ve iş bağlantısı.</w:t>
      </w:r>
    </w:p>
    <w:p>
      <w:pPr>
        <w:widowControl/>
        <w:spacing w:after="80" w:line="240" w:lineRule="auto"/>
      </w:pPr>
      <w:r>
        <w:rPr>
          <w:sz w:val="19"/>
        </w:rPr>
      </w:r>
      <w:hyperlink r:id="rId29">
        <w:r>
          <w:rPr>
            <w:color w:val="000000"/>
            <w:u w:val="single"/>
          </w:rPr>
          <w:t>HC05 DNV ShipManager QHSE</w:t>
        </w:r>
      </w:hyperlink>
      <w:r>
        <w:rPr>
          <w:sz w:val="19"/>
        </w:rPr>
        <w:t xml:space="preserve"> — Güncel genel QHSE hizmet açıklaması.</w:t>
      </w:r>
    </w:p>
    <w:p>
      <w:pPr>
        <w:widowControl/>
        <w:spacing w:after="80" w:line="240" w:lineRule="auto"/>
      </w:pPr>
      <w:r>
        <w:rPr>
          <w:sz w:val="19"/>
        </w:rPr>
      </w:r>
      <w:hyperlink r:id="rId30">
        <w:r>
          <w:rPr>
            <w:color w:val="000000"/>
            <w:u w:val="single"/>
          </w:rPr>
          <w:t>HC06 DNV GL tarihsel broşürü</w:t>
        </w:r>
      </w:hyperlink>
      <w:r>
        <w:rPr>
          <w:sz w:val="19"/>
        </w:rPr>
        <w:t xml:space="preserve"> — Eski DNV GL markalı broşür s.16; tarihsel kanıt.</w:t>
      </w:r>
    </w:p>
    <w:p>
      <w:pPr>
        <w:pStyle w:val="Heading2"/>
        <w:widowControl/>
      </w:pPr>
      <w:r>
        <w:t>Doğrulama ve içerik sınırlamaları</w:t>
      </w:r>
    </w:p>
    <w:p>
      <w:pPr>
        <w:widowControl/>
      </w:pPr>
      <w:r>
        <w:t>NORMLEX bazı doğrudan açılışlarda redirect loop verdi; onaylanmayan sözleşme ve değişiklik durumu birincil indekslenmiş içerikle doğrulandı. COSWP resmi PDF’sinin bölüm14 metni yerel okunabildi; online-reference PDF gemide taşımaya uygun baskı olarak dağıtılmadı. Türk düzenlemelerinin tüm konsolidasyon geçmişi ve gemi bazlı uygulanabilirlik tamamlanmadı.</w:t>
      </w:r>
    </w:p>
    <w:p>
      <w:pPr>
        <w:widowControl/>
      </w:pPr>
      <w:r>
        <w:t>İç kaynak kimlikleri: HT01 özgün HSE teknik ZIP’i, HSE_GAP_VE_TASARIM_TR.md, 46 alan FR/TC izi ve prototype-source-extract.json; HR01 bağımsız içerik incelemesi ve kapanış kaydıdır. 49.01 bayrak/tip anlam ayrımları ve 50.02 alan/kapı sözlüğüyle birlikte okunur. Güvenlik ve hukuki kararlar şirket SMS sahibi, denizcilik/İSG yetkilisi ve gerektiğinde bayrak otoritesi incelemesindedir.</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POSEIDON v46.3  |  50.01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50.02_POSEIDON_v46.3_HSE_Form_Alanlari_Yasam_Dongusu_Kabul_Sozlugu_TR.xlsx" TargetMode="External"/><Relationship Id="rId11" Type="http://schemas.openxmlformats.org/officeDocument/2006/relationships/hyperlink" Target="https://csgb.gov.tr/tr/sikca-sorulan-sorular/is-sagligi-ve-guvenligi-genel-mudurlugu/" TargetMode="External"/><Relationship Id="rId12" Type="http://schemas.openxmlformats.org/officeDocument/2006/relationships/hyperlink" Target="https://www.csgb.gov.tr/isggm/yayinlar-ve-afisler/" TargetMode="External"/><Relationship Id="rId13" Type="http://schemas.openxmlformats.org/officeDocument/2006/relationships/hyperlink" Target="https://wwwcdn.imo.org/localresources/en/KnowledgeCentre/IndexofIMOResolutions/MSCResolutions/MSC.581%28110%29.pdf" TargetMode="External"/><Relationship Id="rId14" Type="http://schemas.openxmlformats.org/officeDocument/2006/relationships/hyperlink" Target="https://assets.publishing.service.gov.uk/media/69bd45a5ed813d0d8b690c2b/code-of-safe-working-practices-for-merchant-seafarers-2026-edition.pdf" TargetMode="External"/><Relationship Id="rId15" Type="http://schemas.openxmlformats.org/officeDocument/2006/relationships/hyperlink" Target="https://www.imo.org/en/ourwork/humanelement/pages/ismcode.aspx" TargetMode="External"/><Relationship Id="rId16" Type="http://schemas.openxmlformats.org/officeDocument/2006/relationships/hyperlink" Target="https://tc.canada.ca/en/marine-transportation/marine-safety/international-safety-management-ism-code" TargetMode="External"/><Relationship Id="rId17" Type="http://schemas.openxmlformats.org/officeDocument/2006/relationships/hyperlink" Target="https://www.mardep.gov.hk/filemanager/en/share/msnote/pdf/msin2568.pdf" TargetMode="External"/><Relationship Id="rId18" Type="http://schemas.openxmlformats.org/officeDocument/2006/relationships/hyperlink" Target="https://wwwex.ilo.org/dyn/f?p=NORMLEXPUB%3A11210%3A0%3A%3ANO%3A%3AP11210_COUNTRY_ID%3A102893" TargetMode="External"/><Relationship Id="rId19" Type="http://schemas.openxmlformats.org/officeDocument/2006/relationships/hyperlink" Target="https://www.ilo.org/dyn/normlex/en/f?p=NORMLEXPUB%3A91%3A0%3A%3A%3A%3AP91_SECTION%3AMLCA_AMEND_A4" TargetMode="External"/><Relationship Id="rId20" Type="http://schemas.openxmlformats.org/officeDocument/2006/relationships/hyperlink" Target="https://normlex.ilo.org/dyn/nrmlx_en/f?p=NORMLEXPUB%3A12100%3A0%3A%3ANO%3A%3AP12100_ILO_CODE%3AMLC" TargetMode="External"/><Relationship Id="rId21" Type="http://schemas.openxmlformats.org/officeDocument/2006/relationships/hyperlink" Target="https://wwwex.ilo.org/dyn/f?p=NORMLEXPUB%3A11301%3A0%3A%3ANO%3A%3AP11301_INSTRUMENT_AMENDMENT_ID%3A4438362" TargetMode="External"/><Relationship Id="rId22" Type="http://schemas.openxmlformats.org/officeDocument/2006/relationships/hyperlink" Target="https://www.csgb.gov.tr/Media/hywpvejh/6331-say%C4%B1l%C4%B1-i%C5%9F-sa%C4%9Fl%C4%B1%C4%9F%C4%B1-ve-g%C3%BCvenli%C4%9Fi-kanunu.pdf" TargetMode="External"/><Relationship Id="rId23" Type="http://schemas.openxmlformats.org/officeDocument/2006/relationships/hyperlink" Target="https://orhanelidh.saglik.gov.tr/TR-537813/is-sagligi-ve-guvenligi-risk-degerlendirmesi-yonetmeligi.html" TargetMode="External"/><Relationship Id="rId24" Type="http://schemas.openxmlformats.org/officeDocument/2006/relationships/hyperlink" Target="https://www.gov.uk/government/publications/code-of-safe-working-practices-for-merchant-seafarers-2026-edition" TargetMode="External"/><Relationship Id="rId25" Type="http://schemas.openxmlformats.org/officeDocument/2006/relationships/hyperlink" Target="https://www.mariapps.com/palng/" TargetMode="External"/><Relationship Id="rId26" Type="http://schemas.openxmlformats.org/officeDocument/2006/relationships/hyperlink" Target="https://www.mariapps.com/maritime-safety-health-day/" TargetMode="External"/><Relationship Id="rId27" Type="http://schemas.openxmlformats.org/officeDocument/2006/relationships/hyperlink" Target="https://www.bassnet.no/wp-content/uploads/2024/01/BASS-Brochure-2023-20122023_1.pdf" TargetMode="External"/><Relationship Id="rId28" Type="http://schemas.openxmlformats.org/officeDocument/2006/relationships/hyperlink" Target="https://www.bassnet.no/insight/bassnet-2-11-preview/" TargetMode="External"/><Relationship Id="rId29" Type="http://schemas.openxmlformats.org/officeDocument/2006/relationships/hyperlink" Target="https://www.dnv.com/services/ship-safety-management-system-shipmanager-qhse-1534/" TargetMode="External"/><Relationship Id="rId30" Type="http://schemas.openxmlformats.org/officeDocument/2006/relationships/hyperlink" Target="https://www.dnv.com/siteassets/images/pdf-documents/maritime-software---shipmanager---navigator---brochure.pdf" TargetMode="External"/><Relationship Id="rId31" Type="http://schemas.openxmlformats.org/officeDocument/2006/relationships/hyperlink" Target="../90_SOURCE_RESEARCH/50.03_POSEIDON_v46.3_HSE_Form_Analizi_Arastirma_Kanitlari_2026-10-29.zip" TargetMode="External"/><Relationship Id="rId32" Type="http://schemas.openxmlformats.org/officeDocument/2006/relationships/hyperlink" Target="https://github.com/emgt41/Poseidon/commit/dd504631b8df6c3061953444295353ae53041af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HSE Çalışma İzni ve Risk Değerlendirme Form Tasarımı</dc:title>
  <dc:subject>Gemi ve römorkör için HSE form ve yetkilendirme tasarımı önerisi</dc:subject>
  <dc:creator>POSEIDON</dc:creator>
  <cp:keywords>POSEIDON, 50.01, PROPOSAL, HSE, PTW, RA, JSA</cp:keywords>
  <dc:description>generated by python-docx</dc:description>
  <cp:lastModifiedBy/>
  <cp:revision>1</cp:revision>
  <dcterms:created xsi:type="dcterms:W3CDTF">2013-12-23T23:15:00Z</dcterms:created>
  <dcterms:modified xsi:type="dcterms:W3CDTF">2013-12-23T23:15:00Z</dcterms:modified>
  <cp:category/>
</cp:coreProperties>
</file>