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widowControl/>
      </w:pPr>
      <w:r>
        <w:t>POSEIDON Bayrak ve Gemi Tipi</w:t>
        <w:br/>
        <w:t>Standardizasyon Tasarımı</w:t>
      </w:r>
    </w:p>
    <w:p>
      <w:pPr>
        <w:widowControl/>
      </w:pPr>
      <w:r>
        <w:t>v46.3  |  Doküman 49.01  |  29 Ekim 2026  |  PROPOSAL</w:t>
      </w:r>
    </w:p>
    <w:p>
      <w:pPr>
        <w:widowControl/>
      </w:pPr>
      <w:r>
        <w:rPr>
          <w:b/>
        </w:rPr>
        <w:t>Karar önerisi:</w:t>
      </w:r>
      <w:r>
        <w:t xml:space="preserve"> Bayrak ve gemi tipini ortak, sürümlü ve denetlenen kataloglardan seçilebilir hale getirin; hukuki sınıfları ve dış kod sistemlerini tek listeye indirgemeyin. Önce veri yetkisi, anlam ve geçiş sözleşmesi onaylanmalı, sonra API ve arayüz birlikte uygulanmalıdır. Bu belge ürün sahibinin, denizcilik uzmanının ve teknik ekibin kararına sunulur; uygulanmış özellik veya üretim onayı değildir.</w:t>
      </w:r>
    </w:p>
    <w:p>
      <w:pPr>
        <w:pStyle w:val="Heading1"/>
        <w:pageBreakBefore w:val="0"/>
        <w:widowControl/>
      </w:pPr>
      <w:r>
        <w:t>1 Mevcut durum ve kararın sınırı</w:t>
      </w:r>
    </w:p>
    <w:p>
      <w:pPr>
        <w:widowControl/>
      </w:pPr>
      <w:r>
        <w:t>Ürün kaynağı dd504631b8df6c3061953444295353ae53041afc tabanındaki 151 dosya olarak değişmeden kalır. API, DB migration, gerçek seed, server lookup doğrulaması ve combobox uygulanmadı. On iki sentetik sözleşme testi yalnız küçük teknik öneri modeline aittir; ürün testi, tam katalog veya kullanıcı kabulü değildir.</w:t>
      </w:r>
    </w:p>
    <w:p>
      <w:pPr>
        <w:widowControl/>
      </w:pPr>
      <w:r>
        <w:t>14.02 sözlüğü Library sürüm 3 ile aynı baytlardadır. Denetim 518 kaynak açığı satırı bulur: 191 UNRESOLVED, 119 yalnız entity, 107 entity ve read API, 98 CONFLICT, 3 UI seçenek kurtarımı; üretime kapatılmış lookup sayısı 0. Bunlar 518 sınıf veya 518 çözümlenmemiş kayıt değildir.</w:t>
      </w:r>
    </w:p>
    <w:p>
      <w:pPr>
        <w:widowControl/>
      </w:pPr>
      <w:r>
        <w:t>Bayrak satırı 259, veri indeksi 257: Flag State yanlışlıkla yaşam döngüsü State sınıfı ve state-transition denetimiyle karışır; SYSTEM_DERIVED ifadesinin türetme şartnamesi yoktur. Lookup Kaynak Çözümü satır 46 UNRESOLVED’dır. Gemi tipi satırı 263, indeks 261, metindir; bu satır 518 lookup açığına dahil değildir. İki alanı onaylı enum saymak veya bayrağı sistemin tahmin etmesine izin vermek doğru değildir.</w:t>
      </w:r>
    </w:p>
    <w:p>
      <w:pPr>
        <w:widowControl/>
      </w:pPr>
      <w:r>
        <w:t>09.02 Input Catalog satır 4–5 ve 09.01 bölüm 4 bayrak ve tipi uygulanabilirlik değerlendirmesi için ister. Bu, her envanter taslağının zorunlu alanı demek değildir. Taslakta eksik bilgiye izin veren POL-DEFAULT-01 korunur; değerlendirmede kritik eksik bilgi REVIEW_REQUIRED üretir, NOT_APPLICABLE veya READY üretmez.</w:t>
      </w:r>
    </w:p>
    <w:p>
      <w:pPr>
        <w:widowControl/>
      </w:pPr>
      <w:r>
        <w:t>14.01 ortak Vessel kökü ile VesselProfile/TugProfile yaklaşımı kontrollü mimari adaydır. 13.06 Modül Master 39 satır 6’daki iki sıfır-alanlı profil ekranı ve 14.02 projection satır 34/62 REVIEW_REQUIRED’dır; onaylı registry değildir. Dağınık Tanker/ASD_TUG/OCEAN_TUG örnekleri onaylı filo kataloğu oluşturmaz. 07.01 ve 08.01’deki yedi hukuki kapı açık kalır; bu tasarım onları kapatmaz.</w:t>
      </w:r>
    </w:p>
    <w:p>
      <w:pPr>
        <w:widowControl/>
      </w:pPr>
      <w:r>
        <w:t xml:space="preserve">Birlikte okunacak belgeler: </w:t>
      </w:r>
      <w:hyperlink r:id="rId10">
        <w:r>
          <w:rPr>
            <w:color w:val="000000"/>
            <w:u w:val="single"/>
          </w:rPr>
          <w:t>49.02 Alan ve Katalog Sözlüğü Önerisi</w:t>
        </w:r>
      </w:hyperlink>
      <w:r>
        <w:t>; 14.01, 14.02, 09.01 ve 09.02 tarihsel adayları değişmez. Kaynaklar bölüm 12’de, karar kapıları bölüm 11’dedir.</w:t>
      </w:r>
    </w:p>
    <w:p>
      <w:pPr>
        <w:pStyle w:val="Heading1"/>
        <w:pageBreakBefore/>
        <w:widowControl/>
      </w:pPr>
      <w:r>
        <w:t>2 Bayrak idaresi ve kayıt bağlamı</w:t>
      </w:r>
    </w:p>
    <w:p>
      <w:pPr>
        <w:widowControl/>
      </w:pPr>
      <w:r>
        <w:t>Bayrak idaresi, ISO ülke/bölge kaydı, gemi sicili, sicil limanı ve sahip/işletmeci ülkesi farklı kavramlardır. IMO açıklaması bayrak ve kayıt koşullarının devletlerce belirlenmesini, idarenin yetki ve denetimini ayırır. ISO 3166 ise ülke/bölge temsilidir; ISO kaydı tek başına gemiye bayrak hakkı vermez. Bu ayrım Poseidon veri tasarımının temelidir.</w:t>
      </w:r>
      <w:r>
        <w:t xml:space="preserve"> </w:t>
      </w:r>
      <w:hyperlink r:id="rId11">
        <w:r>
          <w:rPr>
            <w:color w:val="000000"/>
            <w:u w:val="single"/>
          </w:rPr>
          <w:t>S1 IMO Gemi kayıtları</w:t>
        </w:r>
      </w:hyperlink>
      <w:r>
        <w:t xml:space="preserve"> · </w:t>
      </w:r>
      <w:hyperlink r:id="rId12">
        <w:r>
          <w:rPr>
            <w:color w:val="000000"/>
            <w:u w:val="single"/>
          </w:rPr>
          <w:t>S2 ISO 3166 ülke kodları</w:t>
        </w:r>
      </w:hyperlink>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520"/>
        <w:gridCol w:w="7704"/>
      </w:tblGrid>
      <w:tr>
        <w:trPr>
          <w:cantSplit/>
          <w:tblHeader/>
        </w:trPr>
        <w:tc>
          <w:tcPr>
            <w:tcW w:type="dxa" w:w="2520"/>
            <w:vAlign w:val="center"/>
            <w:shd w:fill="E8EDF2"/>
            <w:tcMar>
              <w:top w:w="90" w:type="dxa"/>
              <w:left w:w="90" w:type="dxa"/>
              <w:bottom w:w="90" w:type="dxa"/>
              <w:right w:w="90" w:type="dxa"/>
            </w:tcMar>
          </w:tcPr>
          <w:p>
            <w:pPr>
              <w:spacing w:line="247" w:lineRule="auto" w:after="40"/>
            </w:pPr>
            <w:r>
              <w:rPr>
                <w:b/>
                <w:sz w:val="20"/>
              </w:rPr>
              <w:t>Mantıksal alan</w:t>
            </w:r>
          </w:p>
        </w:tc>
        <w:tc>
          <w:tcPr>
            <w:tcW w:type="dxa" w:w="7704"/>
            <w:vAlign w:val="center"/>
            <w:shd w:fill="E8EDF2"/>
            <w:tcMar>
              <w:top w:w="90" w:type="dxa"/>
              <w:left w:w="90" w:type="dxa"/>
              <w:bottom w:w="90" w:type="dxa"/>
              <w:right w:w="90" w:type="dxa"/>
            </w:tcMar>
          </w:tcPr>
          <w:p>
            <w:pPr>
              <w:spacing w:line="247" w:lineRule="auto" w:after="40"/>
            </w:pPr>
            <w:r>
              <w:rPr>
                <w:b/>
                <w:sz w:val="20"/>
              </w:rPr>
              <w:t>Önerilen anlam ve kayıt kuralı</w:t>
            </w:r>
          </w:p>
        </w:tc>
      </w:tr>
      <w:tr>
        <w:trPr>
          <w:cantSplit/>
        </w:trPr>
        <w:tc>
          <w:tcPr>
            <w:tcW w:type="dxa" w:w="2520"/>
            <w:vAlign w:val="center"/>
            <w:shd w:fill="FFFFFF"/>
            <w:tcMar>
              <w:top w:w="90" w:type="dxa"/>
              <w:left w:w="90" w:type="dxa"/>
              <w:bottom w:w="90" w:type="dxa"/>
              <w:right w:w="90" w:type="dxa"/>
            </w:tcMar>
          </w:tcPr>
          <w:p>
            <w:pPr>
              <w:spacing w:line="247" w:lineRule="auto" w:after="40"/>
            </w:pPr>
            <w:r>
              <w:rPr>
                <w:b w:val="0"/>
                <w:sz w:val="20"/>
              </w:rPr>
              <w:t>flag_administration_id</w:t>
            </w:r>
          </w:p>
        </w:tc>
        <w:tc>
          <w:tcPr>
            <w:tcW w:type="dxa" w:w="7704"/>
            <w:vAlign w:val="center"/>
            <w:shd w:fill="FFFFFF"/>
            <w:tcMar>
              <w:top w:w="90" w:type="dxa"/>
              <w:left w:w="90" w:type="dxa"/>
              <w:bottom w:w="90" w:type="dxa"/>
              <w:right w:w="90" w:type="dxa"/>
            </w:tcMar>
          </w:tcPr>
          <w:p>
            <w:pPr>
              <w:spacing w:line="247" w:lineRule="auto" w:after="40"/>
            </w:pPr>
            <w:r>
              <w:rPr>
                <w:b w:val="0"/>
                <w:sz w:val="20"/>
              </w:rPr>
              <w:t>Değişmez ürün kimliğiyle yetkili idare. Belgedeki idareye dayanır; ISO kodunu otomatik kimlik yapmaz.</w:t>
            </w:r>
          </w:p>
        </w:tc>
      </w:tr>
      <w:tr>
        <w:trPr>
          <w:cantSplit/>
        </w:trPr>
        <w:tc>
          <w:tcPr>
            <w:tcW w:type="dxa" w:w="2520"/>
            <w:vAlign w:val="center"/>
            <w:shd w:fill="FFFFFF"/>
            <w:tcMar>
              <w:top w:w="90" w:type="dxa"/>
              <w:left w:w="90" w:type="dxa"/>
              <w:bottom w:w="90" w:type="dxa"/>
              <w:right w:w="90" w:type="dxa"/>
            </w:tcMar>
          </w:tcPr>
          <w:p>
            <w:pPr>
              <w:spacing w:line="247" w:lineRule="auto" w:after="40"/>
            </w:pPr>
            <w:r>
              <w:rPr>
                <w:b w:val="0"/>
                <w:sz w:val="20"/>
              </w:rPr>
              <w:t>flag_country_iso2</w:t>
            </w:r>
          </w:p>
        </w:tc>
        <w:tc>
          <w:tcPr>
            <w:tcW w:type="dxa" w:w="7704"/>
            <w:vAlign w:val="center"/>
            <w:shd w:fill="FFFFFF"/>
            <w:tcMar>
              <w:top w:w="90" w:type="dxa"/>
              <w:left w:w="90" w:type="dxa"/>
              <w:bottom w:w="90" w:type="dxa"/>
              <w:right w:w="90" w:type="dxa"/>
            </w:tcMar>
          </w:tcPr>
          <w:p>
            <w:pPr>
              <w:spacing w:line="247" w:lineRule="auto" w:after="40"/>
            </w:pPr>
            <w:r>
              <w:rPr>
                <w:b w:val="0"/>
                <w:sz w:val="20"/>
              </w:rPr>
              <w:t>İdarenin varsa ISO ülke/bölge ilişkisi; kaynak ve sürümle tutulur. Bilinmeyen için uydurma ISO kodu yok.</w:t>
            </w:r>
          </w:p>
        </w:tc>
      </w:tr>
      <w:tr>
        <w:trPr>
          <w:cantSplit/>
        </w:trPr>
        <w:tc>
          <w:tcPr>
            <w:tcW w:type="dxa" w:w="2520"/>
            <w:vAlign w:val="center"/>
            <w:shd w:fill="FFFFFF"/>
            <w:tcMar>
              <w:top w:w="90" w:type="dxa"/>
              <w:left w:w="90" w:type="dxa"/>
              <w:bottom w:w="90" w:type="dxa"/>
              <w:right w:w="90" w:type="dxa"/>
            </w:tcMar>
          </w:tcPr>
          <w:p>
            <w:pPr>
              <w:spacing w:line="247" w:lineRule="auto" w:after="40"/>
            </w:pPr>
            <w:r>
              <w:rPr>
                <w:b w:val="0"/>
                <w:sz w:val="20"/>
              </w:rPr>
              <w:t>registry_id ve registry_number</w:t>
            </w:r>
          </w:p>
        </w:tc>
        <w:tc>
          <w:tcPr>
            <w:tcW w:type="dxa" w:w="7704"/>
            <w:vAlign w:val="center"/>
            <w:shd w:fill="FFFFFF"/>
            <w:tcMar>
              <w:top w:w="90" w:type="dxa"/>
              <w:left w:w="90" w:type="dxa"/>
              <w:bottom w:w="90" w:type="dxa"/>
              <w:right w:w="90" w:type="dxa"/>
            </w:tcMar>
          </w:tcPr>
          <w:p>
            <w:pPr>
              <w:spacing w:line="247" w:lineRule="auto" w:after="40"/>
            </w:pPr>
            <w:r>
              <w:rPr>
                <w:b w:val="0"/>
                <w:sz w:val="20"/>
              </w:rPr>
              <w:t>Sicil/rejim ve onun verdiği metinsel numara. Aynı ülkede birden fazla sicil olabilir; IMO numarasından ayrıdır.</w:t>
            </w:r>
          </w:p>
        </w:tc>
      </w:tr>
      <w:tr>
        <w:trPr>
          <w:cantSplit/>
        </w:trPr>
        <w:tc>
          <w:tcPr>
            <w:tcW w:type="dxa" w:w="2520"/>
            <w:vAlign w:val="center"/>
            <w:shd w:fill="FFFFFF"/>
            <w:tcMar>
              <w:top w:w="90" w:type="dxa"/>
              <w:left w:w="90" w:type="dxa"/>
              <w:bottom w:w="90" w:type="dxa"/>
              <w:right w:w="90" w:type="dxa"/>
            </w:tcMar>
          </w:tcPr>
          <w:p>
            <w:pPr>
              <w:spacing w:line="247" w:lineRule="auto" w:after="40"/>
            </w:pPr>
            <w:r>
              <w:rPr>
                <w:b w:val="0"/>
                <w:sz w:val="20"/>
              </w:rPr>
              <w:t>port_of_registry_id</w:t>
            </w:r>
          </w:p>
        </w:tc>
        <w:tc>
          <w:tcPr>
            <w:tcW w:type="dxa" w:w="7704"/>
            <w:vAlign w:val="center"/>
            <w:shd w:fill="FFFFFF"/>
            <w:tcMar>
              <w:top w:w="90" w:type="dxa"/>
              <w:left w:w="90" w:type="dxa"/>
              <w:bottom w:w="90" w:type="dxa"/>
              <w:right w:w="90" w:type="dxa"/>
            </w:tcMar>
          </w:tcPr>
          <w:p>
            <w:pPr>
              <w:spacing w:line="247" w:lineRule="auto" w:after="40"/>
            </w:pPr>
            <w:r>
              <w:rPr>
                <w:b w:val="0"/>
                <w:sz w:val="20"/>
              </w:rPr>
              <w:t>Belgedeki sicil limanı; güncel liman, ana üs veya işletmeci adresi değildir.</w:t>
            </w:r>
          </w:p>
        </w:tc>
      </w:tr>
      <w:tr>
        <w:trPr>
          <w:cantSplit/>
        </w:trPr>
        <w:tc>
          <w:tcPr>
            <w:tcW w:type="dxa" w:w="2520"/>
            <w:vAlign w:val="center"/>
            <w:shd w:fill="FFFFFF"/>
            <w:tcMar>
              <w:top w:w="90" w:type="dxa"/>
              <w:left w:w="90" w:type="dxa"/>
              <w:bottom w:w="90" w:type="dxa"/>
              <w:right w:w="90" w:type="dxa"/>
            </w:tcMar>
          </w:tcPr>
          <w:p>
            <w:pPr>
              <w:spacing w:line="247" w:lineRule="auto" w:after="40"/>
            </w:pPr>
            <w:r>
              <w:rPr>
                <w:b w:val="0"/>
                <w:sz w:val="20"/>
              </w:rPr>
              <w:t>registry_status</w:t>
            </w:r>
          </w:p>
        </w:tc>
        <w:tc>
          <w:tcPr>
            <w:tcW w:type="dxa" w:w="7704"/>
            <w:vAlign w:val="center"/>
            <w:shd w:fill="FFFFFF"/>
            <w:tcMar>
              <w:top w:w="90" w:type="dxa"/>
              <w:left w:w="90" w:type="dxa"/>
              <w:bottom w:w="90" w:type="dxa"/>
              <w:right w:w="90" w:type="dxa"/>
            </w:tcMar>
          </w:tcPr>
          <w:p>
            <w:pPr>
              <w:spacing w:line="247" w:lineRule="auto" w:after="40"/>
            </w:pPr>
            <w:r>
              <w:rPr>
                <w:b w:val="0"/>
                <w:sz w:val="20"/>
              </w:rPr>
              <w:t>Yetkili makamın kayıt/hukuki durumu: ham metin, varsa onaylı eşleme, yargı alanı, şema, sürüm ve yürürlük dönemi.</w:t>
            </w:r>
          </w:p>
        </w:tc>
      </w:tr>
      <w:tr>
        <w:trPr>
          <w:cantSplit/>
        </w:trPr>
        <w:tc>
          <w:tcPr>
            <w:tcW w:type="dxa" w:w="2520"/>
            <w:vAlign w:val="center"/>
            <w:shd w:fill="FFFFFF"/>
            <w:tcMar>
              <w:top w:w="90" w:type="dxa"/>
              <w:left w:w="90" w:type="dxa"/>
              <w:bottom w:w="90" w:type="dxa"/>
              <w:right w:w="90" w:type="dxa"/>
            </w:tcMar>
          </w:tcPr>
          <w:p>
            <w:pPr>
              <w:spacing w:line="247" w:lineRule="auto" w:after="40"/>
            </w:pPr>
            <w:r>
              <w:rPr>
                <w:b w:val="0"/>
                <w:sz w:val="20"/>
              </w:rPr>
              <w:t>verification_status</w:t>
            </w:r>
          </w:p>
        </w:tc>
        <w:tc>
          <w:tcPr>
            <w:tcW w:type="dxa" w:w="7704"/>
            <w:vAlign w:val="center"/>
            <w:shd w:fill="FFFFFF"/>
            <w:tcMar>
              <w:top w:w="90" w:type="dxa"/>
              <w:left w:w="90" w:type="dxa"/>
              <w:bottom w:w="90" w:type="dxa"/>
              <w:right w:w="90" w:type="dxa"/>
            </w:tcMar>
          </w:tcPr>
          <w:p>
            <w:pPr>
              <w:spacing w:line="247" w:lineRule="auto" w:after="40"/>
            </w:pPr>
            <w:r>
              <w:rPr>
                <w:b w:val="0"/>
                <w:sz w:val="20"/>
              </w:rPr>
              <w:t>Kanıtın inceleme durumu: bekliyor/doğrulandı gibi ürün değerleri; kim, ne zaman, hangi kanıtla doğruladı ayrı tutulur.</w:t>
            </w:r>
          </w:p>
        </w:tc>
      </w:tr>
      <w:tr>
        <w:trPr>
          <w:cantSplit/>
        </w:trPr>
        <w:tc>
          <w:tcPr>
            <w:tcW w:type="dxa" w:w="2520"/>
            <w:vAlign w:val="center"/>
            <w:shd w:fill="FFFFFF"/>
            <w:tcMar>
              <w:top w:w="90" w:type="dxa"/>
              <w:left w:w="90" w:type="dxa"/>
              <w:bottom w:w="90" w:type="dxa"/>
              <w:right w:w="90" w:type="dxa"/>
            </w:tcMar>
          </w:tcPr>
          <w:p>
            <w:pPr>
              <w:spacing w:line="247" w:lineRule="auto" w:after="40"/>
            </w:pPr>
            <w:r>
              <w:rPr>
                <w:b w:val="0"/>
                <w:sz w:val="20"/>
              </w:rPr>
              <w:t>Geçerlilik ve kayıt izi</w:t>
            </w:r>
          </w:p>
        </w:tc>
        <w:tc>
          <w:tcPr>
            <w:tcW w:type="dxa" w:w="7704"/>
            <w:vAlign w:val="center"/>
            <w:shd w:fill="FFFFFF"/>
            <w:tcMar>
              <w:top w:w="90" w:type="dxa"/>
              <w:left w:w="90" w:type="dxa"/>
              <w:bottom w:w="90" w:type="dxa"/>
              <w:right w:w="90" w:type="dxa"/>
            </w:tcMar>
          </w:tcPr>
          <w:p>
            <w:pPr>
              <w:spacing w:line="247" w:lineRule="auto" w:after="40"/>
            </w:pPr>
            <w:r>
              <w:rPr>
                <w:b w:val="0"/>
                <w:sz w:val="20"/>
              </w:rPr>
              <w:t>flag_valid_from/to, kayıt zamanı ve değişiklik gerekçesi. Belge referansı erişim ve gizlilik politikasına bağlıdır.</w:t>
            </w:r>
          </w:p>
        </w:tc>
      </w:tr>
    </w:tbl>
    <w:p>
      <w:pPr>
        <w:widowControl/>
        <w:spacing w:after="60" w:line="240" w:lineRule="auto"/>
      </w:pPr>
      <w:r>
        <w:rPr>
          <w:sz w:val="2"/>
        </w:rPr>
        <w:t xml:space="preserve"> </w:t>
      </w:r>
    </w:p>
    <w:p>
      <w:pPr>
        <w:pStyle w:val="Heading2"/>
        <w:widowControl/>
      </w:pPr>
      <w:r>
        <w:t>Araştırma düzeltmesi ve hukuki anlam</w:t>
      </w:r>
    </w:p>
    <w:p>
      <w:pPr>
        <w:widowControl/>
      </w:pPr>
      <w:r>
        <w:t>R-P2-01: İlk araştırma notunda registry_status altında doğrulama ve askı durumu birlikte örneklenmişti. Nihai öneri bunları yukarıdaki iki alana ayırır. SUSPENDED + VERIFIED yalnız mantıksal test örneğidir, evrensel hukuki durum enum’u değildir. Bu ikili birlikte saklanabilir: askı kararının kanıtı doğrulanmış olabilir; bu, geçerli bayrak hakkı olduğu anlamına gelmez. Ham araştırma korunur, düzeltme izi bu sözleşme ve kabul testinde görünür.</w:t>
      </w:r>
    </w:p>
    <w:p>
      <w:pPr>
        <w:widowControl/>
      </w:pPr>
      <w:r>
        <w:t>Bareboat/paralel kayıt olasılığı kayıt ilişkisi ve dönemlerle modellenebilir; iki eşzamanlı etkin bayrak hakkı varsayılmaz. Etkin idareyi ve diğer kaydın hukuki niteliğini uzman teyit etmelidir. Bayrak değişikliği eski atamayı silmez; sahibin/işletmecinin ülkesini otomatik değiştirmez.</w:t>
      </w:r>
    </w:p>
    <w:p>
      <w:pPr>
        <w:widowControl/>
      </w:pPr>
      <w:r>
        <w:t>Bilinmiyor, verilmemiş, doğrulama bekliyor ve uygulanamaz ayrı veri kalite durumlarıdır. Bunlar gerçek bayrak veya ülke kodları değildir. Bayrak ikonu metinsel ad/kodun yerine geçmez; mevcut idarenin seçimi bir tanedir, tarihsel dönemler çoğuldur.</w:t>
      </w:r>
    </w:p>
    <w:p>
      <w:pPr>
        <w:pStyle w:val="Heading1"/>
        <w:pageBreakBefore/>
        <w:widowControl/>
      </w:pPr>
      <w:r>
        <w:t>3 Gemi tipi ve römorkör boyutları</w:t>
      </w:r>
    </w:p>
    <w:p>
      <w:pPr>
        <w:widowControl/>
      </w:pPr>
      <w:r>
        <w:t>Beş eksen ayrı tutulmalıdır: ürün ana kategorisi, ürün alt tipi, ulusal sicil cinsi, AIS yayın tipi ve mevzuata özgü sınıflandırmalar. Ortak Vessel kimliği korunur; bu ayrımlar ekran başına yeni gemi kaydı yaratmaz. Yük, tanker, yolcu, römorkör, açık deniz destek ve hizmet adları yalnız açıklayıcı örnektir, eksiksiz veya onaylı seed değildir.</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376"/>
        <w:gridCol w:w="7848"/>
      </w:tblGrid>
      <w:tr>
        <w:trPr>
          <w:cantSplit/>
          <w:tblHeader/>
        </w:trPr>
        <w:tc>
          <w:tcPr>
            <w:tcW w:type="dxa" w:w="2376"/>
            <w:vAlign w:val="center"/>
            <w:shd w:fill="E8EDF2"/>
            <w:tcMar>
              <w:top w:w="90" w:type="dxa"/>
              <w:left w:w="90" w:type="dxa"/>
              <w:bottom w:w="90" w:type="dxa"/>
              <w:right w:w="90" w:type="dxa"/>
            </w:tcMar>
          </w:tcPr>
          <w:p>
            <w:pPr>
              <w:spacing w:line="247" w:lineRule="auto" w:after="40"/>
            </w:pPr>
            <w:r>
              <w:rPr>
                <w:b/>
                <w:sz w:val="20"/>
              </w:rPr>
              <w:t>Eksen</w:t>
            </w:r>
          </w:p>
        </w:tc>
        <w:tc>
          <w:tcPr>
            <w:tcW w:type="dxa" w:w="7848"/>
            <w:vAlign w:val="center"/>
            <w:shd w:fill="E8EDF2"/>
            <w:tcMar>
              <w:top w:w="90" w:type="dxa"/>
              <w:left w:w="90" w:type="dxa"/>
              <w:bottom w:w="90" w:type="dxa"/>
              <w:right w:w="90" w:type="dxa"/>
            </w:tcMar>
          </w:tcPr>
          <w:p>
            <w:pPr>
              <w:spacing w:line="247" w:lineRule="auto" w:after="40"/>
            </w:pPr>
            <w:r>
              <w:rPr>
                <w:b/>
                <w:sz w:val="20"/>
              </w:rPr>
              <w:t>Kayıt ve sınır</w:t>
            </w:r>
          </w:p>
        </w:tc>
      </w:tr>
      <w:tr>
        <w:trPr>
          <w:cantSplit/>
        </w:trPr>
        <w:tc>
          <w:tcPr>
            <w:tcW w:type="dxa" w:w="2376"/>
            <w:vAlign w:val="center"/>
            <w:shd w:fill="FFFFFF"/>
            <w:tcMar>
              <w:top w:w="90" w:type="dxa"/>
              <w:left w:w="90" w:type="dxa"/>
              <w:bottom w:w="90" w:type="dxa"/>
              <w:right w:w="90" w:type="dxa"/>
            </w:tcMar>
          </w:tcPr>
          <w:p>
            <w:pPr>
              <w:spacing w:line="247" w:lineRule="auto" w:after="40"/>
            </w:pPr>
            <w:r>
              <w:rPr>
                <w:b w:val="0"/>
                <w:sz w:val="20"/>
              </w:rPr>
              <w:t>Ürün kategori ve alt tip</w:t>
            </w:r>
          </w:p>
        </w:tc>
        <w:tc>
          <w:tcPr>
            <w:tcW w:type="dxa" w:w="7848"/>
            <w:vAlign w:val="center"/>
            <w:shd w:fill="FFFFFF"/>
            <w:tcMar>
              <w:top w:w="90" w:type="dxa"/>
              <w:left w:w="90" w:type="dxa"/>
              <w:bottom w:w="90" w:type="dxa"/>
              <w:right w:w="90" w:type="dxa"/>
            </w:tcMar>
          </w:tcPr>
          <w:p>
            <w:pPr>
              <w:spacing w:line="247" w:lineRule="auto" w:after="40"/>
            </w:pPr>
            <w:r>
              <w:rPr>
                <w:b w:val="0"/>
                <w:sz w:val="20"/>
              </w:rPr>
              <w:t>vessel_category_id / vessel_subtype_id: tanımlı, sürümlü ürün sınıfları. Birincil tip tek, çok amaçlı roller ayrı.</w:t>
            </w:r>
          </w:p>
        </w:tc>
      </w:tr>
      <w:tr>
        <w:trPr>
          <w:cantSplit/>
        </w:trPr>
        <w:tc>
          <w:tcPr>
            <w:tcW w:type="dxa" w:w="2376"/>
            <w:vAlign w:val="center"/>
            <w:shd w:fill="FFFFFF"/>
            <w:tcMar>
              <w:top w:w="90" w:type="dxa"/>
              <w:left w:w="90" w:type="dxa"/>
              <w:bottom w:w="90" w:type="dxa"/>
              <w:right w:w="90" w:type="dxa"/>
            </w:tcMar>
          </w:tcPr>
          <w:p>
            <w:pPr>
              <w:spacing w:line="247" w:lineRule="auto" w:after="40"/>
            </w:pPr>
            <w:r>
              <w:rPr>
                <w:b w:val="0"/>
                <w:sz w:val="20"/>
              </w:rPr>
              <w:t>Ulusal sicil cinsi</w:t>
            </w:r>
          </w:p>
        </w:tc>
        <w:tc>
          <w:tcPr>
            <w:tcW w:type="dxa" w:w="7848"/>
            <w:vAlign w:val="center"/>
            <w:shd w:fill="FFFFFF"/>
            <w:tcMar>
              <w:top w:w="90" w:type="dxa"/>
              <w:left w:w="90" w:type="dxa"/>
              <w:bottom w:w="90" w:type="dxa"/>
              <w:right w:w="90" w:type="dxa"/>
            </w:tcMar>
          </w:tcPr>
          <w:p>
            <w:pPr>
              <w:spacing w:line="247" w:lineRule="auto" w:after="40"/>
            </w:pPr>
            <w:r>
              <w:rPr>
                <w:b w:val="0"/>
                <w:sz w:val="20"/>
              </w:rPr>
              <w:t>registry_ship_type_code + scheme + version: yetkili belgeden. Ürün EN çevirisi resmi kurum çevirisi diye sunulmaz.</w:t>
            </w:r>
          </w:p>
        </w:tc>
      </w:tr>
      <w:tr>
        <w:trPr>
          <w:cantSplit/>
        </w:trPr>
        <w:tc>
          <w:tcPr>
            <w:tcW w:type="dxa" w:w="2376"/>
            <w:vAlign w:val="center"/>
            <w:shd w:fill="FFFFFF"/>
            <w:tcMar>
              <w:top w:w="90" w:type="dxa"/>
              <w:left w:w="90" w:type="dxa"/>
              <w:bottom w:w="90" w:type="dxa"/>
              <w:right w:w="90" w:type="dxa"/>
            </w:tcMar>
          </w:tcPr>
          <w:p>
            <w:pPr>
              <w:spacing w:line="247" w:lineRule="auto" w:after="40"/>
            </w:pPr>
            <w:r>
              <w:rPr>
                <w:b w:val="0"/>
                <w:sz w:val="20"/>
              </w:rPr>
              <w:t>AIS tipi</w:t>
            </w:r>
          </w:p>
        </w:tc>
        <w:tc>
          <w:tcPr>
            <w:tcW w:type="dxa" w:w="7848"/>
            <w:vAlign w:val="center"/>
            <w:shd w:fill="FFFFFF"/>
            <w:tcMar>
              <w:top w:w="90" w:type="dxa"/>
              <w:left w:w="90" w:type="dxa"/>
              <w:bottom w:w="90" w:type="dxa"/>
              <w:right w:w="90" w:type="dxa"/>
            </w:tcMar>
          </w:tcPr>
          <w:p>
            <w:pPr>
              <w:spacing w:line="247" w:lineRule="auto" w:after="40"/>
            </w:pPr>
            <w:r>
              <w:rPr>
                <w:b w:val="0"/>
                <w:sz w:val="20"/>
              </w:rPr>
              <w:t>ais_ship_type_code + standard_version + received_at: ham gözlem. Sertifika cinsi veya doğrulanmış fiziksel özellik değildir.</w:t>
            </w:r>
          </w:p>
        </w:tc>
      </w:tr>
      <w:tr>
        <w:trPr>
          <w:cantSplit/>
        </w:trPr>
        <w:tc>
          <w:tcPr>
            <w:tcW w:type="dxa" w:w="2376"/>
            <w:vAlign w:val="center"/>
            <w:shd w:fill="FFFFFF"/>
            <w:tcMar>
              <w:top w:w="90" w:type="dxa"/>
              <w:left w:w="90" w:type="dxa"/>
              <w:bottom w:w="90" w:type="dxa"/>
              <w:right w:w="90" w:type="dxa"/>
            </w:tcMar>
          </w:tcPr>
          <w:p>
            <w:pPr>
              <w:spacing w:line="247" w:lineRule="auto" w:after="40"/>
            </w:pPr>
            <w:r>
              <w:rPr>
                <w:b w:val="0"/>
                <w:sz w:val="20"/>
              </w:rPr>
              <w:t>Mevzuat sınıfları</w:t>
            </w:r>
          </w:p>
        </w:tc>
        <w:tc>
          <w:tcPr>
            <w:tcW w:type="dxa" w:w="7848"/>
            <w:vAlign w:val="center"/>
            <w:shd w:fill="FFFFFF"/>
            <w:tcMar>
              <w:top w:w="90" w:type="dxa"/>
              <w:left w:w="90" w:type="dxa"/>
              <w:bottom w:w="90" w:type="dxa"/>
              <w:right w:w="90" w:type="dxa"/>
            </w:tcMar>
          </w:tcPr>
          <w:p>
            <w:pPr>
              <w:spacing w:line="247" w:lineRule="auto" w:after="40"/>
            </w:pPr>
            <w:r>
              <w:rPr>
                <w:b w:val="0"/>
                <w:sz w:val="20"/>
              </w:rPr>
              <w:t>regulatory_classifications[]: enstrüman/sürüm/madde, karar, dönem ve kanıt. Birden fazla sınıf birlikte bulunabilir.</w:t>
            </w:r>
          </w:p>
        </w:tc>
      </w:tr>
    </w:tbl>
    <w:p>
      <w:pPr>
        <w:widowControl/>
        <w:spacing w:after="60" w:line="240" w:lineRule="auto"/>
      </w:pPr>
      <w:r>
        <w:rPr>
          <w:sz w:val="2"/>
        </w:rPr>
        <w:t xml:space="preserve"> </w:t>
      </w:r>
    </w:p>
    <w:p>
      <w:pPr>
        <w:widowControl/>
      </w:pPr>
      <w:r>
        <w:t>ITU sicilinde M.1371-6, Şubat 2026 sürümü yürürlüktedir; -5 eskimiş sürüm olarak gösterilir. 52 römorkör, 31 yedekleme, 32 belirli boyut eşiklerini aşan yedekleme durumudur. 31/32/52 üç sabit gövde alt tipi değildir. Superseded, tavsiye sicili durumudur; zorunlu cihaz değişimi veya hukuki kullanımdan kaldırma kararı değildir. Eski cihaz veya veri için kullanılan AIS sürümü ayrıca saklanır; kod benzerliğinden eşleme türetilmez.</w:t>
      </w:r>
      <w:r>
        <w:t xml:space="preserve"> </w:t>
      </w:r>
      <w:hyperlink r:id="rId13">
        <w:r>
          <w:rPr>
            <w:color w:val="000000"/>
            <w:u w:val="single"/>
          </w:rPr>
          <w:t>S3 ITU R M.1371-6 resmi metin</w:t>
        </w:r>
      </w:hyperlink>
      <w:r>
        <w:t xml:space="preserve"> · </w:t>
      </w:r>
      <w:hyperlink r:id="rId14">
        <w:r>
          <w:rPr>
            <w:color w:val="000000"/>
            <w:u w:val="single"/>
          </w:rPr>
          <w:t>S4 ITU M.1371 sürüm sicili</w:t>
        </w:r>
      </w:hyperlink>
    </w:p>
    <w:p>
      <w:pPr>
        <w:widowControl/>
      </w:pPr>
      <w:r>
        <w:t>UAB 08-2026 dosyasının 24. sayfasındaki 4304 Açık Deniz Römorkörü ve 4305 Kılavuz Römorkörleri, AIS 52 ile birebir eşit değildir. Aynı belgede 4202 destek gemisi için çeki kabiliyeti bağlamı bulunur; “çekebilir” demek otomatik römorkör sicil sınıfı demek değildir. Bu bulgu araştırmacının birincil PDF metin okumasına dayanır; bağımsız incelemede PDF çözülemedi ve tekrar doğrulanmadı. Dosya adındaki tarih idari yürürlük/onay tarihinin yerine geçmez.</w:t>
      </w:r>
      <w:r>
        <w:t xml:space="preserve"> </w:t>
      </w:r>
      <w:hyperlink r:id="rId15">
        <w:r>
          <w:rPr>
            <w:color w:val="000000"/>
            <w:u w:val="single"/>
          </w:rPr>
          <w:t>S9 UAB gemi sicil cinsleri 08 2026</w:t>
        </w:r>
      </w:hyperlink>
    </w:p>
    <w:p>
      <w:pPr>
        <w:pStyle w:val="Heading2"/>
        <w:widowControl/>
      </w:pPr>
      <w:r>
        <w:t>Römorkörde görev ve teknik özellikler</w:t>
      </w:r>
    </w:p>
    <w:p>
      <w:pPr>
        <w:widowControl/>
      </w:pPr>
      <w:r>
        <w:t>tug_operational_roles[] çoklu/tarihçeli görevleri tutar. Drive configuration, propulsion technology ve energy system ayrı alanlardır: ASD/tractor/conventional mimarisi; azimut/cycloidal gibi sevk teknolojisi; dizel/hibrit/batarya gibi enerji sistemi birbirine eşitlenmez. Örnekler uzman tanımı ve marka/lisans incelemesi gerektirir. Bollard pull değer, birim, test tarihi ve sertifikasıyla; eskort ve FiFi yeteneği ilgili belge/notasyonla kaydedilir. Bilinmeyen değer sıfır yapılmaz.</w:t>
      </w:r>
    </w:p>
    <w:p>
      <w:pPr>
        <w:widowControl/>
      </w:pPr>
      <w:r>
        <w:t>Gemi IMO’sunun mevcut yedi basamak ve checksum kuralı korunur. IMO’nun koşullu sekiz basamak açıklaması etkin dağıtım başlangıcı değildir; bu araştırmada yürürlük tarihi doğrulanmadı. Gelecekte resmi biçim, checksum ve geçiş planı onaylanırsa sürümlü validator gerekir. Gemi ile şirket numarası birleşmez; aritmetik doğruluk gerçek tahsis kanıtı değildir.</w:t>
      </w:r>
      <w:r>
        <w:t xml:space="preserve"> </w:t>
      </w:r>
      <w:hyperlink r:id="rId16">
        <w:r>
          <w:rPr>
            <w:color w:val="000000"/>
            <w:u w:val="single"/>
          </w:rPr>
          <w:t>S12 IMO numara şeması</w:t>
        </w:r>
      </w:hyperlink>
      <w:r>
        <w:t xml:space="preserve"> · </w:t>
      </w:r>
      <w:hyperlink r:id="rId17">
        <w:r>
          <w:rPr>
            <w:color w:val="000000"/>
            <w:u w:val="single"/>
          </w:rPr>
          <w:t>S13 IMO gemi numarası FAQ</w:t>
        </w:r>
      </w:hyperlink>
    </w:p>
    <w:p>
      <w:pPr>
        <w:pStyle w:val="Heading1"/>
        <w:pageBreakBefore/>
        <w:widowControl/>
      </w:pPr>
      <w:r>
        <w:t>4 Mevzuat uygulanabilirliği</w:t>
      </w:r>
    </w:p>
    <w:p>
      <w:pPr>
        <w:widowControl/>
      </w:pPr>
      <w:r>
        <w:t>Hukuki kaynak yükümlülüğü tanımlar; standart veri temsilini tanımlar; satıcı belgesi ürün yeteneğini anlatır; bu tasarım ise Poseidon ürün kararını önerir. Bu dört kanıt türü birbirinin yerine kullanılamaz. Bayrak ve tip gerekli bağlamdır, tek başına mevzuat sonucu değildir. GT, DWT ve deplasman ayrı niceliklerdir.</w:t>
      </w:r>
    </w:p>
    <w:p>
      <w:pPr>
        <w:pStyle w:val="Heading2"/>
        <w:widowControl/>
      </w:pPr>
      <w:r>
        <w:t>Bölüm ve koşul bazlı değerlendirme</w:t>
      </w:r>
    </w:p>
    <w:p>
      <w:pPr>
        <w:widowControl/>
      </w:pPr>
      <w:r>
        <w:t>SOLAS bölüm V’nin genel operasyonel kapsamı sözleşmenin diğer bölümlerinden daha geniş olabilir. Bu nedenle “500 GT altı tüm SOLAS dışı” gibi tek eşikli kural kurulmaz. AIS taşıma özetinde uluslararası seferde 300 GT ve üstü, uluslararası olmayan seferde 500 GT ve üstü yük gemileri ve büyüklükten bağımsız yolcu gemileri ayrılır; istisna ve ulusal uygulama ayrıca doğrulanır. Her römorköre otomatik yükümlülük çıkarılmaz.</w:t>
      </w:r>
      <w:r>
        <w:t xml:space="preserve"> </w:t>
      </w:r>
      <w:hyperlink r:id="rId18">
        <w:r>
          <w:rPr>
            <w:color w:val="000000"/>
            <w:u w:val="single"/>
          </w:rPr>
          <w:t>S10 IMO SOLAS genel açıklaması</w:t>
        </w:r>
      </w:hyperlink>
      <w:r>
        <w:t xml:space="preserve"> · </w:t>
      </w:r>
      <w:hyperlink r:id="rId19">
        <w:r>
          <w:rPr>
            <w:color w:val="000000"/>
            <w:u w:val="single"/>
          </w:rPr>
          <w:t>S11 IMO AIS taşıma kapsamı</w:t>
        </w:r>
      </w:hyperlink>
    </w:p>
    <w:p>
      <w:pPr>
        <w:widowControl/>
      </w:pPr>
      <w:r>
        <w:t>ISM/SOLAS IX değerlendirmesi sefer, yolcu/yük/MODU bağlamı, tonaj ve ulusal uygulamayı gerektirir. Transport Canada açıklaması bu ayrımı destekleyen ulusal otorite kaynağıdır; Türkiye dahil bütün bayraklarda aynı uygulama kararı yerine kullanılmaz.</w:t>
      </w:r>
      <w:r>
        <w:t xml:space="preserve"> </w:t>
      </w:r>
      <w:hyperlink r:id="rId20">
        <w:r>
          <w:rPr>
            <w:color w:val="000000"/>
            <w:u w:val="single"/>
          </w:rPr>
          <w:t>S14 Transport Canada ISM açıklaması</w:t>
        </w:r>
      </w:hyperlink>
    </w:p>
    <w:p>
      <w:pPr>
        <w:widowControl/>
      </w:pPr>
      <w:r>
        <w:t>MARPOL VI kapsamı ile bölüm 4/sörvey, EEXI ve CII eşikleri aynı şey değildir. IMO özetindeki 400 GT ve 5.000 GT bağlamları, tanımlı gemi tipleri ve sefer istisnalarıyla okunur. “400 GT altında MARPOL yok” veya “5.000 GT üzerindeki her römorköre CII” sonucu çıkarılmaz.</w:t>
      </w:r>
      <w:r>
        <w:t xml:space="preserve"> </w:t>
      </w:r>
      <w:hyperlink r:id="rId21">
        <w:r>
          <w:rPr>
            <w:color w:val="000000"/>
            <w:u w:val="single"/>
          </w:rPr>
          <w:t>S15 IMO EEXI ve CII açıklaması</w:t>
        </w:r>
      </w:hyperlink>
    </w:p>
    <w:p>
      <w:pPr>
        <w:widowControl/>
      </w:pPr>
      <w:r>
        <w:t>UAB indeksi 12.05.2023/32188 Gemi Sicil Yönetmeliğini gösterir. Araştırmada resmi PDF’nin ayrıntılı madde metni doğrulanamadığından burada madde bazlı hüküm üretilmez; konsolidasyon ve son değişiklikler uzman kapısındadır. UAB cins listesi de bu hukuki incelemenin yerine geçmez.</w:t>
      </w:r>
      <w:r>
        <w:t xml:space="preserve"> </w:t>
      </w:r>
      <w:hyperlink r:id="rId22">
        <w:r>
          <w:rPr>
            <w:color w:val="000000"/>
            <w:u w:val="single"/>
          </w:rPr>
          <w:t>S8 UAB mevzuat indeksi</w:t>
        </w:r>
      </w:hyperlink>
      <w:r>
        <w:t xml:space="preserve"> · </w:t>
      </w:r>
      <w:hyperlink r:id="rId15">
        <w:r>
          <w:rPr>
            <w:color w:val="000000"/>
            <w:u w:val="single"/>
          </w:rPr>
          <w:t>S9 UAB gemi sicil cinsleri 08 2026</w:t>
        </w:r>
      </w:hyperlink>
    </w:p>
    <w:p>
      <w:pPr>
        <w:pStyle w:val="Heading2"/>
        <w:widowControl/>
      </w:pPr>
      <w:r>
        <w:t>Kararın saklanması ve yayın yetkisi</w:t>
      </w:r>
    </w:p>
    <w:p>
      <w:pPr>
        <w:widowControl/>
      </w:pPr>
      <w:r>
        <w:t>Önerilen uygulanabilirlik kaydı enstrüman, sürüm, madde, bayrak, sicil/yargı alanı, sefer kapsamı, operasyon alanı, mevzuat gemi sınıfı, GT ve tonaj dayanağı, inşa/dönüşüm tarihi, kanıt, gerekçe, inceleyen ve zamanı içerir. Sonuç applies / does_not_apply / unknown / pending_expert_review olur. Eksik bilgi “uygulanmaz” anlamına gelmez; eşzamanlı yükümlülükler korunur.</w:t>
      </w:r>
    </w:p>
    <w:p>
      <w:pPr>
        <w:widowControl/>
      </w:pPr>
      <w:r>
        <w:t>07.01 Production Legal Gate satır 2–8 LEG-G01…07 ve 08.01 Açık Hukuki Doğrulama satır 2–8 VAL-01…07 OPEN kalır. ISPS, MLC, Load Lines, tonaj, ulusal teknik kurallar ve faaliyet izinleri filoya göre ayrıca incelenir. 128 kaynak ailesinin taranmış olması gemi bazlı hukuki kabul veya madde sürümü dondurma değildir.</w:t>
      </w:r>
    </w:p>
    <w:p>
      <w:pPr>
        <w:widowControl/>
      </w:pPr>
      <w:r>
        <w:t>09.01’deki Regulatory Author, Maritime/Legal SME, Technical/Class SME ve Regulatory Approver ayrımı korunur. Platform yöneticisi veya AI hukuki onay vermez. Katalog yayınlamak ile uygulanabilirlik kuralını yayınlamak ayrı yetki ve kanıtlara bağlıdır; ikinci kişi incelemesi ve golden regression gerekir.</w:t>
      </w:r>
    </w:p>
    <w:p>
      <w:pPr>
        <w:pStyle w:val="Heading1"/>
        <w:pageBreakBefore/>
        <w:widowControl/>
      </w:pPr>
      <w:r>
        <w:t>5 Rakip ürünlerden doğrulanan bulgular</w:t>
      </w:r>
    </w:p>
    <w:p>
      <w:pPr>
        <w:widowControl/>
      </w:pPr>
      <w:r>
        <w:t>Dört ürün için yedi resmi açık kaynak incelendi. A doğrudan yardım dokümanını, B resmi ürün/hizmet beyanını, Y bu araştırmada doğrulanamayan ayrıntıyı gösterir. A bile canlı ürün testi değildir; Y “üründe yok” anlamına gelmez. Özel oturum veya müşteri ekranı kullanılmadı.</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584"/>
        <w:gridCol w:w="4320"/>
        <w:gridCol w:w="4320"/>
      </w:tblGrid>
      <w:tr>
        <w:trPr>
          <w:cantSplit/>
          <w:tblHeader/>
        </w:trPr>
        <w:tc>
          <w:tcPr>
            <w:tcW w:type="dxa" w:w="1584"/>
            <w:vAlign w:val="center"/>
            <w:shd w:fill="E8EDF2"/>
            <w:tcMar>
              <w:top w:w="90" w:type="dxa"/>
              <w:left w:w="90" w:type="dxa"/>
              <w:bottom w:w="90" w:type="dxa"/>
              <w:right w:w="90" w:type="dxa"/>
            </w:tcMar>
          </w:tcPr>
          <w:p>
            <w:pPr>
              <w:spacing w:line="247" w:lineRule="auto" w:after="40"/>
            </w:pPr>
            <w:r>
              <w:rPr>
                <w:b/>
                <w:sz w:val="20"/>
              </w:rPr>
              <w:t>Ürün</w:t>
            </w:r>
          </w:p>
        </w:tc>
        <w:tc>
          <w:tcPr>
            <w:tcW w:type="dxa" w:w="4320"/>
            <w:vAlign w:val="center"/>
            <w:shd w:fill="E8EDF2"/>
            <w:tcMar>
              <w:top w:w="90" w:type="dxa"/>
              <w:left w:w="90" w:type="dxa"/>
              <w:bottom w:w="90" w:type="dxa"/>
              <w:right w:w="90" w:type="dxa"/>
            </w:tcMar>
          </w:tcPr>
          <w:p>
            <w:pPr>
              <w:spacing w:line="247" w:lineRule="auto" w:after="40"/>
            </w:pPr>
            <w:r>
              <w:rPr>
                <w:b/>
                <w:sz w:val="20"/>
              </w:rPr>
              <w:t>Doğrulanan bulgu</w:t>
            </w:r>
          </w:p>
        </w:tc>
        <w:tc>
          <w:tcPr>
            <w:tcW w:type="dxa" w:w="4320"/>
            <w:vAlign w:val="center"/>
            <w:shd w:fill="E8EDF2"/>
            <w:tcMar>
              <w:top w:w="90" w:type="dxa"/>
              <w:left w:w="90" w:type="dxa"/>
              <w:bottom w:w="90" w:type="dxa"/>
              <w:right w:w="90" w:type="dxa"/>
            </w:tcMar>
          </w:tcPr>
          <w:p>
            <w:pPr>
              <w:spacing w:line="247" w:lineRule="auto" w:after="40"/>
            </w:pPr>
            <w:r>
              <w:rPr>
                <w:b/>
                <w:sz w:val="20"/>
              </w:rPr>
              <w:t>Kanıt sınırı</w:t>
            </w:r>
          </w:p>
        </w:tc>
      </w:tr>
      <w:tr>
        <w:trPr>
          <w:cantSplit/>
        </w:trPr>
        <w:tc>
          <w:tcPr>
            <w:tcW w:type="dxa" w:w="1584"/>
            <w:vAlign w:val="center"/>
            <w:shd w:fill="FFFFFF"/>
            <w:tcMar>
              <w:top w:w="90" w:type="dxa"/>
              <w:left w:w="90" w:type="dxa"/>
              <w:bottom w:w="90" w:type="dxa"/>
              <w:right w:w="90" w:type="dxa"/>
            </w:tcMar>
          </w:tcPr>
          <w:p>
            <w:pPr>
              <w:spacing w:line="247" w:lineRule="auto" w:after="40"/>
            </w:pPr>
            <w:r>
              <w:rPr>
                <w:b w:val="0"/>
                <w:sz w:val="20"/>
              </w:rPr>
              <w:t>BASSnet</w:t>
            </w:r>
          </w:p>
        </w:tc>
        <w:tc>
          <w:tcPr>
            <w:tcW w:type="dxa" w:w="4320"/>
            <w:vAlign w:val="center"/>
            <w:shd w:fill="FFFFFF"/>
            <w:tcMar>
              <w:top w:w="90" w:type="dxa"/>
              <w:left w:w="90" w:type="dxa"/>
              <w:bottom w:w="90" w:type="dxa"/>
              <w:right w:w="90" w:type="dxa"/>
            </w:tcMar>
          </w:tcPr>
          <w:p>
            <w:pPr>
              <w:spacing w:line="247" w:lineRule="auto" w:after="40"/>
            </w:pPr>
            <w:r>
              <w:rPr>
                <w:b w:val="0"/>
                <w:sz w:val="20"/>
              </w:rPr>
              <w:t>A: Bayrak ve Vessel Type lookup; Registry Port ayrı. Tip register’da kod, açıklama, grup ve Active alanı.</w:t>
            </w:r>
          </w:p>
        </w:tc>
        <w:tc>
          <w:tcPr>
            <w:tcW w:type="dxa" w:w="4320"/>
            <w:vAlign w:val="center"/>
            <w:shd w:fill="FFFFFF"/>
            <w:tcMar>
              <w:top w:w="90" w:type="dxa"/>
              <w:left w:w="90" w:type="dxa"/>
              <w:bottom w:w="90" w:type="dxa"/>
              <w:right w:w="90" w:type="dxa"/>
            </w:tcMar>
          </w:tcPr>
          <w:p>
            <w:pPr>
              <w:spacing w:line="247" w:lineRule="auto" w:after="40"/>
            </w:pPr>
            <w:r>
              <w:rPr>
                <w:b w:val="0"/>
                <w:sz w:val="20"/>
              </w:rPr>
              <w:t>Arama, TR alias, filtreyle aynı katalog ve geçmiş bağlı kaydın davranışı Y.</w:t>
            </w:r>
          </w:p>
        </w:tc>
      </w:tr>
      <w:tr>
        <w:trPr>
          <w:cantSplit/>
        </w:trPr>
        <w:tc>
          <w:tcPr>
            <w:tcW w:type="dxa" w:w="1584"/>
            <w:vAlign w:val="center"/>
            <w:shd w:fill="FFFFFF"/>
            <w:tcMar>
              <w:top w:w="90" w:type="dxa"/>
              <w:left w:w="90" w:type="dxa"/>
              <w:bottom w:w="90" w:type="dxa"/>
              <w:right w:w="90" w:type="dxa"/>
            </w:tcMar>
          </w:tcPr>
          <w:p>
            <w:pPr>
              <w:spacing w:line="247" w:lineRule="auto" w:after="40"/>
            </w:pPr>
            <w:r>
              <w:rPr>
                <w:b w:val="0"/>
                <w:sz w:val="20"/>
              </w:rPr>
              <w:t>smartPAL</w:t>
            </w:r>
          </w:p>
        </w:tc>
        <w:tc>
          <w:tcPr>
            <w:tcW w:type="dxa" w:w="4320"/>
            <w:vAlign w:val="center"/>
            <w:shd w:fill="FFFFFF"/>
            <w:tcMar>
              <w:top w:w="90" w:type="dxa"/>
              <w:left w:w="90" w:type="dxa"/>
              <w:bottom w:w="90" w:type="dxa"/>
              <w:right w:w="90" w:type="dxa"/>
            </w:tcMar>
          </w:tcPr>
          <w:p>
            <w:pPr>
              <w:spacing w:line="247" w:lineRule="auto" w:after="40"/>
            </w:pPr>
            <w:r>
              <w:rPr>
                <w:b w:val="0"/>
                <w:sz w:val="20"/>
              </w:rPr>
              <w:t>B: merkezi MDM, vessel register, modüller arası paylaşım ve register import/export.</w:t>
            </w:r>
          </w:p>
        </w:tc>
        <w:tc>
          <w:tcPr>
            <w:tcW w:type="dxa" w:w="4320"/>
            <w:vAlign w:val="center"/>
            <w:shd w:fill="FFFFFF"/>
            <w:tcMar>
              <w:top w:w="90" w:type="dxa"/>
              <w:left w:w="90" w:type="dxa"/>
              <w:bottom w:w="90" w:type="dxa"/>
              <w:right w:w="90" w:type="dxa"/>
            </w:tcMar>
          </w:tcPr>
          <w:p>
            <w:pPr>
              <w:spacing w:line="247" w:lineRule="auto" w:after="40"/>
            </w:pPr>
            <w:r>
              <w:rPr>
                <w:b w:val="0"/>
                <w:sz w:val="20"/>
              </w:rPr>
              <w:t>Bayrak/tip widget’ı, kaynak standardı ve alan yetki matrisi Y.</w:t>
            </w:r>
          </w:p>
        </w:tc>
      </w:tr>
      <w:tr>
        <w:trPr>
          <w:cantSplit/>
        </w:trPr>
        <w:tc>
          <w:tcPr>
            <w:tcW w:type="dxa" w:w="1584"/>
            <w:vAlign w:val="center"/>
            <w:shd w:fill="FFFFFF"/>
            <w:tcMar>
              <w:top w:w="90" w:type="dxa"/>
              <w:left w:w="90" w:type="dxa"/>
              <w:bottom w:w="90" w:type="dxa"/>
              <w:right w:w="90" w:type="dxa"/>
            </w:tcMar>
          </w:tcPr>
          <w:p>
            <w:pPr>
              <w:spacing w:line="247" w:lineRule="auto" w:after="40"/>
            </w:pPr>
            <w:r>
              <w:rPr>
                <w:b w:val="0"/>
                <w:sz w:val="20"/>
              </w:rPr>
              <w:t>ShipManager</w:t>
            </w:r>
          </w:p>
        </w:tc>
        <w:tc>
          <w:tcPr>
            <w:tcW w:type="dxa" w:w="4320"/>
            <w:vAlign w:val="center"/>
            <w:shd w:fill="FFFFFF"/>
            <w:tcMar>
              <w:top w:w="90" w:type="dxa"/>
              <w:left w:w="90" w:type="dxa"/>
              <w:bottom w:w="90" w:type="dxa"/>
              <w:right w:w="90" w:type="dxa"/>
            </w:tcMar>
          </w:tcPr>
          <w:p>
            <w:pPr>
              <w:spacing w:line="247" w:lineRule="auto" w:after="40"/>
            </w:pPr>
            <w:r>
              <w:rPr>
                <w:b w:val="0"/>
                <w:sz w:val="20"/>
              </w:rPr>
              <w:t>B: filo yönetimi, veri yakalama/migrasyon ve ekipman sicili hizmeti.</w:t>
            </w:r>
          </w:p>
        </w:tc>
        <w:tc>
          <w:tcPr>
            <w:tcW w:type="dxa" w:w="4320"/>
            <w:vAlign w:val="center"/>
            <w:shd w:fill="FFFFFF"/>
            <w:tcMar>
              <w:top w:w="90" w:type="dxa"/>
              <w:left w:w="90" w:type="dxa"/>
              <w:bottom w:w="90" w:type="dxa"/>
              <w:right w:w="90" w:type="dxa"/>
            </w:tcMar>
          </w:tcPr>
          <w:p>
            <w:pPr>
              <w:spacing w:line="247" w:lineRule="auto" w:after="40"/>
            </w:pPr>
            <w:r>
              <w:rPr>
                <w:b w:val="0"/>
                <w:sz w:val="20"/>
              </w:rPr>
              <w:t>Bayrak/tip seçicisi ve katalog yönetimi Y.</w:t>
            </w:r>
          </w:p>
        </w:tc>
      </w:tr>
      <w:tr>
        <w:trPr>
          <w:cantSplit/>
        </w:trPr>
        <w:tc>
          <w:tcPr>
            <w:tcW w:type="dxa" w:w="1584"/>
            <w:vAlign w:val="center"/>
            <w:shd w:fill="FFFFFF"/>
            <w:tcMar>
              <w:top w:w="90" w:type="dxa"/>
              <w:left w:w="90" w:type="dxa"/>
              <w:bottom w:w="90" w:type="dxa"/>
              <w:right w:w="90" w:type="dxa"/>
            </w:tcMar>
          </w:tcPr>
          <w:p>
            <w:pPr>
              <w:spacing w:line="247" w:lineRule="auto" w:after="40"/>
            </w:pPr>
            <w:r>
              <w:rPr>
                <w:b w:val="0"/>
                <w:sz w:val="20"/>
              </w:rPr>
              <w:t>AMOS ve AMOS X</w:t>
            </w:r>
          </w:p>
        </w:tc>
        <w:tc>
          <w:tcPr>
            <w:tcW w:type="dxa" w:w="4320"/>
            <w:vAlign w:val="center"/>
            <w:shd w:fill="FFFFFF"/>
            <w:tcMar>
              <w:top w:w="90" w:type="dxa"/>
              <w:left w:w="90" w:type="dxa"/>
              <w:bottom w:w="90" w:type="dxa"/>
              <w:right w:w="90" w:type="dxa"/>
            </w:tcMar>
          </w:tcPr>
          <w:p>
            <w:pPr>
              <w:spacing w:line="247" w:lineRule="auto" w:after="40"/>
            </w:pPr>
            <w:r>
              <w:rPr>
                <w:b w:val="0"/>
                <w:sz w:val="20"/>
              </w:rPr>
              <w:t>B: merkezi teknik filo yapısı, mobil iş akışları, veri koruyan geçiş/migrasyon beyanları.</w:t>
            </w:r>
          </w:p>
        </w:tc>
        <w:tc>
          <w:tcPr>
            <w:tcW w:type="dxa" w:w="4320"/>
            <w:vAlign w:val="center"/>
            <w:shd w:fill="FFFFFF"/>
            <w:tcMar>
              <w:top w:w="90" w:type="dxa"/>
              <w:left w:w="90" w:type="dxa"/>
              <w:bottom w:w="90" w:type="dxa"/>
              <w:right w:w="90" w:type="dxa"/>
            </w:tcMar>
          </w:tcPr>
          <w:p>
            <w:pPr>
              <w:spacing w:line="247" w:lineRule="auto" w:after="40"/>
            </w:pPr>
            <w:r>
              <w:rPr>
                <w:b w:val="0"/>
                <w:sz w:val="20"/>
              </w:rPr>
              <w:t>Bayrak/tip tarihçesi, klavye/combobox davranışı ve TR desteği Y.</w:t>
            </w:r>
          </w:p>
        </w:tc>
      </w:tr>
    </w:tbl>
    <w:p>
      <w:pPr>
        <w:widowControl/>
        <w:spacing w:after="60" w:line="240" w:lineRule="auto"/>
      </w:pPr>
      <w:r>
        <w:rPr>
          <w:sz w:val="2"/>
        </w:rPr>
        <w:t xml:space="preserve"> </w:t>
      </w:r>
    </w:p>
    <w:p>
      <w:pPr>
        <w:widowControl/>
      </w:pPr>
      <w:r>
        <w:t>Alan düzeyindeki en güçlü örnek BASSnet’tir. HR ve CRM yardım bağlamları tek fiziksel şema varsayımı oluşturmaz. Tip register belgesindeki kod uzunluğu anlatımları da kendi içinde farklıdır; Poseidon sınırı buradan kopyalanmaz. İnaktif gemi ile inaktif katalog girdisi ayrı kavramlardır.</w:t>
      </w:r>
      <w:r>
        <w:t xml:space="preserve"> </w:t>
      </w:r>
      <w:hyperlink r:id="rId23">
        <w:r>
          <w:rPr>
            <w:color w:val="000000"/>
            <w:u w:val="single"/>
          </w:rPr>
          <w:t>C01 BASSnet Vessel Particulars</w:t>
        </w:r>
      </w:hyperlink>
      <w:r>
        <w:t xml:space="preserve"> · </w:t>
      </w:r>
      <w:hyperlink r:id="rId24">
        <w:r>
          <w:rPr>
            <w:color w:val="000000"/>
            <w:u w:val="single"/>
          </w:rPr>
          <w:t>C02 BASSnet Vessel Type Register</w:t>
        </w:r>
      </w:hyperlink>
    </w:p>
    <w:p>
      <w:pPr>
        <w:widowControl/>
      </w:pPr>
      <w:r>
        <w:t>smartPAL Data Library ekipman, iş ve yedek parça verisini merkezileştirir; bu teknik veri kapsamı bayrak/tip için aynı import veya doğrulama bulunduğunu kanıtlamaz. ShipManager ve AMOS migrasyon hizmetleri, geçişin yalnız arayüz değişikliği olmadığını destekler; otomatik sınıf eşleme algoritması kanıtı değildir.</w:t>
      </w:r>
      <w:r>
        <w:t xml:space="preserve"> </w:t>
      </w:r>
      <w:hyperlink r:id="rId25">
        <w:r>
          <w:rPr>
            <w:color w:val="000000"/>
            <w:u w:val="single"/>
          </w:rPr>
          <w:t>C03 MariApps smartPAL MDM</w:t>
        </w:r>
      </w:hyperlink>
      <w:r>
        <w:t xml:space="preserve"> · </w:t>
      </w:r>
      <w:hyperlink r:id="rId26">
        <w:r>
          <w:rPr>
            <w:color w:val="000000"/>
            <w:u w:val="single"/>
          </w:rPr>
          <w:t>C04 MariApps Data Library</w:t>
        </w:r>
      </w:hyperlink>
      <w:r>
        <w:t xml:space="preserve"> · </w:t>
      </w:r>
      <w:hyperlink r:id="rId27">
        <w:r>
          <w:rPr>
            <w:color w:val="000000"/>
            <w:u w:val="single"/>
          </w:rPr>
          <w:t>C05 DNV ShipManager</w:t>
        </w:r>
      </w:hyperlink>
      <w:r>
        <w:t xml:space="preserve"> · </w:t>
      </w:r>
      <w:hyperlink r:id="rId28">
        <w:r>
          <w:rPr>
            <w:color w:val="000000"/>
            <w:u w:val="single"/>
          </w:rPr>
          <w:t>C06 SpecTec AMOS X</w:t>
        </w:r>
      </w:hyperlink>
      <w:r>
        <w:t xml:space="preserve"> · </w:t>
      </w:r>
      <w:hyperlink r:id="rId29">
        <w:r>
          <w:rPr>
            <w:color w:val="000000"/>
            <w:u w:val="single"/>
          </w:rPr>
          <w:t>C07 SpecTec Data Migration Services</w:t>
        </w:r>
      </w:hyperlink>
    </w:p>
    <w:p>
      <w:pPr>
        <w:pStyle w:val="Heading2"/>
        <w:widowControl/>
      </w:pPr>
      <w:r>
        <w:t>Poseidon için özgün ürün önerileri</w:t>
      </w:r>
    </w:p>
    <w:p>
      <w:pPr>
        <w:widowControl/>
      </w:pPr>
      <w:r>
        <w:t>Oluşturma, düzenleme, liste filtresi, import ve API aynı onaylı katalog sürümünü kullansın. Arama etiketten, koddan ve gözden geçirilmiş alias’lardan çalışsın. Türkiye/Turkey ve römorkör/romorkor/tug örnekleri arama önerisidir; otomatik veri dönüşümü veya rakip özelliği iddiası değildir.</w:t>
      </w:r>
    </w:p>
    <w:p>
      <w:pPr>
        <w:widowControl/>
      </w:pPr>
      <w:r>
        <w:t>Geçmiş değerleri koruma, pasifleştirme, kaynak/lisans izi, TR/EN çeviri incelemesi, offline paket ve erişilebilir klavye akışı Poseidon kabul hedefleridir. İncelenen kaynaklar dört üründe bunların tamamını doğrulamaz. Bu belge fiyat, performans üstünlüğü veya rakip ürün eksikliği sonucu üretmez.</w:t>
      </w:r>
    </w:p>
    <w:p>
      <w:pPr>
        <w:widowControl/>
      </w:pPr>
      <w:r>
        <w:t>Formda tek seçim yalnız güncel bayrak ve birincil tip içindir. Çoklu filtre seçimi, römorkör görevleri ve regulatory_classifications[] kendi çoğulluklarını korur. Görünüş benzerliği yerine anlam, sürüm ve veri bütünlüğü esas alınır.</w:t>
      </w:r>
    </w:p>
    <w:p>
      <w:pPr>
        <w:pStyle w:val="Heading1"/>
        <w:pageBreakBefore/>
        <w:widowControl/>
      </w:pPr>
      <w:r>
        <w:t>6 Mantıksal katalog ve ad eşlemesi</w:t>
      </w:r>
    </w:p>
    <w:p>
      <w:pPr>
        <w:widowControl/>
      </w:pPr>
      <w:r>
        <w:t>Değişmez ürün kimliği ile dış kaynağın kodu ayrılır. Etiket düzeltmesi kimliği değiştirmez; kod yeniden kullanılmaz. Bir dış kodun farklı sürümlerindeki anlamı aynı kabul edilmez. Aşağıdaki zengin model hedef tasarımdır; küçük formatVersion 1 şemasında bütün alanları mevcut değildir.</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088"/>
        <w:gridCol w:w="8136"/>
      </w:tblGrid>
      <w:tr>
        <w:trPr>
          <w:cantSplit/>
          <w:tblHeader/>
        </w:trPr>
        <w:tc>
          <w:tcPr>
            <w:tcW w:type="dxa" w:w="2088"/>
            <w:vAlign w:val="center"/>
            <w:shd w:fill="E8EDF2"/>
            <w:tcMar>
              <w:top w:w="90" w:type="dxa"/>
              <w:left w:w="90" w:type="dxa"/>
              <w:bottom w:w="90" w:type="dxa"/>
              <w:right w:w="90" w:type="dxa"/>
            </w:tcMar>
          </w:tcPr>
          <w:p>
            <w:pPr>
              <w:spacing w:line="247" w:lineRule="auto" w:after="40"/>
            </w:pPr>
            <w:r>
              <w:rPr>
                <w:b/>
                <w:sz w:val="20"/>
              </w:rPr>
              <w:t>Alan grubu</w:t>
            </w:r>
          </w:p>
        </w:tc>
        <w:tc>
          <w:tcPr>
            <w:tcW w:type="dxa" w:w="8136"/>
            <w:vAlign w:val="center"/>
            <w:shd w:fill="E8EDF2"/>
            <w:tcMar>
              <w:top w:w="90" w:type="dxa"/>
              <w:left w:w="90" w:type="dxa"/>
              <w:bottom w:w="90" w:type="dxa"/>
              <w:right w:w="90" w:type="dxa"/>
            </w:tcMar>
          </w:tcPr>
          <w:p>
            <w:pPr>
              <w:spacing w:line="247" w:lineRule="auto" w:after="40"/>
            </w:pPr>
            <w:r>
              <w:rPr>
                <w:b/>
                <w:sz w:val="20"/>
              </w:rPr>
              <w:t>Mantıksal sözleşme</w:t>
            </w:r>
          </w:p>
        </w:tc>
      </w:tr>
      <w:tr>
        <w:trPr>
          <w:cantSplit/>
        </w:trPr>
        <w:tc>
          <w:tcPr>
            <w:tcW w:type="dxa" w:w="2088"/>
            <w:vAlign w:val="center"/>
            <w:shd w:fill="FFFFFF"/>
            <w:tcMar>
              <w:top w:w="90" w:type="dxa"/>
              <w:left w:w="90" w:type="dxa"/>
              <w:bottom w:w="90" w:type="dxa"/>
              <w:right w:w="90" w:type="dxa"/>
            </w:tcMar>
          </w:tcPr>
          <w:p>
            <w:pPr>
              <w:spacing w:line="247" w:lineRule="auto" w:after="40"/>
            </w:pPr>
            <w:r>
              <w:rPr>
                <w:b w:val="0"/>
                <w:sz w:val="20"/>
              </w:rPr>
              <w:t>Kimlik ve ad alanı</w:t>
            </w:r>
          </w:p>
        </w:tc>
        <w:tc>
          <w:tcPr>
            <w:tcW w:type="dxa" w:w="8136"/>
            <w:vAlign w:val="center"/>
            <w:shd w:fill="FFFFFF"/>
            <w:tcMar>
              <w:top w:w="90" w:type="dxa"/>
              <w:left w:w="90" w:type="dxa"/>
              <w:bottom w:w="90" w:type="dxa"/>
              <w:right w:w="90" w:type="dxa"/>
            </w:tcMar>
          </w:tcPr>
          <w:p>
            <w:pPr>
              <w:spacing w:line="247" w:lineRule="auto" w:after="40"/>
            </w:pPr>
            <w:r>
              <w:rPr>
                <w:b w:val="0"/>
                <w:sz w:val="20"/>
              </w:rPr>
              <w:t>id; namespace; product code; source_code; source_version. Resmi kaynak doğrulanmadan ISO/UAB öneki uydurulmaz.</w:t>
            </w:r>
          </w:p>
        </w:tc>
      </w:tr>
      <w:tr>
        <w:trPr>
          <w:cantSplit/>
        </w:trPr>
        <w:tc>
          <w:tcPr>
            <w:tcW w:type="dxa" w:w="2088"/>
            <w:vAlign w:val="center"/>
            <w:shd w:fill="FFFFFF"/>
            <w:tcMar>
              <w:top w:w="90" w:type="dxa"/>
              <w:left w:w="90" w:type="dxa"/>
              <w:bottom w:w="90" w:type="dxa"/>
              <w:right w:w="90" w:type="dxa"/>
            </w:tcMar>
          </w:tcPr>
          <w:p>
            <w:pPr>
              <w:spacing w:line="247" w:lineRule="auto" w:after="40"/>
            </w:pPr>
            <w:r>
              <w:rPr>
                <w:b w:val="0"/>
                <w:sz w:val="20"/>
              </w:rPr>
              <w:t>Anlam ve çeviri</w:t>
            </w:r>
          </w:p>
        </w:tc>
        <w:tc>
          <w:tcPr>
            <w:tcW w:type="dxa" w:w="8136"/>
            <w:vAlign w:val="center"/>
            <w:shd w:fill="FFFFFF"/>
            <w:tcMar>
              <w:top w:w="90" w:type="dxa"/>
              <w:left w:w="90" w:type="dxa"/>
              <w:bottom w:w="90" w:type="dxa"/>
              <w:right w:w="90" w:type="dxa"/>
            </w:tcMar>
          </w:tcPr>
          <w:p>
            <w:pPr>
              <w:spacing w:line="247" w:lineRule="auto" w:after="40"/>
            </w:pPr>
            <w:r>
              <w:rPr>
                <w:b w:val="0"/>
                <w:sz w:val="20"/>
              </w:rPr>
              <w:t>label_tr/en, definition_tr/en, parent_id, aliases; çeviri durumu, inceleyen ve onay. Kaynak tanımı ile ürün açıklaması ayrılır.</w:t>
            </w:r>
          </w:p>
        </w:tc>
      </w:tr>
      <w:tr>
        <w:trPr>
          <w:cantSplit/>
        </w:trPr>
        <w:tc>
          <w:tcPr>
            <w:tcW w:type="dxa" w:w="2088"/>
            <w:vAlign w:val="center"/>
            <w:shd w:fill="FFFFFF"/>
            <w:tcMar>
              <w:top w:w="90" w:type="dxa"/>
              <w:left w:w="90" w:type="dxa"/>
              <w:bottom w:w="90" w:type="dxa"/>
              <w:right w:w="90" w:type="dxa"/>
            </w:tcMar>
          </w:tcPr>
          <w:p>
            <w:pPr>
              <w:spacing w:line="247" w:lineRule="auto" w:after="40"/>
            </w:pPr>
            <w:r>
              <w:rPr>
                <w:b w:val="0"/>
                <w:sz w:val="20"/>
              </w:rPr>
              <w:t>Kaynak ve kullanım</w:t>
            </w:r>
          </w:p>
        </w:tc>
        <w:tc>
          <w:tcPr>
            <w:tcW w:type="dxa" w:w="8136"/>
            <w:vAlign w:val="center"/>
            <w:shd w:fill="FFFFFF"/>
            <w:tcMar>
              <w:top w:w="90" w:type="dxa"/>
              <w:left w:w="90" w:type="dxa"/>
              <w:bottom w:w="90" w:type="dxa"/>
              <w:right w:w="90" w:type="dxa"/>
            </w:tcMar>
          </w:tcPr>
          <w:p>
            <w:pPr>
              <w:spacing w:line="247" w:lineRule="auto" w:after="40"/>
            </w:pPr>
            <w:r>
              <w:rPr>
                <w:b w:val="0"/>
                <w:sz w:val="20"/>
              </w:rPr>
              <w:t>source_url, erişim tarihi, kaynak sürümü, license_status, kullanım/yeniden dağıtım kararı ve karar referansı.</w:t>
            </w:r>
          </w:p>
        </w:tc>
      </w:tr>
      <w:tr>
        <w:trPr>
          <w:cantSplit/>
        </w:trPr>
        <w:tc>
          <w:tcPr>
            <w:tcW w:type="dxa" w:w="2088"/>
            <w:vAlign w:val="center"/>
            <w:shd w:fill="FFFFFF"/>
            <w:tcMar>
              <w:top w:w="90" w:type="dxa"/>
              <w:left w:w="90" w:type="dxa"/>
              <w:bottom w:w="90" w:type="dxa"/>
              <w:right w:w="90" w:type="dxa"/>
            </w:tcMar>
          </w:tcPr>
          <w:p>
            <w:pPr>
              <w:spacing w:line="247" w:lineRule="auto" w:after="40"/>
            </w:pPr>
            <w:r>
              <w:rPr>
                <w:b w:val="0"/>
                <w:sz w:val="20"/>
              </w:rPr>
              <w:t>Yaşam döngüsü</w:t>
            </w:r>
          </w:p>
        </w:tc>
        <w:tc>
          <w:tcPr>
            <w:tcW w:type="dxa" w:w="8136"/>
            <w:vAlign w:val="center"/>
            <w:shd w:fill="FFFFFF"/>
            <w:tcMar>
              <w:top w:w="90" w:type="dxa"/>
              <w:left w:w="90" w:type="dxa"/>
              <w:bottom w:w="90" w:type="dxa"/>
              <w:right w:w="90" w:type="dxa"/>
            </w:tcMar>
          </w:tcPr>
          <w:p>
            <w:pPr>
              <w:spacing w:line="247" w:lineRule="auto" w:after="40"/>
            </w:pPr>
            <w:r>
              <w:rPr>
                <w:b w:val="0"/>
                <w:sz w:val="20"/>
              </w:rPr>
              <w:t>revision, active/inactive, active_from/to, replacement ilişkisi, kayıt/değişiklik nedeni; geçmiş revision’lar silinmez.</w:t>
            </w:r>
          </w:p>
        </w:tc>
      </w:tr>
      <w:tr>
        <w:trPr>
          <w:cantSplit/>
        </w:trPr>
        <w:tc>
          <w:tcPr>
            <w:tcW w:type="dxa" w:w="2088"/>
            <w:vAlign w:val="center"/>
            <w:shd w:fill="FFFFFF"/>
            <w:tcMar>
              <w:top w:w="90" w:type="dxa"/>
              <w:left w:w="90" w:type="dxa"/>
              <w:bottom w:w="90" w:type="dxa"/>
              <w:right w:w="90" w:type="dxa"/>
            </w:tcMar>
          </w:tcPr>
          <w:p>
            <w:pPr>
              <w:spacing w:line="247" w:lineRule="auto" w:after="40"/>
            </w:pPr>
            <w:r>
              <w:rPr>
                <w:b w:val="0"/>
                <w:sz w:val="20"/>
              </w:rPr>
              <w:t>Kapsam</w:t>
            </w:r>
          </w:p>
        </w:tc>
        <w:tc>
          <w:tcPr>
            <w:tcW w:type="dxa" w:w="8136"/>
            <w:vAlign w:val="center"/>
            <w:shd w:fill="FFFFFF"/>
            <w:tcMar>
              <w:top w:w="90" w:type="dxa"/>
              <w:left w:w="90" w:type="dxa"/>
              <w:bottom w:w="90" w:type="dxa"/>
              <w:right w:w="90" w:type="dxa"/>
            </w:tcMar>
          </w:tcPr>
          <w:p>
            <w:pPr>
              <w:spacing w:line="247" w:lineRule="auto" w:after="40"/>
            </w:pPr>
            <w:r>
              <w:rPr>
                <w:b w:val="0"/>
                <w:sz w:val="20"/>
              </w:rPr>
              <w:t>SHIP/TUG uygunluğu ve gerekiyorsa jurisdiction/tenant kapsamı; kapsam görünürlüğü gemi erişimi vermez.</w:t>
            </w:r>
          </w:p>
        </w:tc>
      </w:tr>
      <w:tr>
        <w:trPr>
          <w:cantSplit/>
        </w:trPr>
        <w:tc>
          <w:tcPr>
            <w:tcW w:type="dxa" w:w="2088"/>
            <w:vAlign w:val="center"/>
            <w:shd w:fill="FFFFFF"/>
            <w:tcMar>
              <w:top w:w="90" w:type="dxa"/>
              <w:left w:w="90" w:type="dxa"/>
              <w:bottom w:w="90" w:type="dxa"/>
              <w:right w:w="90" w:type="dxa"/>
            </w:tcMar>
          </w:tcPr>
          <w:p>
            <w:pPr>
              <w:spacing w:line="247" w:lineRule="auto" w:after="40"/>
            </w:pPr>
            <w:r>
              <w:rPr>
                <w:b w:val="0"/>
                <w:sz w:val="20"/>
              </w:rPr>
              <w:t>Eşleme</w:t>
            </w:r>
          </w:p>
        </w:tc>
        <w:tc>
          <w:tcPr>
            <w:tcW w:type="dxa" w:w="8136"/>
            <w:vAlign w:val="center"/>
            <w:shd w:fill="FFFFFF"/>
            <w:tcMar>
              <w:top w:w="90" w:type="dxa"/>
              <w:left w:w="90" w:type="dxa"/>
              <w:bottom w:w="90" w:type="dxa"/>
              <w:right w:w="90" w:type="dxa"/>
            </w:tcMar>
          </w:tcPr>
          <w:p>
            <w:pPr>
              <w:spacing w:line="247" w:lineRule="auto" w:after="40"/>
            </w:pPr>
            <w:r>
              <w:rPr>
                <w:b w:val="0"/>
                <w:sz w:val="20"/>
              </w:rPr>
              <w:t>Kaynak/hedef namespace+sürüm+kod, ilişki türü, koşul, gerekçe, yürürlük ve insan onayı; çoktan çoğa.</w:t>
            </w:r>
          </w:p>
        </w:tc>
      </w:tr>
    </w:tbl>
    <w:p>
      <w:pPr>
        <w:widowControl/>
        <w:spacing w:after="60" w:line="240" w:lineRule="auto"/>
      </w:pPr>
      <w:r>
        <w:rPr>
          <w:sz w:val="2"/>
        </w:rPr>
        <w:t xml:space="preserve"> </w:t>
      </w:r>
    </w:p>
    <w:p>
      <w:pPr>
        <w:widowControl/>
      </w:pPr>
      <w:r>
        <w:t>Eşleme türleri exact, broader, narrower, conditional ve no_mapping olarak açıkça saklanır; broader, hedefin kaynaktan geniş olmasıdır (target_broader_than_source); narrower, hedefin kaynaktan dar olmasıdır (target_narrower_than_source). Örneğin AIS 52 ürün TUG üst kategorisini destekleyebilir; tek başına UAB 4304/4305 seçtirmez. Koşul eksikse onaylı exact eşleme yoktur. UNECE Rec.28, EMSWe ve IMO Compendium hedef sistem profili ve sürümüyle ele alınır; güncel Compendium açıklaması FAL 50 Mart 2026 güncellemesini içerir.</w:t>
      </w:r>
      <w:r>
        <w:t xml:space="preserve"> </w:t>
      </w:r>
      <w:hyperlink r:id="rId30">
        <w:r>
          <w:rPr>
            <w:color w:val="000000"/>
            <w:u w:val="single"/>
          </w:rPr>
          <w:t>S5 UNECE kod listeleri ve Rec28</w:t>
        </w:r>
      </w:hyperlink>
      <w:r>
        <w:t xml:space="preserve"> · </w:t>
      </w:r>
      <w:hyperlink r:id="rId31">
        <w:r>
          <w:rPr>
            <w:color w:val="000000"/>
            <w:u w:val="single"/>
          </w:rPr>
          <w:t>S6 EMSA EMSWe arayüz rehberi</w:t>
        </w:r>
      </w:hyperlink>
      <w:r>
        <w:t xml:space="preserve"> · </w:t>
      </w:r>
      <w:hyperlink r:id="rId32">
        <w:r>
          <w:rPr>
            <w:color w:val="000000"/>
            <w:u w:val="single"/>
          </w:rPr>
          <w:t>S7 IMO Compendium</w:t>
        </w:r>
      </w:hyperlink>
    </w:p>
    <w:p>
      <w:pPr>
        <w:pStyle w:val="Heading2"/>
        <w:widowControl/>
      </w:pPr>
      <w:r>
        <w:t>Kaynak adlarını tek sözleşmede uzlaştırma</w:t>
      </w:r>
    </w:p>
    <w:p>
      <w:pPr>
        <w:widowControl/>
      </w:pPr>
      <w:r>
        <w:t>14.02’deki ship_type, 14.01’deki Vessel.vessel_type ve 09.02’deki vessel.type farklı iz adlarıdır. Mevcut runtime metadata alanı vessel_type’dır. Önerilen API v3 vesselTypeCode ayrı bir alan olur; metin alanı yerinde sessiz yeniden adlandırılmaz. flag_state_id araştırma adı, bu belgede flag_administration_id mantıksal idaresine bağlanır; API flagCode bunun katalog kodudur. id, code ve etiket eş anlamlı değildir.</w:t>
      </w:r>
    </w:p>
    <w:p>
      <w:pPr>
        <w:widowControl/>
      </w:pPr>
      <w:r>
        <w:t>Önerilen runtime seçilen katalog kodunu ve catalogRevision değerini saklayacaktır; mantıksal id ve dış kodların fiziksel FK/indeks tasarımı ayrıca onaylanır. 49.02 alan sözlüğü bu çapraz eşlemenin izidir, uygulanmış DB şeması değildir. Katalog girdisi, geminin sicil/bayrak ataması ve uygulanabilirlik kararı ayrı kayıtlardır; registry_status ve verification_status gemiye ait bağlamda tutulur. İsim değişikliği consumer uyumu kanıtı değildir.</w:t>
      </w:r>
    </w:p>
    <w:p>
      <w:pPr>
        <w:pStyle w:val="Heading1"/>
        <w:pageBreakBefore/>
        <w:widowControl/>
      </w:pPr>
      <w:r>
        <w:t>7 Teknik prototip ve katalog yönetişimi</w:t>
      </w:r>
    </w:p>
    <w:p>
      <w:pPr>
        <w:widowControl/>
      </w:pPr>
      <w:r>
        <w:t>Teslim edilen teknik paket analiz ve test-only öneridir. ADR, JSON schema, iki SYN katalog fixture’ı ve bir test dosyası olmak üzere beş yeni analiz dosyası içerir; ürünün 151 taban dosyası değişmez. formatVersion 1, yalnız FLAG_ADMINISTRATION ve VESSEL_TYPE kataloglarını tanımlar.</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392"/>
        <w:gridCol w:w="5832"/>
      </w:tblGrid>
      <w:tr>
        <w:trPr>
          <w:cantSplit/>
          <w:tblHeader/>
        </w:trPr>
        <w:tc>
          <w:tcPr>
            <w:tcW w:type="dxa" w:w="4392"/>
            <w:vAlign w:val="center"/>
            <w:shd w:fill="E8EDF2"/>
            <w:tcMar>
              <w:top w:w="90" w:type="dxa"/>
              <w:left w:w="90" w:type="dxa"/>
              <w:bottom w:w="90" w:type="dxa"/>
              <w:right w:w="90" w:type="dxa"/>
            </w:tcMar>
          </w:tcPr>
          <w:p>
            <w:pPr>
              <w:spacing w:line="247" w:lineRule="auto" w:after="40"/>
            </w:pPr>
            <w:r>
              <w:rPr>
                <w:b/>
                <w:sz w:val="20"/>
              </w:rPr>
              <w:t>Format 1 içinde</w:t>
            </w:r>
          </w:p>
        </w:tc>
        <w:tc>
          <w:tcPr>
            <w:tcW w:type="dxa" w:w="5832"/>
            <w:vAlign w:val="center"/>
            <w:shd w:fill="E8EDF2"/>
            <w:tcMar>
              <w:top w:w="90" w:type="dxa"/>
              <w:left w:w="90" w:type="dxa"/>
              <w:bottom w:w="90" w:type="dxa"/>
              <w:right w:w="90" w:type="dxa"/>
            </w:tcMar>
          </w:tcPr>
          <w:p>
            <w:pPr>
              <w:spacing w:line="247" w:lineRule="auto" w:after="40"/>
            </w:pPr>
            <w:r>
              <w:rPr>
                <w:b/>
                <w:sz w:val="20"/>
              </w:rPr>
              <w:t>Henüz genişletilmesi gereken</w:t>
            </w:r>
          </w:p>
        </w:tc>
      </w:tr>
      <w:tr>
        <w:trPr>
          <w:cantSplit/>
        </w:trPr>
        <w:tc>
          <w:tcPr>
            <w:tcW w:type="dxa" w:w="4392"/>
            <w:vAlign w:val="center"/>
            <w:shd w:fill="FFFFFF"/>
            <w:tcMar>
              <w:top w:w="90" w:type="dxa"/>
              <w:left w:w="90" w:type="dxa"/>
              <w:bottom w:w="90" w:type="dxa"/>
              <w:right w:w="90" w:type="dxa"/>
            </w:tcMar>
          </w:tcPr>
          <w:p>
            <w:pPr>
              <w:spacing w:line="247" w:lineRule="auto" w:after="40"/>
            </w:pPr>
            <w:r>
              <w:rPr>
                <w:b w:val="0"/>
                <w:sz w:val="20"/>
              </w:rPr>
              <w:t>catalogId, revision, status, complete</w:t>
            </w:r>
          </w:p>
        </w:tc>
        <w:tc>
          <w:tcPr>
            <w:tcW w:type="dxa" w:w="5832"/>
            <w:vAlign w:val="center"/>
            <w:shd w:fill="FFFFFF"/>
            <w:tcMar>
              <w:top w:w="90" w:type="dxa"/>
              <w:left w:w="90" w:type="dxa"/>
              <w:bottom w:w="90" w:type="dxa"/>
              <w:right w:w="90" w:type="dxa"/>
            </w:tcMar>
          </w:tcPr>
          <w:p>
            <w:pPr>
              <w:spacing w:line="247" w:lineRule="auto" w:after="40"/>
            </w:pPr>
            <w:r>
              <w:rPr>
                <w:b w:val="0"/>
                <w:sz w:val="20"/>
              </w:rPr>
              <w:t>Ayrı değişmez id/namespace/source_code ve zengin kaynak kimliği</w:t>
            </w:r>
          </w:p>
        </w:tc>
      </w:tr>
      <w:tr>
        <w:trPr>
          <w:cantSplit/>
        </w:trPr>
        <w:tc>
          <w:tcPr>
            <w:tcW w:type="dxa" w:w="4392"/>
            <w:vAlign w:val="center"/>
            <w:shd w:fill="FFFFFF"/>
            <w:tcMar>
              <w:top w:w="90" w:type="dxa"/>
              <w:left w:w="90" w:type="dxa"/>
              <w:bottom w:w="90" w:type="dxa"/>
              <w:right w:w="90" w:type="dxa"/>
            </w:tcMar>
          </w:tcPr>
          <w:p>
            <w:pPr>
              <w:spacing w:line="247" w:lineRule="auto" w:after="40"/>
            </w:pPr>
            <w:r>
              <w:rPr>
                <w:b w:val="0"/>
                <w:sz w:val="20"/>
              </w:rPr>
              <w:t>source url/version/retrievedAt/licenseReview</w:t>
            </w:r>
          </w:p>
        </w:tc>
        <w:tc>
          <w:tcPr>
            <w:tcW w:type="dxa" w:w="5832"/>
            <w:vAlign w:val="center"/>
            <w:shd w:fill="FFFFFF"/>
            <w:tcMar>
              <w:top w:w="90" w:type="dxa"/>
              <w:left w:w="90" w:type="dxa"/>
              <w:bottom w:w="90" w:type="dxa"/>
              <w:right w:w="90" w:type="dxa"/>
            </w:tcMar>
          </w:tcPr>
          <w:p>
            <w:pPr>
              <w:spacing w:line="247" w:lineRule="auto" w:after="40"/>
            </w:pPr>
            <w:r>
              <w:rPr>
                <w:b w:val="0"/>
                <w:sz w:val="20"/>
              </w:rPr>
              <w:t>Girdi bazında çoklu kaynak, lisans kanıtı ve dağıtım kapsamı</w:t>
            </w:r>
          </w:p>
        </w:tc>
      </w:tr>
      <w:tr>
        <w:trPr>
          <w:cantSplit/>
        </w:trPr>
        <w:tc>
          <w:tcPr>
            <w:tcW w:type="dxa" w:w="4392"/>
            <w:vAlign w:val="center"/>
            <w:shd w:fill="FFFFFF"/>
            <w:tcMar>
              <w:top w:w="90" w:type="dxa"/>
              <w:left w:w="90" w:type="dxa"/>
              <w:bottom w:w="90" w:type="dxa"/>
              <w:right w:w="90" w:type="dxa"/>
            </w:tcMar>
          </w:tcPr>
          <w:p>
            <w:pPr>
              <w:spacing w:line="247" w:lineRule="auto" w:after="40"/>
            </w:pPr>
            <w:r>
              <w:rPr>
                <w:b w:val="0"/>
                <w:sz w:val="20"/>
              </w:rPr>
              <w:t>review decisionRef/reviewedAt</w:t>
            </w:r>
          </w:p>
        </w:tc>
        <w:tc>
          <w:tcPr>
            <w:tcW w:type="dxa" w:w="5832"/>
            <w:vAlign w:val="center"/>
            <w:shd w:fill="FFFFFF"/>
            <w:tcMar>
              <w:top w:w="90" w:type="dxa"/>
              <w:left w:w="90" w:type="dxa"/>
              <w:bottom w:w="90" w:type="dxa"/>
              <w:right w:w="90" w:type="dxa"/>
            </w:tcMar>
          </w:tcPr>
          <w:p>
            <w:pPr>
              <w:spacing w:line="247" w:lineRule="auto" w:after="40"/>
            </w:pPr>
            <w:r>
              <w:rPr>
                <w:b w:val="0"/>
                <w:sz w:val="20"/>
              </w:rPr>
              <w:t>Alan bazlı uzman/çeviri incelemesi ve görev ayrılığı</w:t>
            </w:r>
          </w:p>
        </w:tc>
      </w:tr>
      <w:tr>
        <w:trPr>
          <w:cantSplit/>
        </w:trPr>
        <w:tc>
          <w:tcPr>
            <w:tcW w:type="dxa" w:w="4392"/>
            <w:vAlign w:val="center"/>
            <w:shd w:fill="FFFFFF"/>
            <w:tcMar>
              <w:top w:w="90" w:type="dxa"/>
              <w:left w:w="90" w:type="dxa"/>
              <w:bottom w:w="90" w:type="dxa"/>
              <w:right w:w="90" w:type="dxa"/>
            </w:tcMar>
          </w:tcPr>
          <w:p>
            <w:pPr>
              <w:spacing w:line="247" w:lineRule="auto" w:after="40"/>
            </w:pPr>
            <w:r>
              <w:rPr>
                <w:b w:val="0"/>
                <w:sz w:val="20"/>
              </w:rPr>
              <w:t>code, labels, aliases, modes</w:t>
            </w:r>
          </w:p>
        </w:tc>
        <w:tc>
          <w:tcPr>
            <w:tcW w:type="dxa" w:w="5832"/>
            <w:vAlign w:val="center"/>
            <w:shd w:fill="FFFFFF"/>
            <w:tcMar>
              <w:top w:w="90" w:type="dxa"/>
              <w:left w:w="90" w:type="dxa"/>
              <w:bottom w:w="90" w:type="dxa"/>
              <w:right w:w="90" w:type="dxa"/>
            </w:tcMar>
          </w:tcPr>
          <w:p>
            <w:pPr>
              <w:spacing w:line="247" w:lineRule="auto" w:after="40"/>
            </w:pPr>
            <w:r>
              <w:rPr>
                <w:b w:val="0"/>
                <w:sz w:val="20"/>
              </w:rPr>
              <w:t>TR/EN tanımlar, kategori ağacı; gemiye ait ayrı sicil/doğrulama kayıtları</w:t>
            </w:r>
          </w:p>
        </w:tc>
      </w:tr>
      <w:tr>
        <w:trPr>
          <w:cantSplit/>
        </w:trPr>
        <w:tc>
          <w:tcPr>
            <w:tcW w:type="dxa" w:w="4392"/>
            <w:vAlign w:val="center"/>
            <w:shd w:fill="FFFFFF"/>
            <w:tcMar>
              <w:top w:w="90" w:type="dxa"/>
              <w:left w:w="90" w:type="dxa"/>
              <w:bottom w:w="90" w:type="dxa"/>
              <w:right w:w="90" w:type="dxa"/>
            </w:tcMar>
          </w:tcPr>
          <w:p>
            <w:pPr>
              <w:spacing w:line="247" w:lineRule="auto" w:after="40"/>
            </w:pPr>
            <w:r>
              <w:rPr>
                <w:b w:val="0"/>
                <w:sz w:val="20"/>
              </w:rPr>
              <w:t>activeFrom/To, replacementCode</w:t>
            </w:r>
          </w:p>
        </w:tc>
        <w:tc>
          <w:tcPr>
            <w:tcW w:type="dxa" w:w="5832"/>
            <w:vAlign w:val="center"/>
            <w:shd w:fill="FFFFFF"/>
            <w:tcMar>
              <w:top w:w="90" w:type="dxa"/>
              <w:left w:w="90" w:type="dxa"/>
              <w:bottom w:w="90" w:type="dxa"/>
              <w:right w:w="90" w:type="dxa"/>
            </w:tcMar>
          </w:tcPr>
          <w:p>
            <w:pPr>
              <w:spacing w:line="247" w:lineRule="auto" w:after="40"/>
            </w:pPr>
            <w:r>
              <w:rPr>
                <w:b w:val="0"/>
                <w:sz w:val="20"/>
              </w:rPr>
              <w:t>Çoktan çoğa sürümlü eşleme, gerekçe, koşul ve tarihsel atama modeli</w:t>
            </w:r>
          </w:p>
        </w:tc>
      </w:tr>
    </w:tbl>
    <w:p>
      <w:pPr>
        <w:widowControl/>
        <w:spacing w:after="60" w:line="240" w:lineRule="auto"/>
      </w:pPr>
      <w:r>
        <w:rPr>
          <w:sz w:val="2"/>
        </w:rPr>
        <w:t xml:space="preserve"> </w:t>
      </w:r>
    </w:p>
    <w:p>
      <w:pPr>
        <w:widowControl/>
      </w:pPr>
      <w:r>
        <w:t>JSON schema additionalProperties=false kullanır; yeni mantıksal alanları format 1’e rastgele eklemek geçerli sözleşme sayılmaz. Yeni format/sürüm, semantic validator, migration uyumu ve yeni testler ayrı inceleme ister. Şemaya uymak katalog veya hukuk onayı değildir. SYNTHETIC_TEST runtime’a yüklenemez; “REVIEWED” etiketi de tek başına hukuki doğrulama değildir. Önerilen gate henüz runtime’da uygulanmış değildir.</w:t>
      </w:r>
    </w:p>
    <w:p>
      <w:pPr>
        <w:pStyle w:val="Heading2"/>
        <w:widowControl/>
      </w:pPr>
      <w:r>
        <w:t>Sorumluluk ve değişiklik yönetimi</w:t>
      </w:r>
    </w:p>
    <w:p>
      <w:pPr>
        <w:widowControl/>
      </w:pPr>
      <w:r>
        <w:t>Ürün sahibi kapsamı ve zorunluluk politikasını; denizcilik/hukuk uzmanı anlam ve uygulanabilirliği; kaynak/lisans sorumlusu yeniden dağıtımı; TR/EN dil inceleyeni çeviriyi; teknik ekip şema/API/testleri değerlendirir. Katalog yöneticisi taslak hazırlayabilir, fakat tek başına hukuki sınıf onayı veremez. İkinci kişi karar referansıyla yayın onayı verir; normal kullanıcı yalnız seçim yapar.</w:t>
      </w:r>
    </w:p>
    <w:p>
      <w:pPr>
        <w:widowControl/>
      </w:pPr>
      <w:r>
        <w:t>Yeni değer, etiket düzeltmesi, pasifleştirme, birleştirme ve dış kod eşlemesi ayrı değişiklik türleridir. Kullanılan kayıt hard-delete edilmez. replacementCode otomatik toplu taşıma emri değildir; bağımlı kayıtlar ve raporlar için ayrıca onay gerekir. activeTo=null sadece katalogda kapanış tarihi bulunmadığı demektir, sınırsız hukuki geçerlilik değildir.</w:t>
      </w:r>
    </w:p>
    <w:p>
      <w:pPr>
        <w:pStyle w:val="Heading2"/>
        <w:widowControl/>
      </w:pPr>
      <w:r>
        <w:t>Self hosted ve offline dağıtım</w:t>
      </w:r>
    </w:p>
    <w:p>
      <w:pPr>
        <w:widowControl/>
      </w:pPr>
      <w:r>
        <w:t>On-prem kurulum birincildir. Onaylı paket revision, hash, lisans kaydı, değişiklik notu ve önceki paketle yerel dağıtılır; ağ erişimi katalog kullanmanın önkoşulu olmaz. Cache revision ile anahtarlanır, eski rapor aynı paketle yeniden üretilebilir. Tenant’a özel değerler resmi namespace’e eklenmez. Paket rollback’i yeni veri yazılarını silmez; eski uygulamanın yeni kodları okuyabilmesi ayrıca denenir.</w:t>
      </w:r>
    </w:p>
    <w:p>
      <w:pPr>
        <w:widowControl/>
      </w:pPr>
      <w:r>
        <w:t>Açık sayfadan okumak tam katalog kopyalama veya ticari yeniden dağıtma izni değildir. Bu çalışma tam ülke/gemi tipi listesi veya lisanslı standart tablosu dağıtmaz. Ücret, hesap açma, özel veri erişimi ve bulut hizmeti için ayrı yetki gerekir; mevcut on-prem/cloud-development politikası değişmez.</w:t>
      </w:r>
    </w:p>
    <w:p>
      <w:pPr>
        <w:pStyle w:val="Heading1"/>
        <w:pageBreakBefore/>
        <w:widowControl/>
      </w:pPr>
      <w:r>
        <w:t>8 API filtre ve eski istemci uyumu</w:t>
      </w:r>
    </w:p>
    <w:p>
      <w:pPr>
        <w:widowControl/>
      </w:pPr>
      <w:r>
        <w:t>Mevcut flag ve vessel_type alanları beyan metnidir; filtreler exact metin anlamı taşır. Aynı URL/alanı bir gecede katalog kodu anlamına çevirmek sessiz veri sözleşmesi değişikliğidir. Önerilen v3 metadata DTO ayrı flagCode, vesselTypeCode ve catalogRevision kullanır; kod ile yerelleştirilmiş görüntü birbirine karıştırılmaz.</w:t>
      </w:r>
    </w:p>
    <w:p>
      <w:pPr>
        <w:pStyle w:val="Heading2"/>
        <w:widowControl/>
      </w:pPr>
      <w:r>
        <w:t>Yazma ve okuma sözleşmesi önerisi</w:t>
      </w:r>
    </w:p>
    <w:p>
      <w:pPr>
        <w:widowControl/>
      </w:pPr>
      <w:r>
        <w:t>Yeni nullable kod/revision alanları, ham metin ve audit korunarak ayrı DB migration ile eklenir. v3 yeni seçimde unknown/inactive/mode-mismatch kodu 422 ile reddeder; etiket veya eski metin kod yerine geçmez. Boş DRAFT alanları atlayabilir. Yeni RECORDED için iki seçim önerisi alan bazlı ürün onayına tabidir; uygulanmış kural değildir. Eski RECORDED durumu sırf katalog eksik diye otomatik geri alınmaz.</w:t>
      </w:r>
    </w:p>
    <w:p>
      <w:pPr>
        <w:widowControl/>
      </w:pPr>
      <w:r>
        <w:t>Eski unresolved kayıt “Eski metin, katalog seçimi bekliyor” olarak görünür. v3 metadata yazısında iki alanın açık seçilmesi önerilir; ilgisiz not güncellemesinde ham metin sessizce silinmez. State/mode/reopen, yetki, tenant/company/vessel scope, If-Match, atomik audit ve idempotency kuralları korunmalıdır. Lookup seçimi belge doğrulama veya yetki yükseltme değildir.</w:t>
      </w:r>
    </w:p>
    <w:p>
      <w:pPr>
        <w:pStyle w:val="Heading2"/>
        <w:widowControl/>
      </w:pPr>
      <w:r>
        <w:t>Açık uyumluluk kapısı</w:t>
      </w:r>
    </w:p>
    <w:p>
      <w:pPr>
        <w:widowControl/>
      </w:pPr>
      <w:r>
        <w:t>ADR, ilk v3 yazısından sonra eski v1/v2 replacement için replay öncesinde 409 inventory_resource_required ve eski single read için açıklayıcı 409 önerir. Eski listeler kayıtları kaybetmeden beyan snapshot’ı ve schemaVersion projection’ı döndürmeyi önerir. Bu davranışların mevcut consumer’larda kırıcı etkisi ve DB old-writer guard’ı doğrulanmadı; üretime kabul edilmiş sözleşme değildir.</w:t>
      </w:r>
    </w:p>
    <w:p>
      <w:pPr>
        <w:widowControl/>
      </w:pPr>
      <w:r>
        <w:t>Özellikle commit olmuş fakat yanıtı kaybolmuş eski isteğin anahtarıyla tekrarında 409’un replay’e önceliği ayrıca tasarlanmalıdır. İstemci kesin başarısızlık sanıp anahtarı/gövdeyi silemez veya yeni create başlatamaz. Eski liste, single read ve destekli reconciliation yolu aynı kaydı bulabilmelidir. Güvenli replay/uzlaştırma alternatifi kanıtlanmadan bu uyumluluk kapısı kapanmaz; belirsizlik düzeltmesini geri alan değişiklik kabul edilmez.</w:t>
      </w:r>
    </w:p>
    <w:p>
      <w:pPr>
        <w:pStyle w:val="Heading2"/>
        <w:widowControl/>
      </w:pPr>
      <w:r>
        <w:t>Filtre ve cursor bütünlüğü</w:t>
      </w:r>
    </w:p>
    <w:p>
      <w:pPr>
        <w:widowControl/>
      </w:pPr>
      <w:r>
        <w:t>Yeni flagCode/vesselTypeCode filtreleri katalog koduyla çalışır; eski flag/vessel_type filtreleri exact metin kalır. Aynı alanda text+code birlikte gönderilirse önerilen yanıt 400’dür. Kod filtresi unresolved metne tahmini eşleşmez; ayrı unresolved seçeneği gerekir. Filtre geçmiş pasif kodu gösterebilir, yeni seçim yalnız aktif uygun kodu sunar.</w:t>
      </w:r>
    </w:p>
    <w:p>
      <w:pPr>
        <w:widowControl/>
      </w:pPr>
      <w:r>
        <w:t>Form ve filtre aynı revision’ı kullanır. Cursor; revision, mode, normalize filtre ve scope’a bağlı olmalıdır; revision değişiminde açık restart gerekir. Katalog seçenek sayısı gizli gemi sayısı/faceti değildir. Kimlik değişimi veya scope daralmasında eski async yanıt yeni hesaba taşınmaz. Safe history’nin sabit alan adı sınırı korunur; hassas eski/yeni değerler otomatik loglanmaz.</w:t>
      </w:r>
    </w:p>
    <w:p>
      <w:pPr>
        <w:pStyle w:val="Heading1"/>
        <w:pageBreakBefore/>
        <w:widowControl/>
      </w:pPr>
      <w:r>
        <w:t>9 Migrasyon ve belirsiz yazıların korunması</w:t>
      </w:r>
    </w:p>
    <w:p>
      <w:pPr>
        <w:widowControl/>
      </w:pPr>
      <w:r>
        <w:t>İlk geçişte hiçbir otomatik eşleme yapılmaz. TR, Turkey, Türkiye, Tug veya kod gibi görünen eski metin dahi LEGACY_UNRESOLVED kalır. Arama alias’ı veri dönüşümü yetkisi değildir. Araştırma notlarındaki kesin eşleşmeyi otomatik atama önerisi, bu sürüm için daha sıkı aşağıdaki karar ile sınırlandırılmıştır; ham notlar değiştirilmez.</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944"/>
        <w:gridCol w:w="8280"/>
      </w:tblGrid>
      <w:tr>
        <w:trPr>
          <w:cantSplit/>
          <w:tblHeader/>
        </w:trPr>
        <w:tc>
          <w:tcPr>
            <w:tcW w:type="dxa" w:w="1944"/>
            <w:vAlign w:val="center"/>
            <w:shd w:fill="E8EDF2"/>
            <w:tcMar>
              <w:top w:w="90" w:type="dxa"/>
              <w:left w:w="90" w:type="dxa"/>
              <w:bottom w:w="90" w:type="dxa"/>
              <w:right w:w="90" w:type="dxa"/>
            </w:tcMar>
          </w:tcPr>
          <w:p>
            <w:pPr>
              <w:spacing w:line="247" w:lineRule="auto" w:after="40"/>
            </w:pPr>
            <w:r>
              <w:rPr>
                <w:b/>
                <w:sz w:val="20"/>
              </w:rPr>
              <w:t>Aşama</w:t>
            </w:r>
          </w:p>
        </w:tc>
        <w:tc>
          <w:tcPr>
            <w:tcW w:type="dxa" w:w="8280"/>
            <w:vAlign w:val="center"/>
            <w:shd w:fill="E8EDF2"/>
            <w:tcMar>
              <w:top w:w="90" w:type="dxa"/>
              <w:left w:w="90" w:type="dxa"/>
              <w:bottom w:w="90" w:type="dxa"/>
              <w:right w:w="90" w:type="dxa"/>
            </w:tcMar>
          </w:tcPr>
          <w:p>
            <w:pPr>
              <w:spacing w:line="247" w:lineRule="auto" w:after="40"/>
            </w:pPr>
            <w:r>
              <w:rPr>
                <w:b/>
                <w:sz w:val="20"/>
              </w:rPr>
              <w:t>Gerekli kanıt ve durma koşulu</w:t>
            </w:r>
          </w:p>
        </w:tc>
      </w:tr>
      <w:tr>
        <w:trPr>
          <w:cantSplit/>
        </w:trPr>
        <w:tc>
          <w:tcPr>
            <w:tcW w:type="dxa" w:w="1944"/>
            <w:vAlign w:val="center"/>
            <w:shd w:fill="FFFFFF"/>
            <w:tcMar>
              <w:top w:w="90" w:type="dxa"/>
              <w:left w:w="90" w:type="dxa"/>
              <w:bottom w:w="90" w:type="dxa"/>
              <w:right w:w="90" w:type="dxa"/>
            </w:tcMar>
          </w:tcPr>
          <w:p>
            <w:pPr>
              <w:spacing w:line="247" w:lineRule="auto" w:after="40"/>
            </w:pPr>
            <w:r>
              <w:rPr>
                <w:b w:val="0"/>
                <w:sz w:val="20"/>
              </w:rPr>
              <w:t>1 Envanter ve koruma</w:t>
            </w:r>
          </w:p>
        </w:tc>
        <w:tc>
          <w:tcPr>
            <w:tcW w:type="dxa" w:w="8280"/>
            <w:vAlign w:val="center"/>
            <w:shd w:fill="FFFFFF"/>
            <w:tcMar>
              <w:top w:w="90" w:type="dxa"/>
              <w:left w:w="90" w:type="dxa"/>
              <w:bottom w:w="90" w:type="dxa"/>
              <w:right w:w="90" w:type="dxa"/>
            </w:tcMar>
          </w:tcPr>
          <w:p>
            <w:pPr>
              <w:spacing w:line="247" w:lineRule="auto" w:after="40"/>
            </w:pPr>
            <w:r>
              <w:rPr>
                <w:b w:val="0"/>
                <w:sz w:val="20"/>
              </w:rPr>
              <w:t>Yetkili kapsamda ham metin, kayıt kimliği, version/state, audit ve belirsiz işlem durumunu say. Önceki değerleri değiştirme.</w:t>
            </w:r>
          </w:p>
        </w:tc>
      </w:tr>
      <w:tr>
        <w:trPr>
          <w:cantSplit/>
        </w:trPr>
        <w:tc>
          <w:tcPr>
            <w:tcW w:type="dxa" w:w="1944"/>
            <w:vAlign w:val="center"/>
            <w:shd w:fill="FFFFFF"/>
            <w:tcMar>
              <w:top w:w="90" w:type="dxa"/>
              <w:left w:w="90" w:type="dxa"/>
              <w:bottom w:w="90" w:type="dxa"/>
              <w:right w:w="90" w:type="dxa"/>
            </w:tcMar>
          </w:tcPr>
          <w:p>
            <w:pPr>
              <w:spacing w:line="247" w:lineRule="auto" w:after="40"/>
            </w:pPr>
            <w:r>
              <w:rPr>
                <w:b w:val="0"/>
                <w:sz w:val="20"/>
              </w:rPr>
              <w:t>2 Dry run</w:t>
            </w:r>
          </w:p>
        </w:tc>
        <w:tc>
          <w:tcPr>
            <w:tcW w:type="dxa" w:w="8280"/>
            <w:vAlign w:val="center"/>
            <w:shd w:fill="FFFFFF"/>
            <w:tcMar>
              <w:top w:w="90" w:type="dxa"/>
              <w:left w:w="90" w:type="dxa"/>
              <w:bottom w:w="90" w:type="dxa"/>
              <w:right w:w="90" w:type="dxa"/>
            </w:tcMar>
          </w:tcPr>
          <w:p>
            <w:pPr>
              <w:spacing w:line="247" w:lineRule="auto" w:after="40"/>
            </w:pPr>
            <w:r>
              <w:rPr>
                <w:b w:val="0"/>
                <w:sz w:val="20"/>
              </w:rPr>
              <w:t>Yalnız aday eşleme ve istisna raporu üret. Boş, çelişkili, pasif, çok anlamlı ve eşlenemeyenleri ayrı say; hiçbir atama yapma.</w:t>
            </w:r>
          </w:p>
        </w:tc>
      </w:tr>
      <w:tr>
        <w:trPr>
          <w:cantSplit/>
        </w:trPr>
        <w:tc>
          <w:tcPr>
            <w:tcW w:type="dxa" w:w="1944"/>
            <w:vAlign w:val="center"/>
            <w:shd w:fill="FFFFFF"/>
            <w:tcMar>
              <w:top w:w="90" w:type="dxa"/>
              <w:left w:w="90" w:type="dxa"/>
              <w:bottom w:w="90" w:type="dxa"/>
              <w:right w:w="90" w:type="dxa"/>
            </w:tcMar>
          </w:tcPr>
          <w:p>
            <w:pPr>
              <w:spacing w:line="247" w:lineRule="auto" w:after="40"/>
            </w:pPr>
            <w:r>
              <w:rPr>
                <w:b w:val="0"/>
                <w:sz w:val="20"/>
              </w:rPr>
              <w:t>3 İnsan kararı</w:t>
            </w:r>
          </w:p>
        </w:tc>
        <w:tc>
          <w:tcPr>
            <w:tcW w:type="dxa" w:w="8280"/>
            <w:vAlign w:val="center"/>
            <w:shd w:fill="FFFFFF"/>
            <w:tcMar>
              <w:top w:w="90" w:type="dxa"/>
              <w:left w:w="90" w:type="dxa"/>
              <w:bottom w:w="90" w:type="dxa"/>
              <w:right w:w="90" w:type="dxa"/>
            </w:tcMar>
          </w:tcPr>
          <w:p>
            <w:pPr>
              <w:spacing w:line="247" w:lineRule="auto" w:after="40"/>
            </w:pPr>
            <w:r>
              <w:rPr>
                <w:b w:val="0"/>
                <w:sz w:val="20"/>
              </w:rPr>
              <w:t>Kaynak belge, katalog revision’ı ve gerekçeyle açık seçim. Rol ayrılığı ve gerekiyorsa ikinci kişi onayı; “Other” ile boşluk kapatma yok.</w:t>
            </w:r>
          </w:p>
        </w:tc>
      </w:tr>
      <w:tr>
        <w:trPr>
          <w:cantSplit/>
        </w:trPr>
        <w:tc>
          <w:tcPr>
            <w:tcW w:type="dxa" w:w="1944"/>
            <w:vAlign w:val="center"/>
            <w:shd w:fill="FFFFFF"/>
            <w:tcMar>
              <w:top w:w="90" w:type="dxa"/>
              <w:left w:w="90" w:type="dxa"/>
              <w:bottom w:w="90" w:type="dxa"/>
              <w:right w:w="90" w:type="dxa"/>
            </w:tcMar>
          </w:tcPr>
          <w:p>
            <w:pPr>
              <w:spacing w:line="247" w:lineRule="auto" w:after="40"/>
            </w:pPr>
            <w:r>
              <w:rPr>
                <w:b w:val="0"/>
                <w:sz w:val="20"/>
              </w:rPr>
              <w:t>4 Kontrollü yazma</w:t>
            </w:r>
          </w:p>
        </w:tc>
        <w:tc>
          <w:tcPr>
            <w:tcW w:type="dxa" w:w="8280"/>
            <w:vAlign w:val="center"/>
            <w:shd w:fill="FFFFFF"/>
            <w:tcMar>
              <w:top w:w="90" w:type="dxa"/>
              <w:left w:w="90" w:type="dxa"/>
              <w:bottom w:w="90" w:type="dxa"/>
              <w:right w:w="90" w:type="dxa"/>
            </w:tcMar>
          </w:tcPr>
          <w:p>
            <w:pPr>
              <w:spacing w:line="247" w:lineRule="auto" w:after="40"/>
            </w:pPr>
            <w:r>
              <w:rPr>
                <w:b w:val="0"/>
                <w:sz w:val="20"/>
              </w:rPr>
              <w:t>Dar batch, If-Match, scope, atomik audit/idempotency; conflict veya sonucu belirsiz isteklerde dur. İd ve eski metin korunur.</w:t>
            </w:r>
          </w:p>
        </w:tc>
      </w:tr>
      <w:tr>
        <w:trPr>
          <w:cantSplit/>
        </w:trPr>
        <w:tc>
          <w:tcPr>
            <w:tcW w:type="dxa" w:w="1944"/>
            <w:vAlign w:val="center"/>
            <w:shd w:fill="FFFFFF"/>
            <w:tcMar>
              <w:top w:w="90" w:type="dxa"/>
              <w:left w:w="90" w:type="dxa"/>
              <w:bottom w:w="90" w:type="dxa"/>
              <w:right w:w="90" w:type="dxa"/>
            </w:tcMar>
          </w:tcPr>
          <w:p>
            <w:pPr>
              <w:spacing w:line="247" w:lineRule="auto" w:after="40"/>
            </w:pPr>
            <w:r>
              <w:rPr>
                <w:b w:val="0"/>
                <w:sz w:val="20"/>
              </w:rPr>
              <w:t>5 Uzlaştırma</w:t>
            </w:r>
          </w:p>
        </w:tc>
        <w:tc>
          <w:tcPr>
            <w:tcW w:type="dxa" w:w="8280"/>
            <w:vAlign w:val="center"/>
            <w:shd w:fill="FFFFFF"/>
            <w:tcMar>
              <w:top w:w="90" w:type="dxa"/>
              <w:left w:w="90" w:type="dxa"/>
              <w:bottom w:w="90" w:type="dxa"/>
              <w:right w:w="90" w:type="dxa"/>
            </w:tcMar>
          </w:tcPr>
          <w:p>
            <w:pPr>
              <w:spacing w:line="247" w:lineRule="auto" w:after="40"/>
            </w:pPr>
            <w:r>
              <w:rPr>
                <w:b w:val="0"/>
                <w:sz w:val="20"/>
              </w:rPr>
              <w:t>Önce/sonra kayıt ve durum sayıları, yeni/eski kimlikler, istisnalar ve örneklem doğrulaması. Kayıp ya da mükerrer id kabul edilmez.</w:t>
            </w:r>
          </w:p>
        </w:tc>
      </w:tr>
      <w:tr>
        <w:trPr>
          <w:cantSplit/>
        </w:trPr>
        <w:tc>
          <w:tcPr>
            <w:tcW w:type="dxa" w:w="1944"/>
            <w:vAlign w:val="center"/>
            <w:shd w:fill="FFFFFF"/>
            <w:tcMar>
              <w:top w:w="90" w:type="dxa"/>
              <w:left w:w="90" w:type="dxa"/>
              <w:bottom w:w="90" w:type="dxa"/>
              <w:right w:w="90" w:type="dxa"/>
            </w:tcMar>
          </w:tcPr>
          <w:p>
            <w:pPr>
              <w:spacing w:line="247" w:lineRule="auto" w:after="40"/>
            </w:pPr>
            <w:r>
              <w:rPr>
                <w:b w:val="0"/>
                <w:sz w:val="20"/>
              </w:rPr>
              <w:t>6 Geri alma</w:t>
            </w:r>
          </w:p>
        </w:tc>
        <w:tc>
          <w:tcPr>
            <w:tcW w:type="dxa" w:w="8280"/>
            <w:vAlign w:val="center"/>
            <w:shd w:fill="FFFFFF"/>
            <w:tcMar>
              <w:top w:w="90" w:type="dxa"/>
              <w:left w:w="90" w:type="dxa"/>
              <w:bottom w:w="90" w:type="dxa"/>
              <w:right w:w="90" w:type="dxa"/>
            </w:tcMar>
          </w:tcPr>
          <w:p>
            <w:pPr>
              <w:spacing w:line="247" w:lineRule="auto" w:after="40"/>
            </w:pPr>
            <w:r>
              <w:rPr>
                <w:b w:val="0"/>
                <w:sz w:val="20"/>
              </w:rPr>
              <w:t>Onaylı ters işlem ve eski paket/read-path uyumu denenir; yeni audit silinmez. Sadece eski yazılımı açmak veri rollback’i değildir.</w:t>
            </w:r>
          </w:p>
        </w:tc>
      </w:tr>
    </w:tbl>
    <w:p>
      <w:pPr>
        <w:widowControl/>
        <w:spacing w:after="60" w:line="240" w:lineRule="auto"/>
      </w:pPr>
      <w:r>
        <w:rPr>
          <w:sz w:val="2"/>
        </w:rPr>
        <w:t xml:space="preserve"> </w:t>
      </w:r>
    </w:p>
    <w:p>
      <w:pPr>
        <w:widowControl/>
      </w:pPr>
      <w:r>
        <w:t>Gelecekte onaylı exact mapping ile otomasyon istenirse kapsam, kaynak/alias sürümü, çakışma kuralları, ayrı dry-run ve kabul kanıtı yeniden onaylanmalıdır. Bu belge o izni vermez. Birden çok anlam taşıyan metin, büyük/küçük harf benzerliği veya kullanıcı aramasındaki eşleşme otomatik dönüşüm kanıtı olamaz.</w:t>
      </w:r>
    </w:p>
    <w:p>
      <w:pPr>
        <w:pStyle w:val="Heading2"/>
        <w:widowControl/>
      </w:pPr>
      <w:r>
        <w:t>Açık sekmeler ve sonuç belirsizliği</w:t>
      </w:r>
    </w:p>
    <w:p>
      <w:pPr>
        <w:widowControl/>
      </w:pPr>
      <w:r>
        <w:t>Eski açık istemci paketleri güncellemeyle geriye dönük düzelmez. Commit/lost-response durumunda aynı değişmez anahtar/gövde korunur; sonraki 4xx bunu otomatik yeni create’e çeviremez. Güncelleme veya sayfa kapanışı öncesinde belirsiz yazılar uzlaştırılır. Retry anahtarlarının sayfa kapanışını aşan kalıcılığı mevcut sistemde yoktur; bu tasarım varmış gibi davranamaz.</w:t>
      </w:r>
    </w:p>
    <w:p>
      <w:pPr>
        <w:widowControl/>
      </w:pPr>
      <w:r>
        <w:t>Vazgeçme uyarısını iptal etmek seçimi ve belirsiz isteği korur. Açık bırakma/ayrılma kararı daha önceki sunucu yazısını geri almaz; hiçbir yeni POST veya otomatik retry başlatmamalıdır. Dirty formda katalog revision’ı değiştiğinde kullanıcı kararı olmadan alanlar yeniden seçilmez. Inactive/replacement olayı da otomatik migration veya kayıt onayı değildir.</w:t>
      </w:r>
    </w:p>
    <w:p>
      <w:pPr>
        <w:widowControl/>
      </w:pPr>
      <w:r>
        <w:t>On-prem restore ve offline katalog rollback kabulü yalnız kontrollü ayrı prova ile kanıtlanabilir. Tarihsel 35.01 restore yardımcısının 253a5d3 sabit taban önkoşulu korunur; bu tasarım yeni HEAD’de çalıştığını veya üretim DR/RPO/RTO sağladığını iddia etmez.</w:t>
      </w:r>
    </w:p>
    <w:p>
      <w:pPr>
        <w:pStyle w:val="Heading1"/>
        <w:pageBreakBefore/>
        <w:widowControl/>
      </w:pPr>
      <w:r>
        <w:t>10 Seçim deneyimi ve kabul senaryoları</w:t>
      </w:r>
    </w:p>
    <w:p>
      <w:pPr>
        <w:widowControl/>
      </w:pPr>
      <w:r>
        <w:t>Ortak aramalı combobox önerilir: yazılan arama metni ile seçilmiş stable code ayrı state’tir. Kod ve TR/EN ad birlikte görünür; boş form ilk seçeneği kendiliğinden seçmez. Sonuç yoksa serbest metin katalog değeri olmaz. “Other” bilinen ama katalogda bulunmayan anlam için gerekçeli inceleme isteğidir; unknown veya eksik yerine otomatik doldurulmaz.</w:t>
      </w:r>
    </w:p>
    <w:p>
      <w:pPr>
        <w:widowControl/>
      </w:pPr>
      <w:r>
        <w:t>TR I/İ/ı/i ve onaylı alias araması deterministik testlerle tanımlanır; normalize arama saklanan kimliği değiştirmez. Dil değişiminde seçim korunur. Tab doğal odağı, ok tuşları seçenekleri, Enter açık seçimi, Escape yalnız listeyi yönetir. ARIA combobox/listbox ilişkileri ve sonuç duyurusu, ekran okuyucuyla ayrıca kabul edilir. Mobil viewport testi fiziksel Android veya erişilebilirlik kabulü değildir.</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936"/>
        <w:gridCol w:w="9288"/>
      </w:tblGrid>
      <w:tr>
        <w:trPr>
          <w:cantSplit/>
          <w:tblHeader/>
        </w:trPr>
        <w:tc>
          <w:tcPr>
            <w:tcW w:type="dxa" w:w="936"/>
            <w:vAlign w:val="center"/>
            <w:shd w:fill="E8EDF2"/>
            <w:tcMar>
              <w:top w:w="90" w:type="dxa"/>
              <w:left w:w="90" w:type="dxa"/>
              <w:bottom w:w="90" w:type="dxa"/>
              <w:right w:w="90" w:type="dxa"/>
            </w:tcMar>
          </w:tcPr>
          <w:p>
            <w:pPr>
              <w:spacing w:line="247" w:lineRule="auto" w:after="40"/>
            </w:pPr>
            <w:r>
              <w:rPr>
                <w:b/>
                <w:sz w:val="19"/>
              </w:rPr>
              <w:t>ID</w:t>
            </w:r>
          </w:p>
        </w:tc>
        <w:tc>
          <w:tcPr>
            <w:tcW w:type="dxa" w:w="9288"/>
            <w:vAlign w:val="center"/>
            <w:shd w:fill="E8EDF2"/>
            <w:tcMar>
              <w:top w:w="90" w:type="dxa"/>
              <w:left w:w="90" w:type="dxa"/>
              <w:bottom w:w="90" w:type="dxa"/>
              <w:right w:w="90" w:type="dxa"/>
            </w:tcMar>
          </w:tcPr>
          <w:p>
            <w:pPr>
              <w:spacing w:line="247" w:lineRule="auto" w:after="40"/>
            </w:pPr>
            <w:r>
              <w:rPr>
                <w:b/>
                <w:sz w:val="19"/>
              </w:rPr>
              <w:t>Kabul senaryosu ve beklenen sonuç</w:t>
            </w:r>
          </w:p>
        </w:tc>
      </w:tr>
      <w:tr>
        <w:trPr>
          <w:cantSplit/>
        </w:trPr>
        <w:tc>
          <w:tcPr>
            <w:tcW w:type="dxa" w:w="936"/>
            <w:vAlign w:val="center"/>
            <w:shd w:fill="FFFFFF"/>
            <w:tcMar>
              <w:top w:w="90" w:type="dxa"/>
              <w:left w:w="90" w:type="dxa"/>
              <w:bottom w:w="90" w:type="dxa"/>
              <w:right w:w="90" w:type="dxa"/>
            </w:tcMar>
          </w:tcPr>
          <w:p>
            <w:pPr>
              <w:spacing w:line="247" w:lineRule="auto" w:after="40"/>
            </w:pPr>
            <w:r>
              <w:rPr>
                <w:b w:val="0"/>
                <w:sz w:val="19"/>
              </w:rPr>
              <w:t>AT01</w:t>
            </w:r>
          </w:p>
        </w:tc>
        <w:tc>
          <w:tcPr>
            <w:tcW w:type="dxa" w:w="9288"/>
            <w:vAlign w:val="center"/>
            <w:shd w:fill="FFFFFF"/>
            <w:tcMar>
              <w:top w:w="90" w:type="dxa"/>
              <w:left w:w="90" w:type="dxa"/>
              <w:bottom w:w="90" w:type="dxa"/>
              <w:right w:w="90" w:type="dxa"/>
            </w:tcMar>
          </w:tcPr>
          <w:p>
            <w:pPr>
              <w:spacing w:line="247" w:lineRule="auto" w:after="40"/>
            </w:pPr>
            <w:r>
              <w:rPr>
                <w:b w:val="0"/>
                <w:sz w:val="19"/>
              </w:rPr>
              <w:t>R-P2-01: SUSPENDED registry_status + VERIFIED verification_status birlikte saklanır. Kanıt onayı bayrak hakkını aktif yapmaz.</w:t>
            </w:r>
          </w:p>
        </w:tc>
      </w:tr>
      <w:tr>
        <w:trPr>
          <w:cantSplit/>
        </w:trPr>
        <w:tc>
          <w:tcPr>
            <w:tcW w:type="dxa" w:w="936"/>
            <w:vAlign w:val="center"/>
            <w:shd w:fill="FFFFFF"/>
            <w:tcMar>
              <w:top w:w="90" w:type="dxa"/>
              <w:left w:w="90" w:type="dxa"/>
              <w:bottom w:w="90" w:type="dxa"/>
              <w:right w:w="90" w:type="dxa"/>
            </w:tcMar>
          </w:tcPr>
          <w:p>
            <w:pPr>
              <w:spacing w:line="247" w:lineRule="auto" w:after="40"/>
            </w:pPr>
            <w:r>
              <w:rPr>
                <w:b w:val="0"/>
                <w:sz w:val="19"/>
              </w:rPr>
              <w:t>AT02</w:t>
            </w:r>
          </w:p>
        </w:tc>
        <w:tc>
          <w:tcPr>
            <w:tcW w:type="dxa" w:w="9288"/>
            <w:vAlign w:val="center"/>
            <w:shd w:fill="FFFFFF"/>
            <w:tcMar>
              <w:top w:w="90" w:type="dxa"/>
              <w:left w:w="90" w:type="dxa"/>
              <w:bottom w:w="90" w:type="dxa"/>
              <w:right w:w="90" w:type="dxa"/>
            </w:tcMar>
          </w:tcPr>
          <w:p>
            <w:pPr>
              <w:spacing w:line="247" w:lineRule="auto" w:after="40"/>
            </w:pPr>
            <w:r>
              <w:rPr>
                <w:b w:val="0"/>
                <w:sz w:val="19"/>
              </w:rPr>
              <w:t>SYN/eksik/izinsiz paket, bilinmeyen/pasif/mode-dışı kod yeni seçime kapalı. Geçmiş bağlı kod ve revision okunabilir.</w:t>
            </w:r>
          </w:p>
        </w:tc>
      </w:tr>
      <w:tr>
        <w:trPr>
          <w:cantSplit/>
        </w:trPr>
        <w:tc>
          <w:tcPr>
            <w:tcW w:type="dxa" w:w="936"/>
            <w:vAlign w:val="center"/>
            <w:shd w:fill="FFFFFF"/>
            <w:tcMar>
              <w:top w:w="90" w:type="dxa"/>
              <w:left w:w="90" w:type="dxa"/>
              <w:bottom w:w="90" w:type="dxa"/>
              <w:right w:w="90" w:type="dxa"/>
            </w:tcMar>
          </w:tcPr>
          <w:p>
            <w:pPr>
              <w:spacing w:line="247" w:lineRule="auto" w:after="40"/>
            </w:pPr>
            <w:r>
              <w:rPr>
                <w:b w:val="0"/>
                <w:sz w:val="19"/>
              </w:rPr>
              <w:t>AT03</w:t>
            </w:r>
          </w:p>
        </w:tc>
        <w:tc>
          <w:tcPr>
            <w:tcW w:type="dxa" w:w="9288"/>
            <w:vAlign w:val="center"/>
            <w:shd w:fill="FFFFFF"/>
            <w:tcMar>
              <w:top w:w="90" w:type="dxa"/>
              <w:left w:w="90" w:type="dxa"/>
              <w:bottom w:w="90" w:type="dxa"/>
              <w:right w:w="90" w:type="dxa"/>
            </w:tcMar>
          </w:tcPr>
          <w:p>
            <w:pPr>
              <w:spacing w:line="247" w:lineRule="auto" w:after="40"/>
            </w:pPr>
            <w:r>
              <w:rPr>
                <w:b w:val="0"/>
                <w:sz w:val="19"/>
              </w:rPr>
              <w:t>Tenant/company/vessel negatif kapsam, izin, CSRF ve If-Match denemeleri eski güvenlik anlamını korur; lookup erişim kazandırmaz.</w:t>
            </w:r>
          </w:p>
        </w:tc>
      </w:tr>
      <w:tr>
        <w:trPr>
          <w:cantSplit/>
        </w:trPr>
        <w:tc>
          <w:tcPr>
            <w:tcW w:type="dxa" w:w="936"/>
            <w:vAlign w:val="center"/>
            <w:shd w:fill="FFFFFF"/>
            <w:tcMar>
              <w:top w:w="90" w:type="dxa"/>
              <w:left w:w="90" w:type="dxa"/>
              <w:bottom w:w="90" w:type="dxa"/>
              <w:right w:w="90" w:type="dxa"/>
            </w:tcMar>
          </w:tcPr>
          <w:p>
            <w:pPr>
              <w:spacing w:line="247" w:lineRule="auto" w:after="40"/>
            </w:pPr>
            <w:r>
              <w:rPr>
                <w:b w:val="0"/>
                <w:sz w:val="19"/>
              </w:rPr>
              <w:t>AT04</w:t>
            </w:r>
          </w:p>
        </w:tc>
        <w:tc>
          <w:tcPr>
            <w:tcW w:type="dxa" w:w="9288"/>
            <w:vAlign w:val="center"/>
            <w:shd w:fill="FFFFFF"/>
            <w:tcMar>
              <w:top w:w="90" w:type="dxa"/>
              <w:left w:w="90" w:type="dxa"/>
              <w:bottom w:w="90" w:type="dxa"/>
              <w:right w:w="90" w:type="dxa"/>
            </w:tcMar>
          </w:tcPr>
          <w:p>
            <w:pPr>
              <w:spacing w:line="247" w:lineRule="auto" w:after="40"/>
            </w:pPr>
            <w:r>
              <w:rPr>
                <w:b w:val="0"/>
                <w:sz w:val="19"/>
              </w:rPr>
              <w:t>Commit/lost-response→403/409/412/422 ve eski-writer replay sırası: aynı anahtar/gövde korunur, ikinci nesne/audit oluşmaz; read/list uzlaştırması kayıt kaybetmez.</w:t>
            </w:r>
          </w:p>
        </w:tc>
      </w:tr>
      <w:tr>
        <w:trPr>
          <w:cantSplit/>
        </w:trPr>
        <w:tc>
          <w:tcPr>
            <w:tcW w:type="dxa" w:w="936"/>
            <w:vAlign w:val="center"/>
            <w:shd w:fill="FFFFFF"/>
            <w:tcMar>
              <w:top w:w="90" w:type="dxa"/>
              <w:left w:w="90" w:type="dxa"/>
              <w:bottom w:w="90" w:type="dxa"/>
              <w:right w:w="90" w:type="dxa"/>
            </w:tcMar>
          </w:tcPr>
          <w:p>
            <w:pPr>
              <w:spacing w:line="247" w:lineRule="auto" w:after="40"/>
            </w:pPr>
            <w:r>
              <w:rPr>
                <w:b w:val="0"/>
                <w:sz w:val="19"/>
              </w:rPr>
              <w:t>AT05</w:t>
            </w:r>
          </w:p>
        </w:tc>
        <w:tc>
          <w:tcPr>
            <w:tcW w:type="dxa" w:w="9288"/>
            <w:vAlign w:val="center"/>
            <w:shd w:fill="FFFFFF"/>
            <w:tcMar>
              <w:top w:w="90" w:type="dxa"/>
              <w:left w:w="90" w:type="dxa"/>
              <w:bottom w:w="90" w:type="dxa"/>
              <w:right w:w="90" w:type="dxa"/>
            </w:tcMar>
          </w:tcPr>
          <w:p>
            <w:pPr>
              <w:spacing w:line="247" w:lineRule="auto" w:after="40"/>
            </w:pPr>
            <w:r>
              <w:rPr>
                <w:b w:val="0"/>
                <w:sz w:val="19"/>
              </w:rPr>
              <w:t>Kirli formda dil, scope, revision değişimi ve geç async yanıt yanlış seçim yapmaz. Cancel korur; açık abandon undo veya POST değildir.</w:t>
            </w:r>
          </w:p>
        </w:tc>
      </w:tr>
      <w:tr>
        <w:trPr>
          <w:cantSplit/>
        </w:trPr>
        <w:tc>
          <w:tcPr>
            <w:tcW w:type="dxa" w:w="936"/>
            <w:vAlign w:val="center"/>
            <w:shd w:fill="FFFFFF"/>
            <w:tcMar>
              <w:top w:w="90" w:type="dxa"/>
              <w:left w:w="90" w:type="dxa"/>
              <w:bottom w:w="90" w:type="dxa"/>
              <w:right w:w="90" w:type="dxa"/>
            </w:tcMar>
          </w:tcPr>
          <w:p>
            <w:pPr>
              <w:spacing w:line="247" w:lineRule="auto" w:after="40"/>
            </w:pPr>
            <w:r>
              <w:rPr>
                <w:b w:val="0"/>
                <w:sz w:val="19"/>
              </w:rPr>
              <w:t>AT06</w:t>
            </w:r>
          </w:p>
        </w:tc>
        <w:tc>
          <w:tcPr>
            <w:tcW w:type="dxa" w:w="9288"/>
            <w:vAlign w:val="center"/>
            <w:shd w:fill="FFFFFF"/>
            <w:tcMar>
              <w:top w:w="90" w:type="dxa"/>
              <w:left w:w="90" w:type="dxa"/>
              <w:bottom w:w="90" w:type="dxa"/>
              <w:right w:w="90" w:type="dxa"/>
            </w:tcMar>
          </w:tcPr>
          <w:p>
            <w:pPr>
              <w:spacing w:line="247" w:lineRule="auto" w:after="40"/>
            </w:pPr>
            <w:r>
              <w:rPr>
                <w:b w:val="0"/>
                <w:sz w:val="19"/>
              </w:rPr>
              <w:t>TR/EN etiket, I/İ/ı/i, kod ve alias araması; boş/no-result/clear, pasif geçmiş filtre, text+code conflict ve cursor restart tutarlıdır.</w:t>
            </w:r>
          </w:p>
        </w:tc>
      </w:tr>
      <w:tr>
        <w:trPr>
          <w:cantSplit/>
        </w:trPr>
        <w:tc>
          <w:tcPr>
            <w:tcW w:type="dxa" w:w="936"/>
            <w:vAlign w:val="center"/>
            <w:shd w:fill="FFFFFF"/>
            <w:tcMar>
              <w:top w:w="90" w:type="dxa"/>
              <w:left w:w="90" w:type="dxa"/>
              <w:bottom w:w="90" w:type="dxa"/>
              <w:right w:w="90" w:type="dxa"/>
            </w:tcMar>
          </w:tcPr>
          <w:p>
            <w:pPr>
              <w:spacing w:line="247" w:lineRule="auto" w:after="40"/>
            </w:pPr>
            <w:r>
              <w:rPr>
                <w:b w:val="0"/>
                <w:sz w:val="19"/>
              </w:rPr>
              <w:t>AT07</w:t>
            </w:r>
          </w:p>
        </w:tc>
        <w:tc>
          <w:tcPr>
            <w:tcW w:type="dxa" w:w="9288"/>
            <w:vAlign w:val="center"/>
            <w:shd w:fill="FFFFFF"/>
            <w:tcMar>
              <w:top w:w="90" w:type="dxa"/>
              <w:left w:w="90" w:type="dxa"/>
              <w:bottom w:w="90" w:type="dxa"/>
              <w:right w:w="90" w:type="dxa"/>
            </w:tcMar>
          </w:tcPr>
          <w:p>
            <w:pPr>
              <w:spacing w:line="247" w:lineRule="auto" w:after="40"/>
            </w:pPr>
            <w:r>
              <w:rPr>
                <w:b w:val="0"/>
                <w:sz w:val="19"/>
              </w:rPr>
              <w:t>Klavye, odağın geri dönüşü, uzun liste, ekran klavyesi ve küçük ekran; Windows ve Android gerçek cihaz/ekran okuyucu değerlendirmesi ayrıdır.</w:t>
            </w:r>
          </w:p>
        </w:tc>
      </w:tr>
      <w:tr>
        <w:trPr>
          <w:cantSplit/>
        </w:trPr>
        <w:tc>
          <w:tcPr>
            <w:tcW w:type="dxa" w:w="936"/>
            <w:vAlign w:val="center"/>
            <w:shd w:fill="FFFFFF"/>
            <w:tcMar>
              <w:top w:w="90" w:type="dxa"/>
              <w:left w:w="90" w:type="dxa"/>
              <w:bottom w:w="90" w:type="dxa"/>
              <w:right w:w="90" w:type="dxa"/>
            </w:tcMar>
          </w:tcPr>
          <w:p>
            <w:pPr>
              <w:spacing w:line="247" w:lineRule="auto" w:after="40"/>
            </w:pPr>
            <w:r>
              <w:rPr>
                <w:b w:val="0"/>
                <w:sz w:val="19"/>
              </w:rPr>
              <w:t>AT08</w:t>
            </w:r>
          </w:p>
        </w:tc>
        <w:tc>
          <w:tcPr>
            <w:tcW w:type="dxa" w:w="9288"/>
            <w:vAlign w:val="center"/>
            <w:shd w:fill="FFFFFF"/>
            <w:tcMar>
              <w:top w:w="90" w:type="dxa"/>
              <w:left w:w="90" w:type="dxa"/>
              <w:bottom w:w="90" w:type="dxa"/>
              <w:right w:w="90" w:type="dxa"/>
            </w:tcMar>
          </w:tcPr>
          <w:p>
            <w:pPr>
              <w:spacing w:line="247" w:lineRule="auto" w:after="40"/>
            </w:pPr>
            <w:r>
              <w:rPr>
                <w:b w:val="0"/>
                <w:sz w:val="19"/>
              </w:rPr>
              <w:t>Dry-run/migration/rollback kayıt id ve audit sayıları korunur; exact mapping otomasyon izni yok. Eski rapor eski revision ile yeniden üretilir.</w:t>
            </w:r>
          </w:p>
        </w:tc>
      </w:tr>
      <w:tr>
        <w:trPr>
          <w:cantSplit/>
        </w:trPr>
        <w:tc>
          <w:tcPr>
            <w:tcW w:type="dxa" w:w="936"/>
            <w:vAlign w:val="center"/>
            <w:shd w:fill="FFFFFF"/>
            <w:tcMar>
              <w:top w:w="90" w:type="dxa"/>
              <w:left w:w="90" w:type="dxa"/>
              <w:bottom w:w="90" w:type="dxa"/>
              <w:right w:w="90" w:type="dxa"/>
            </w:tcMar>
          </w:tcPr>
          <w:p>
            <w:pPr>
              <w:spacing w:line="247" w:lineRule="auto" w:after="40"/>
            </w:pPr>
            <w:r>
              <w:rPr>
                <w:b w:val="0"/>
                <w:sz w:val="19"/>
              </w:rPr>
              <w:t>AT09</w:t>
            </w:r>
          </w:p>
        </w:tc>
        <w:tc>
          <w:tcPr>
            <w:tcW w:type="dxa" w:w="9288"/>
            <w:vAlign w:val="center"/>
            <w:shd w:fill="FFFFFF"/>
            <w:tcMar>
              <w:top w:w="90" w:type="dxa"/>
              <w:left w:w="90" w:type="dxa"/>
              <w:bottom w:w="90" w:type="dxa"/>
              <w:right w:w="90" w:type="dxa"/>
            </w:tcMar>
          </w:tcPr>
          <w:p>
            <w:pPr>
              <w:spacing w:line="247" w:lineRule="auto" w:after="40"/>
            </w:pPr>
            <w:r>
              <w:rPr>
                <w:b w:val="0"/>
                <w:sz w:val="19"/>
              </w:rPr>
              <w:t>Esra bağımsız kullanıcı kabulünde form, filtre, düzenleme, boş/yanlış değer, oturum kaybı ve eski kayıt akışını doğrular; eksikler açık kalır.</w:t>
            </w:r>
          </w:p>
        </w:tc>
      </w:tr>
    </w:tbl>
    <w:p>
      <w:pPr>
        <w:widowControl/>
        <w:spacing w:after="60" w:line="240" w:lineRule="auto"/>
      </w:pPr>
      <w:r>
        <w:rPr>
          <w:sz w:val="2"/>
        </w:rPr>
        <w:t xml:space="preserve"> </w:t>
      </w:r>
    </w:p>
    <w:p>
      <w:pPr>
        <w:widowControl/>
      </w:pPr>
      <w:r>
        <w:t>Bu senaryolar yeni kabul planıdır; çalıştırılmış test sonucu değildir. Alan/API/DB/katalog sözleşmeleri onaylandıktan sonra gerçek server, browser ve migration testlerine dönüştürülür. Başarılı sentetik arama modeli bu matrisi kapatmaz; üretici ve bağımsız koşular ayrı kaydedilir.</w:t>
      </w:r>
    </w:p>
    <w:p>
      <w:pPr>
        <w:pStyle w:val="Heading1"/>
        <w:pageBreakBefore/>
        <w:widowControl/>
      </w:pPr>
      <w:r>
        <w:t>11 Karar kapıları ve kanıt durumu</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576"/>
        <w:gridCol w:w="2304"/>
        <w:gridCol w:w="7344"/>
      </w:tblGrid>
      <w:tr>
        <w:trPr>
          <w:cantSplit/>
          <w:tblHeader/>
        </w:trPr>
        <w:tc>
          <w:tcPr>
            <w:tcW w:type="dxa" w:w="576"/>
            <w:vAlign w:val="center"/>
            <w:shd w:fill="E8EDF2"/>
            <w:tcMar>
              <w:top w:w="90" w:type="dxa"/>
              <w:left w:w="90" w:type="dxa"/>
              <w:bottom w:w="90" w:type="dxa"/>
              <w:right w:w="90" w:type="dxa"/>
            </w:tcMar>
          </w:tcPr>
          <w:p>
            <w:pPr>
              <w:spacing w:line="247" w:lineRule="auto" w:after="40"/>
            </w:pPr>
            <w:r>
              <w:rPr>
                <w:b/>
                <w:sz w:val="19"/>
              </w:rPr>
              <w:t>ID</w:t>
            </w:r>
          </w:p>
        </w:tc>
        <w:tc>
          <w:tcPr>
            <w:tcW w:type="dxa" w:w="2304"/>
            <w:vAlign w:val="center"/>
            <w:shd w:fill="E8EDF2"/>
            <w:tcMar>
              <w:top w:w="90" w:type="dxa"/>
              <w:left w:w="90" w:type="dxa"/>
              <w:bottom w:w="90" w:type="dxa"/>
              <w:right w:w="90" w:type="dxa"/>
            </w:tcMar>
          </w:tcPr>
          <w:p>
            <w:pPr>
              <w:spacing w:line="247" w:lineRule="auto" w:after="40"/>
            </w:pPr>
            <w:r>
              <w:rPr>
                <w:b/>
                <w:sz w:val="19"/>
              </w:rPr>
              <w:t>Kapı</w:t>
            </w:r>
          </w:p>
        </w:tc>
        <w:tc>
          <w:tcPr>
            <w:tcW w:type="dxa" w:w="7344"/>
            <w:vAlign w:val="center"/>
            <w:shd w:fill="E8EDF2"/>
            <w:tcMar>
              <w:top w:w="90" w:type="dxa"/>
              <w:left w:w="90" w:type="dxa"/>
              <w:bottom w:w="90" w:type="dxa"/>
              <w:right w:w="90" w:type="dxa"/>
            </w:tcMar>
          </w:tcPr>
          <w:p>
            <w:pPr>
              <w:spacing w:line="247" w:lineRule="auto" w:after="40"/>
            </w:pPr>
            <w:r>
              <w:rPr>
                <w:b/>
                <w:sz w:val="19"/>
              </w:rPr>
              <w:t>Kapanış ölçütü</w:t>
            </w:r>
          </w:p>
        </w:tc>
      </w:tr>
      <w:tr>
        <w:trPr>
          <w:cantSplit/>
        </w:trPr>
        <w:tc>
          <w:tcPr>
            <w:tcW w:type="dxa" w:w="576"/>
            <w:vAlign w:val="center"/>
            <w:shd w:fill="FFFFFF"/>
            <w:tcMar>
              <w:top w:w="90" w:type="dxa"/>
              <w:left w:w="90" w:type="dxa"/>
              <w:bottom w:w="90" w:type="dxa"/>
              <w:right w:w="90" w:type="dxa"/>
            </w:tcMar>
          </w:tcPr>
          <w:p>
            <w:pPr>
              <w:spacing w:line="247" w:lineRule="auto" w:after="40"/>
            </w:pPr>
            <w:r>
              <w:rPr>
                <w:b w:val="0"/>
                <w:sz w:val="19"/>
              </w:rPr>
              <w:t>G01</w:t>
            </w:r>
          </w:p>
        </w:tc>
        <w:tc>
          <w:tcPr>
            <w:tcW w:type="dxa" w:w="2304"/>
            <w:vAlign w:val="center"/>
            <w:shd w:fill="FFFFFF"/>
            <w:tcMar>
              <w:top w:w="90" w:type="dxa"/>
              <w:left w:w="90" w:type="dxa"/>
              <w:bottom w:w="90" w:type="dxa"/>
              <w:right w:w="90" w:type="dxa"/>
            </w:tcMar>
          </w:tcPr>
          <w:p>
            <w:pPr>
              <w:spacing w:line="247" w:lineRule="auto" w:after="40"/>
            </w:pPr>
            <w:r>
              <w:rPr>
                <w:b w:val="0"/>
                <w:sz w:val="19"/>
              </w:rPr>
              <w:t>Katalog kapsamı ve lisans</w:t>
            </w:r>
          </w:p>
        </w:tc>
        <w:tc>
          <w:tcPr>
            <w:tcW w:type="dxa" w:w="7344"/>
            <w:vAlign w:val="center"/>
            <w:shd w:fill="FFFFFF"/>
            <w:tcMar>
              <w:top w:w="90" w:type="dxa"/>
              <w:left w:w="90" w:type="dxa"/>
              <w:bottom w:w="90" w:type="dxa"/>
              <w:right w:w="90" w:type="dxa"/>
            </w:tcMar>
          </w:tcPr>
          <w:p>
            <w:pPr>
              <w:spacing w:line="247" w:lineRule="auto" w:after="40"/>
            </w:pPr>
            <w:r>
              <w:rPr>
                <w:b w:val="0"/>
                <w:sz w:val="19"/>
              </w:rPr>
              <w:t>Bayrak/idare ve ürün taksonomisi, veri sahibi, TR/EN, lisans, snapshot.</w:t>
            </w:r>
          </w:p>
        </w:tc>
      </w:tr>
      <w:tr>
        <w:trPr>
          <w:cantSplit/>
        </w:trPr>
        <w:tc>
          <w:tcPr>
            <w:tcW w:type="dxa" w:w="576"/>
            <w:vAlign w:val="center"/>
            <w:shd w:fill="FFFFFF"/>
            <w:tcMar>
              <w:top w:w="90" w:type="dxa"/>
              <w:left w:w="90" w:type="dxa"/>
              <w:bottom w:w="90" w:type="dxa"/>
              <w:right w:w="90" w:type="dxa"/>
            </w:tcMar>
          </w:tcPr>
          <w:p>
            <w:pPr>
              <w:spacing w:line="247" w:lineRule="auto" w:after="40"/>
            </w:pPr>
            <w:r>
              <w:rPr>
                <w:b w:val="0"/>
                <w:sz w:val="19"/>
              </w:rPr>
              <w:t>G02</w:t>
            </w:r>
          </w:p>
        </w:tc>
        <w:tc>
          <w:tcPr>
            <w:tcW w:type="dxa" w:w="2304"/>
            <w:vAlign w:val="center"/>
            <w:shd w:fill="FFFFFF"/>
            <w:tcMar>
              <w:top w:w="90" w:type="dxa"/>
              <w:left w:w="90" w:type="dxa"/>
              <w:bottom w:w="90" w:type="dxa"/>
              <w:right w:w="90" w:type="dxa"/>
            </w:tcMar>
          </w:tcPr>
          <w:p>
            <w:pPr>
              <w:spacing w:line="247" w:lineRule="auto" w:after="40"/>
            </w:pPr>
            <w:r>
              <w:rPr>
                <w:b w:val="0"/>
                <w:sz w:val="19"/>
              </w:rPr>
              <w:t>Hukuki kapsam</w:t>
            </w:r>
          </w:p>
        </w:tc>
        <w:tc>
          <w:tcPr>
            <w:tcW w:type="dxa" w:w="7344"/>
            <w:vAlign w:val="center"/>
            <w:shd w:fill="FFFFFF"/>
            <w:tcMar>
              <w:top w:w="90" w:type="dxa"/>
              <w:left w:w="90" w:type="dxa"/>
              <w:bottom w:w="90" w:type="dxa"/>
              <w:right w:w="90" w:type="dxa"/>
            </w:tcMar>
          </w:tcPr>
          <w:p>
            <w:pPr>
              <w:spacing w:line="247" w:lineRule="auto" w:after="40"/>
            </w:pPr>
            <w:r>
              <w:rPr>
                <w:b w:val="0"/>
                <w:sz w:val="19"/>
              </w:rPr>
              <w:t>Gemi bağlamı ve madde bazlı hukuk/klas incelemesi.</w:t>
            </w:r>
          </w:p>
        </w:tc>
      </w:tr>
      <w:tr>
        <w:trPr>
          <w:cantSplit/>
        </w:trPr>
        <w:tc>
          <w:tcPr>
            <w:tcW w:type="dxa" w:w="576"/>
            <w:vAlign w:val="center"/>
            <w:shd w:fill="FFFFFF"/>
            <w:tcMar>
              <w:top w:w="90" w:type="dxa"/>
              <w:left w:w="90" w:type="dxa"/>
              <w:bottom w:w="90" w:type="dxa"/>
              <w:right w:w="90" w:type="dxa"/>
            </w:tcMar>
          </w:tcPr>
          <w:p>
            <w:pPr>
              <w:spacing w:line="247" w:lineRule="auto" w:after="40"/>
            </w:pPr>
            <w:r>
              <w:rPr>
                <w:b w:val="0"/>
                <w:sz w:val="19"/>
              </w:rPr>
              <w:t>G03</w:t>
            </w:r>
          </w:p>
        </w:tc>
        <w:tc>
          <w:tcPr>
            <w:tcW w:type="dxa" w:w="2304"/>
            <w:vAlign w:val="center"/>
            <w:shd w:fill="FFFFFF"/>
            <w:tcMar>
              <w:top w:w="90" w:type="dxa"/>
              <w:left w:w="90" w:type="dxa"/>
              <w:bottom w:w="90" w:type="dxa"/>
              <w:right w:w="90" w:type="dxa"/>
            </w:tcMar>
          </w:tcPr>
          <w:p>
            <w:pPr>
              <w:spacing w:line="247" w:lineRule="auto" w:after="40"/>
            </w:pPr>
            <w:r>
              <w:rPr>
                <w:b w:val="0"/>
                <w:sz w:val="19"/>
              </w:rPr>
              <w:t>Sürümlü şema ve yeni testler</w:t>
            </w:r>
          </w:p>
        </w:tc>
        <w:tc>
          <w:tcPr>
            <w:tcW w:type="dxa" w:w="7344"/>
            <w:vAlign w:val="center"/>
            <w:shd w:fill="FFFFFF"/>
            <w:tcMar>
              <w:top w:w="90" w:type="dxa"/>
              <w:left w:w="90" w:type="dxa"/>
              <w:bottom w:w="90" w:type="dxa"/>
              <w:right w:w="90" w:type="dxa"/>
            </w:tcMar>
          </w:tcPr>
          <w:p>
            <w:pPr>
              <w:spacing w:line="247" w:lineRule="auto" w:after="40"/>
            </w:pPr>
            <w:r>
              <w:rPr>
                <w:b w:val="0"/>
                <w:sz w:val="19"/>
              </w:rPr>
              <w:t>format1 dar SYN modeliyle hedef mantıksal genişletmeyi ayır.</w:t>
            </w:r>
          </w:p>
        </w:tc>
      </w:tr>
      <w:tr>
        <w:trPr>
          <w:cantSplit/>
        </w:trPr>
        <w:tc>
          <w:tcPr>
            <w:tcW w:type="dxa" w:w="576"/>
            <w:vAlign w:val="center"/>
            <w:shd w:fill="FFFFFF"/>
            <w:tcMar>
              <w:top w:w="90" w:type="dxa"/>
              <w:left w:w="90" w:type="dxa"/>
              <w:bottom w:w="90" w:type="dxa"/>
              <w:right w:w="90" w:type="dxa"/>
            </w:tcMar>
          </w:tcPr>
          <w:p>
            <w:pPr>
              <w:spacing w:line="247" w:lineRule="auto" w:after="40"/>
            </w:pPr>
            <w:r>
              <w:rPr>
                <w:b w:val="0"/>
                <w:sz w:val="19"/>
              </w:rPr>
              <w:t>G04</w:t>
            </w:r>
          </w:p>
        </w:tc>
        <w:tc>
          <w:tcPr>
            <w:tcW w:type="dxa" w:w="2304"/>
            <w:vAlign w:val="center"/>
            <w:shd w:fill="FFFFFF"/>
            <w:tcMar>
              <w:top w:w="90" w:type="dxa"/>
              <w:left w:w="90" w:type="dxa"/>
              <w:bottom w:w="90" w:type="dxa"/>
              <w:right w:w="90" w:type="dxa"/>
            </w:tcMar>
          </w:tcPr>
          <w:p>
            <w:pPr>
              <w:spacing w:line="247" w:lineRule="auto" w:after="40"/>
            </w:pPr>
            <w:r>
              <w:rPr>
                <w:b w:val="0"/>
                <w:sz w:val="19"/>
              </w:rPr>
              <w:t>API ve eski istemci uyumu</w:t>
            </w:r>
          </w:p>
        </w:tc>
        <w:tc>
          <w:tcPr>
            <w:tcW w:type="dxa" w:w="7344"/>
            <w:vAlign w:val="center"/>
            <w:shd w:fill="FFFFFF"/>
            <w:tcMar>
              <w:top w:w="90" w:type="dxa"/>
              <w:left w:w="90" w:type="dxa"/>
              <w:bottom w:w="90" w:type="dxa"/>
              <w:right w:w="90" w:type="dxa"/>
            </w:tcMar>
          </w:tcPr>
          <w:p>
            <w:pPr>
              <w:spacing w:line="247" w:lineRule="auto" w:after="40"/>
            </w:pPr>
            <w:r>
              <w:rPr>
                <w:b w:val="0"/>
                <w:sz w:val="19"/>
              </w:rPr>
              <w:t>Yeni v3 sözleşme; legacy metin anlamı;409/replay önceliği ve DB writer.</w:t>
            </w:r>
          </w:p>
        </w:tc>
      </w:tr>
      <w:tr>
        <w:trPr>
          <w:cantSplit/>
        </w:trPr>
        <w:tc>
          <w:tcPr>
            <w:tcW w:type="dxa" w:w="576"/>
            <w:vAlign w:val="center"/>
            <w:shd w:fill="FFFFFF"/>
            <w:tcMar>
              <w:top w:w="90" w:type="dxa"/>
              <w:left w:w="90" w:type="dxa"/>
              <w:bottom w:w="90" w:type="dxa"/>
              <w:right w:w="90" w:type="dxa"/>
            </w:tcMar>
          </w:tcPr>
          <w:p>
            <w:pPr>
              <w:spacing w:line="247" w:lineRule="auto" w:after="40"/>
            </w:pPr>
            <w:r>
              <w:rPr>
                <w:b w:val="0"/>
                <w:sz w:val="19"/>
              </w:rPr>
              <w:t>G05</w:t>
            </w:r>
          </w:p>
        </w:tc>
        <w:tc>
          <w:tcPr>
            <w:tcW w:type="dxa" w:w="2304"/>
            <w:vAlign w:val="center"/>
            <w:shd w:fill="FFFFFF"/>
            <w:tcMar>
              <w:top w:w="90" w:type="dxa"/>
              <w:left w:w="90" w:type="dxa"/>
              <w:bottom w:w="90" w:type="dxa"/>
              <w:right w:w="90" w:type="dxa"/>
            </w:tcMar>
          </w:tcPr>
          <w:p>
            <w:pPr>
              <w:spacing w:line="247" w:lineRule="auto" w:after="40"/>
            </w:pPr>
            <w:r>
              <w:rPr>
                <w:b w:val="0"/>
                <w:sz w:val="19"/>
              </w:rPr>
              <w:t>İnsan onaylı geçiş</w:t>
            </w:r>
          </w:p>
        </w:tc>
        <w:tc>
          <w:tcPr>
            <w:tcW w:type="dxa" w:w="7344"/>
            <w:vAlign w:val="center"/>
            <w:shd w:fill="FFFFFF"/>
            <w:tcMar>
              <w:top w:w="90" w:type="dxa"/>
              <w:left w:w="90" w:type="dxa"/>
              <w:bottom w:w="90" w:type="dxa"/>
              <w:right w:w="90" w:type="dxa"/>
            </w:tcMar>
          </w:tcPr>
          <w:p>
            <w:pPr>
              <w:spacing w:line="247" w:lineRule="auto" w:after="40"/>
            </w:pPr>
            <w:r>
              <w:rPr>
                <w:b w:val="0"/>
                <w:sz w:val="19"/>
              </w:rPr>
              <w:t>İlk geçiş otomatik atama yok. Ham veri, tarihçe, dry-run ve rollback.</w:t>
            </w:r>
          </w:p>
        </w:tc>
      </w:tr>
      <w:tr>
        <w:trPr>
          <w:cantSplit/>
        </w:trPr>
        <w:tc>
          <w:tcPr>
            <w:tcW w:type="dxa" w:w="576"/>
            <w:vAlign w:val="center"/>
            <w:shd w:fill="FFFFFF"/>
            <w:tcMar>
              <w:top w:w="90" w:type="dxa"/>
              <w:left w:w="90" w:type="dxa"/>
              <w:bottom w:w="90" w:type="dxa"/>
              <w:right w:w="90" w:type="dxa"/>
            </w:tcMar>
          </w:tcPr>
          <w:p>
            <w:pPr>
              <w:spacing w:line="247" w:lineRule="auto" w:after="40"/>
            </w:pPr>
            <w:r>
              <w:rPr>
                <w:b w:val="0"/>
                <w:sz w:val="19"/>
              </w:rPr>
              <w:t>G06</w:t>
            </w:r>
          </w:p>
        </w:tc>
        <w:tc>
          <w:tcPr>
            <w:tcW w:type="dxa" w:w="2304"/>
            <w:vAlign w:val="center"/>
            <w:shd w:fill="FFFFFF"/>
            <w:tcMar>
              <w:top w:w="90" w:type="dxa"/>
              <w:left w:w="90" w:type="dxa"/>
              <w:bottom w:w="90" w:type="dxa"/>
              <w:right w:w="90" w:type="dxa"/>
            </w:tcMar>
          </w:tcPr>
          <w:p>
            <w:pPr>
              <w:spacing w:line="247" w:lineRule="auto" w:after="40"/>
            </w:pPr>
            <w:r>
              <w:rPr>
                <w:b w:val="0"/>
                <w:sz w:val="19"/>
              </w:rPr>
              <w:t>Güvenlik ve kalıcılık</w:t>
            </w:r>
          </w:p>
        </w:tc>
        <w:tc>
          <w:tcPr>
            <w:tcW w:type="dxa" w:w="7344"/>
            <w:vAlign w:val="center"/>
            <w:shd w:fill="FFFFFF"/>
            <w:tcMar>
              <w:top w:w="90" w:type="dxa"/>
              <w:left w:w="90" w:type="dxa"/>
              <w:bottom w:w="90" w:type="dxa"/>
              <w:right w:w="90" w:type="dxa"/>
            </w:tcMar>
          </w:tcPr>
          <w:p>
            <w:pPr>
              <w:spacing w:line="247" w:lineRule="auto" w:after="40"/>
            </w:pPr>
            <w:r>
              <w:rPr>
                <w:b w:val="0"/>
                <w:sz w:val="19"/>
              </w:rPr>
              <w:t>Scope,CSRF,If-Match,idempotency,uncertain keys,closure persistence.</w:t>
            </w:r>
          </w:p>
        </w:tc>
      </w:tr>
      <w:tr>
        <w:trPr>
          <w:cantSplit/>
        </w:trPr>
        <w:tc>
          <w:tcPr>
            <w:tcW w:type="dxa" w:w="576"/>
            <w:vAlign w:val="center"/>
            <w:shd w:fill="FFFFFF"/>
            <w:tcMar>
              <w:top w:w="90" w:type="dxa"/>
              <w:left w:w="90" w:type="dxa"/>
              <w:bottom w:w="90" w:type="dxa"/>
              <w:right w:w="90" w:type="dxa"/>
            </w:tcMar>
          </w:tcPr>
          <w:p>
            <w:pPr>
              <w:spacing w:line="247" w:lineRule="auto" w:after="40"/>
            </w:pPr>
            <w:r>
              <w:rPr>
                <w:b w:val="0"/>
                <w:sz w:val="19"/>
              </w:rPr>
              <w:t>G07</w:t>
            </w:r>
          </w:p>
        </w:tc>
        <w:tc>
          <w:tcPr>
            <w:tcW w:type="dxa" w:w="2304"/>
            <w:vAlign w:val="center"/>
            <w:shd w:fill="FFFFFF"/>
            <w:tcMar>
              <w:top w:w="90" w:type="dxa"/>
              <w:left w:w="90" w:type="dxa"/>
              <w:bottom w:w="90" w:type="dxa"/>
              <w:right w:w="90" w:type="dxa"/>
            </w:tcMar>
          </w:tcPr>
          <w:p>
            <w:pPr>
              <w:spacing w:line="247" w:lineRule="auto" w:after="40"/>
            </w:pPr>
            <w:r>
              <w:rPr>
                <w:b w:val="0"/>
                <w:sz w:val="19"/>
              </w:rPr>
              <w:t>Erişilebilir UX</w:t>
            </w:r>
          </w:p>
        </w:tc>
        <w:tc>
          <w:tcPr>
            <w:tcW w:type="dxa" w:w="7344"/>
            <w:vAlign w:val="center"/>
            <w:shd w:fill="FFFFFF"/>
            <w:tcMar>
              <w:top w:w="90" w:type="dxa"/>
              <w:left w:w="90" w:type="dxa"/>
              <w:bottom w:w="90" w:type="dxa"/>
              <w:right w:w="90" w:type="dxa"/>
            </w:tcMar>
          </w:tcPr>
          <w:p>
            <w:pPr>
              <w:spacing w:line="247" w:lineRule="auto" w:after="40"/>
            </w:pPr>
            <w:r>
              <w:rPr>
                <w:b w:val="0"/>
                <w:sz w:val="19"/>
              </w:rPr>
              <w:t>Form/filtre kaynak birliği,klavye,TR arama,mobil ve dirty-scope.</w:t>
            </w:r>
          </w:p>
        </w:tc>
      </w:tr>
      <w:tr>
        <w:trPr>
          <w:cantSplit/>
        </w:trPr>
        <w:tc>
          <w:tcPr>
            <w:tcW w:type="dxa" w:w="576"/>
            <w:vAlign w:val="center"/>
            <w:shd w:fill="FFFFFF"/>
            <w:tcMar>
              <w:top w:w="90" w:type="dxa"/>
              <w:left w:w="90" w:type="dxa"/>
              <w:bottom w:w="90" w:type="dxa"/>
              <w:right w:w="90" w:type="dxa"/>
            </w:tcMar>
          </w:tcPr>
          <w:p>
            <w:pPr>
              <w:spacing w:line="247" w:lineRule="auto" w:after="40"/>
            </w:pPr>
            <w:r>
              <w:rPr>
                <w:b w:val="0"/>
                <w:sz w:val="19"/>
              </w:rPr>
              <w:t>G08</w:t>
            </w:r>
          </w:p>
        </w:tc>
        <w:tc>
          <w:tcPr>
            <w:tcW w:type="dxa" w:w="2304"/>
            <w:vAlign w:val="center"/>
            <w:shd w:fill="FFFFFF"/>
            <w:tcMar>
              <w:top w:w="90" w:type="dxa"/>
              <w:left w:w="90" w:type="dxa"/>
              <w:bottom w:w="90" w:type="dxa"/>
              <w:right w:w="90" w:type="dxa"/>
            </w:tcMar>
          </w:tcPr>
          <w:p>
            <w:pPr>
              <w:spacing w:line="247" w:lineRule="auto" w:after="40"/>
            </w:pPr>
            <w:r>
              <w:rPr>
                <w:b w:val="0"/>
                <w:sz w:val="19"/>
              </w:rPr>
              <w:t>Self-hosted ve release</w:t>
            </w:r>
          </w:p>
        </w:tc>
        <w:tc>
          <w:tcPr>
            <w:tcW w:type="dxa" w:w="7344"/>
            <w:vAlign w:val="center"/>
            <w:shd w:fill="FFFFFF"/>
            <w:tcMar>
              <w:top w:w="90" w:type="dxa"/>
              <w:left w:w="90" w:type="dxa"/>
              <w:bottom w:w="90" w:type="dxa"/>
              <w:right w:w="90" w:type="dxa"/>
            </w:tcMar>
          </w:tcPr>
          <w:p>
            <w:pPr>
              <w:spacing w:line="247" w:lineRule="auto" w:after="40"/>
            </w:pPr>
            <w:r>
              <w:rPr>
                <w:b w:val="0"/>
                <w:sz w:val="19"/>
              </w:rPr>
              <w:t>Sürüm/lisans/hash,offline eskime,rollback,UAT ve yetkili release onayı.</w:t>
            </w:r>
          </w:p>
        </w:tc>
      </w:tr>
    </w:tbl>
    <w:p>
      <w:pPr>
        <w:widowControl/>
        <w:spacing w:after="60" w:line="240" w:lineRule="auto"/>
      </w:pPr>
      <w:r>
        <w:rPr>
          <w:sz w:val="2"/>
        </w:rPr>
        <w:t xml:space="preserve"> </w:t>
      </w:r>
    </w:p>
    <w:p>
      <w:pPr>
        <w:widowControl/>
      </w:pPr>
      <w:r>
        <w:t>G01–G08, 49.02’nin kanonik karar listesiyle aynı kimlik, ad ve ölçütleri kullanır; tamamı Bekliyor yani OPEN’dır. Tarihsel LEG-G01…07 ve VAL-01…07 ile aynı kayıtlar değildir; bu doküman onları yeniden numaralandırmaz veya kapatmaz. Uygulama sırası: kaynak/veri kararı → reviewed paket/hash → storage/DTO/compatibility → ortak seçici/server/filtre → migration/güvenlik/browser → bağımsız kullanıcı kabulü.</w:t>
      </w:r>
    </w:p>
    <w:p>
      <w:pPr>
        <w:pStyle w:val="Heading2"/>
        <w:widowControl/>
      </w:pPr>
      <w:r>
        <w:t>Mevcut kanıtın doğru yorumu</w:t>
      </w:r>
    </w:p>
    <w:p>
      <w:pPr>
        <w:widowControl/>
      </w:pPr>
      <w:r>
        <w:t>Üretici teknik pakette 12 sentetik sözleşme testinin geçtiğini bildirir: iki SYN katalog, kod/dil araması, mode/tarih/unknown, optional blank, eski metni eşlememe, form/filter ortak kaynağı ve önerilen production gate. Bu sonuç API, DB veya combobox/browser PASS değildir. Önceki v19’un 226 backend, 119 frontend ve iki 6’lı browser kanıtı tarihsel ürün kaynağına aittir; bu tasarım için yeniden koşulmadı.</w:t>
      </w:r>
    </w:p>
    <w:p>
      <w:pPr>
        <w:widowControl/>
      </w:pPr>
      <w:r>
        <w:t>Bağımsız teknik incelemede de aynı dar modelin 12 SYN testi PASS ve 151 kaynak dosyasının değişmediği doğrulandı; ek teknik P1/P2 bulunmadı. Bağımsız DOCX içerik kontrolünde R-P2-01, bölüm 2 ve AT01 ile kapatıldı; yeni P1/P2 bulunmadı. Bu içerik kapanışı hukuki/runtime kabulü veya geniş modelin uygulama/test kanıtı değildir. Ham araştırma notları korunur.</w:t>
      </w:r>
    </w:p>
    <w:p>
      <w:pPr>
        <w:widowControl/>
      </w:pPr>
      <w:r>
        <w:t xml:space="preserve">Kaynak tabanı: </w:t>
      </w:r>
      <w:hyperlink r:id="rId33">
        <w:r>
          <w:rPr>
            <w:color w:val="000000"/>
            <w:u w:val="single"/>
          </w:rPr>
          <w:t>dd504631 kaynak commit kaydı</w:t>
        </w:r>
      </w:hyperlink>
      <w:r>
        <w:t>. 151 dosyada değişiklik yok; bu görevde yeni kod commit’i, merge, deploy veya runtime işlemi yoktur. main 008b6105b1d964373bd7a92ee032b51b4a7ae00f değişmez. Repo bağlantısı uygulama erişimi değildir.</w:t>
      </w:r>
    </w:p>
    <w:p>
      <w:pPr>
        <w:widowControl/>
      </w:pPr>
      <w:r/>
      <w:hyperlink r:id="rId34">
        <w:r>
          <w:rPr>
            <w:color w:val="000000"/>
            <w:u w:val="single"/>
          </w:rPr>
          <w:t>49.03 Araştırma ve teknik kanıt paketi</w:t>
        </w:r>
      </w:hyperlink>
      <w:r>
        <w:t xml:space="preserve"> ve 49.02 sözlük tasarımın izidir. Nihai uzlaştırılmış karar esas alınır; tam production lookup, gemi bazlı hukuki uygunluk veya modül kabulü verilmez.</w:t>
      </w:r>
    </w:p>
    <w:p>
      <w:pPr>
        <w:pStyle w:val="Heading1"/>
        <w:pageBreakBefore/>
        <w:widowControl/>
      </w:pPr>
      <w:r>
        <w:t>12 Kaynaklar ve belge izi</w:t>
      </w:r>
    </w:p>
    <w:p>
      <w:pPr>
        <w:widowControl/>
      </w:pPr>
      <w:r>
        <w:t>Dış kaynak erişim tarihi 29 Ekim 2026’dır. Bağlantılar iddiaya yakın ve aşağıda verilmiştir. Resmi kaynak, tam katalog yeniden dağıtım izni veya gemiye özgü onay demek değildir. Kaynak metinleri uzun alıntı veya tam kod tablosu olarak çoğaltılmadı.</w:t>
      </w:r>
    </w:p>
    <w:p>
      <w:pPr>
        <w:widowControl/>
        <w:spacing w:after="80" w:line="240" w:lineRule="auto"/>
      </w:pPr>
      <w:r>
        <w:rPr>
          <w:sz w:val="19"/>
        </w:rPr>
      </w:r>
      <w:hyperlink r:id="rId11">
        <w:r>
          <w:rPr>
            <w:color w:val="000000"/>
            <w:u w:val="single"/>
          </w:rPr>
          <w:t>S1 IMO Gemi kayıtları</w:t>
        </w:r>
      </w:hyperlink>
      <w:r>
        <w:rPr>
          <w:sz w:val="19"/>
        </w:rPr>
        <w:t xml:space="preserve"> — Bayrak/kayıt yetkisi; ulusal koşullar.</w:t>
      </w:r>
    </w:p>
    <w:p>
      <w:pPr>
        <w:widowControl/>
        <w:spacing w:after="80" w:line="240" w:lineRule="auto"/>
      </w:pPr>
      <w:r>
        <w:rPr>
          <w:sz w:val="19"/>
        </w:rPr>
      </w:r>
      <w:hyperlink r:id="rId12">
        <w:r>
          <w:rPr>
            <w:color w:val="000000"/>
            <w:u w:val="single"/>
          </w:rPr>
          <w:t>S2 ISO 3166 ülke kodları</w:t>
        </w:r>
      </w:hyperlink>
      <w:r>
        <w:rPr>
          <w:sz w:val="19"/>
        </w:rPr>
        <w:t xml:space="preserve"> — Ülke/bölge temsil standardı; bayrak yetkisi değil.</w:t>
      </w:r>
    </w:p>
    <w:p>
      <w:pPr>
        <w:widowControl/>
        <w:spacing w:after="80" w:line="240" w:lineRule="auto"/>
      </w:pPr>
      <w:r>
        <w:rPr>
          <w:sz w:val="19"/>
        </w:rPr>
      </w:r>
      <w:hyperlink r:id="rId13">
        <w:r>
          <w:rPr>
            <w:color w:val="000000"/>
            <w:u w:val="single"/>
          </w:rPr>
          <w:t>S3 ITU R M.1371-6 resmi metin</w:t>
        </w:r>
      </w:hyperlink>
      <w:r>
        <w:rPr>
          <w:sz w:val="19"/>
        </w:rPr>
        <w:t xml:space="preserve"> — Şubat 2026 AIS kod bağlamı; 31/32/52.</w:t>
      </w:r>
    </w:p>
    <w:p>
      <w:pPr>
        <w:widowControl/>
        <w:spacing w:after="80" w:line="240" w:lineRule="auto"/>
      </w:pPr>
      <w:r>
        <w:rPr>
          <w:sz w:val="19"/>
        </w:rPr>
      </w:r>
      <w:hyperlink r:id="rId14">
        <w:r>
          <w:rPr>
            <w:color w:val="000000"/>
            <w:u w:val="single"/>
          </w:rPr>
          <w:t>S4 ITU M.1371 sürüm sicili</w:t>
        </w:r>
      </w:hyperlink>
      <w:r>
        <w:rPr>
          <w:sz w:val="19"/>
        </w:rPr>
        <w:t xml:space="preserve"> — M.1371-6 güncelliği ve -5 durumu.</w:t>
      </w:r>
    </w:p>
    <w:p>
      <w:pPr>
        <w:widowControl/>
        <w:spacing w:after="80" w:line="240" w:lineRule="auto"/>
      </w:pPr>
      <w:r>
        <w:rPr>
          <w:sz w:val="19"/>
        </w:rPr>
      </w:r>
      <w:hyperlink r:id="rId30">
        <w:r>
          <w:rPr>
            <w:color w:val="000000"/>
            <w:u w:val="single"/>
          </w:rPr>
          <w:t>S5 UNECE kod listeleri ve Rec28</w:t>
        </w:r>
      </w:hyperlink>
      <w:r>
        <w:rPr>
          <w:sz w:val="19"/>
        </w:rPr>
        <w:t xml:space="preserve"> — Rec.28 indeks ve kod listesi sürüm bağlamı.</w:t>
      </w:r>
    </w:p>
    <w:p>
      <w:pPr>
        <w:widowControl/>
        <w:spacing w:after="80" w:line="240" w:lineRule="auto"/>
      </w:pPr>
      <w:r>
        <w:rPr>
          <w:sz w:val="19"/>
        </w:rPr>
      </w:r>
      <w:hyperlink r:id="rId31">
        <w:r>
          <w:rPr>
            <w:color w:val="000000"/>
            <w:u w:val="single"/>
          </w:rPr>
          <w:t>S6 EMSA EMSWe arayüz rehberi</w:t>
        </w:r>
      </w:hyperlink>
      <w:r>
        <w:rPr>
          <w:sz w:val="19"/>
        </w:rPr>
        <w:t xml:space="preserve"> — EMSWe hedef veri alışverişi profili.</w:t>
      </w:r>
    </w:p>
    <w:p>
      <w:pPr>
        <w:widowControl/>
        <w:spacing w:after="80" w:line="240" w:lineRule="auto"/>
      </w:pPr>
      <w:r>
        <w:rPr>
          <w:sz w:val="19"/>
        </w:rPr>
      </w:r>
      <w:hyperlink r:id="rId32">
        <w:r>
          <w:rPr>
            <w:color w:val="000000"/>
            <w:u w:val="single"/>
          </w:rPr>
          <w:t>S7 IMO Compendium</w:t>
        </w:r>
      </w:hyperlink>
      <w:r>
        <w:rPr>
          <w:sz w:val="19"/>
        </w:rPr>
        <w:t xml:space="preserve"> — FAL 50 Mart 2026 güncelleme açıklaması.</w:t>
      </w:r>
    </w:p>
    <w:p>
      <w:pPr>
        <w:widowControl/>
        <w:spacing w:after="80" w:line="240" w:lineRule="auto"/>
      </w:pPr>
      <w:r>
        <w:rPr>
          <w:sz w:val="19"/>
        </w:rPr>
      </w:r>
      <w:hyperlink r:id="rId22">
        <w:r>
          <w:rPr>
            <w:color w:val="000000"/>
            <w:u w:val="single"/>
          </w:rPr>
          <w:t>S8 UAB mevzuat indeksi</w:t>
        </w:r>
      </w:hyperlink>
      <w:r>
        <w:rPr>
          <w:sz w:val="19"/>
        </w:rPr>
        <w:t xml:space="preserve"> — Gemi Sicil Yönetmeliği indeks kaydı; ayrıntı onayı açık.</w:t>
      </w:r>
    </w:p>
    <w:p>
      <w:pPr>
        <w:widowControl/>
        <w:spacing w:after="80" w:line="240" w:lineRule="auto"/>
      </w:pPr>
      <w:r>
        <w:rPr>
          <w:sz w:val="19"/>
        </w:rPr>
      </w:r>
      <w:hyperlink r:id="rId15">
        <w:r>
          <w:rPr>
            <w:color w:val="000000"/>
            <w:u w:val="single"/>
          </w:rPr>
          <w:t>S9 UAB gemi sicil cinsleri 08 2026</w:t>
        </w:r>
      </w:hyperlink>
      <w:r>
        <w:rPr>
          <w:sz w:val="19"/>
        </w:rPr>
        <w:t xml:space="preserve"> — 08-2026 dosyası, sayfa 23–24; tam seed değil.</w:t>
      </w:r>
    </w:p>
    <w:p>
      <w:pPr>
        <w:widowControl/>
        <w:spacing w:after="80" w:line="240" w:lineRule="auto"/>
      </w:pPr>
      <w:r>
        <w:rPr>
          <w:sz w:val="19"/>
        </w:rPr>
      </w:r>
      <w:hyperlink r:id="rId18">
        <w:r>
          <w:rPr>
            <w:color w:val="000000"/>
            <w:u w:val="single"/>
          </w:rPr>
          <w:t>S10 IMO SOLAS genel açıklaması</w:t>
        </w:r>
      </w:hyperlink>
      <w:r>
        <w:rPr>
          <w:sz w:val="19"/>
        </w:rPr>
        <w:t xml:space="preserve"> — SOLAS bölüm bazlı kapsam ayrımı.</w:t>
      </w:r>
    </w:p>
    <w:p>
      <w:pPr>
        <w:widowControl/>
        <w:spacing w:after="80" w:line="240" w:lineRule="auto"/>
      </w:pPr>
      <w:r>
        <w:rPr>
          <w:sz w:val="19"/>
        </w:rPr>
      </w:r>
      <w:hyperlink r:id="rId19">
        <w:r>
          <w:rPr>
            <w:color w:val="000000"/>
            <w:u w:val="single"/>
          </w:rPr>
          <w:t>S11 IMO AIS taşıma kapsamı</w:t>
        </w:r>
      </w:hyperlink>
      <w:r>
        <w:rPr>
          <w:sz w:val="19"/>
        </w:rPr>
        <w:t xml:space="preserve"> — AIS taşıma koşullarının resmi özeti.</w:t>
      </w:r>
    </w:p>
    <w:p>
      <w:pPr>
        <w:widowControl/>
        <w:spacing w:after="80" w:line="240" w:lineRule="auto"/>
      </w:pPr>
      <w:r>
        <w:rPr>
          <w:sz w:val="19"/>
        </w:rPr>
      </w:r>
      <w:hyperlink r:id="rId16">
        <w:r>
          <w:rPr>
            <w:color w:val="000000"/>
            <w:u w:val="single"/>
          </w:rPr>
          <w:t>S12 IMO numara şeması</w:t>
        </w:r>
      </w:hyperlink>
      <w:r>
        <w:rPr>
          <w:sz w:val="19"/>
        </w:rPr>
        <w:t xml:space="preserve"> — Mevcut yedi hane ve koşullu gelecek uzatma.</w:t>
      </w:r>
    </w:p>
    <w:p>
      <w:pPr>
        <w:widowControl/>
        <w:spacing w:after="80" w:line="240" w:lineRule="auto"/>
      </w:pPr>
      <w:r>
        <w:rPr>
          <w:sz w:val="19"/>
        </w:rPr>
      </w:r>
      <w:hyperlink r:id="rId17">
        <w:r>
          <w:rPr>
            <w:color w:val="000000"/>
            <w:u w:val="single"/>
          </w:rPr>
          <w:t>S13 IMO gemi numarası FAQ</w:t>
        </w:r>
      </w:hyperlink>
      <w:r>
        <w:rPr>
          <w:sz w:val="19"/>
        </w:rPr>
        <w:t xml:space="preserve"> — Önceki numara genişletme çalışma bağlamı.</w:t>
      </w:r>
    </w:p>
    <w:p>
      <w:pPr>
        <w:widowControl/>
        <w:spacing w:after="80" w:line="240" w:lineRule="auto"/>
      </w:pPr>
      <w:r>
        <w:rPr>
          <w:sz w:val="19"/>
        </w:rPr>
      </w:r>
      <w:hyperlink r:id="rId20">
        <w:r>
          <w:rPr>
            <w:color w:val="000000"/>
            <w:u w:val="single"/>
          </w:rPr>
          <w:t>S14 Transport Canada ISM açıklaması</w:t>
        </w:r>
      </w:hyperlink>
      <w:r>
        <w:rPr>
          <w:sz w:val="19"/>
        </w:rPr>
        <w:t xml:space="preserve"> — ISM kapsamı için ulusal otorite açıklaması.</w:t>
      </w:r>
    </w:p>
    <w:p>
      <w:pPr>
        <w:widowControl/>
        <w:spacing w:after="80" w:line="240" w:lineRule="auto"/>
      </w:pPr>
      <w:r>
        <w:rPr>
          <w:sz w:val="19"/>
        </w:rPr>
      </w:r>
      <w:hyperlink r:id="rId21">
        <w:r>
          <w:rPr>
            <w:color w:val="000000"/>
            <w:u w:val="single"/>
          </w:rPr>
          <w:t>S15 IMO EEXI ve CII açıklaması</w:t>
        </w:r>
      </w:hyperlink>
      <w:r>
        <w:rPr>
          <w:sz w:val="19"/>
        </w:rPr>
        <w:t xml:space="preserve"> — Annex VI, EEXI/CII eşik ve kapsam ayrımı.</w:t>
      </w:r>
    </w:p>
    <w:p>
      <w:pPr>
        <w:widowControl/>
        <w:spacing w:after="80" w:line="240" w:lineRule="auto"/>
      </w:pPr>
      <w:r>
        <w:rPr>
          <w:sz w:val="19"/>
        </w:rPr>
      </w:r>
      <w:hyperlink r:id="rId23">
        <w:r>
          <w:rPr>
            <w:color w:val="000000"/>
            <w:u w:val="single"/>
          </w:rPr>
          <w:t>C01 BASSnet Vessel Particulars</w:t>
        </w:r>
      </w:hyperlink>
      <w:r>
        <w:rPr>
          <w:sz w:val="19"/>
        </w:rPr>
        <w:t xml:space="preserve"> — A; Bayrak, tip ve sicil limanı alanları.</w:t>
      </w:r>
    </w:p>
    <w:p>
      <w:pPr>
        <w:widowControl/>
        <w:spacing w:after="80" w:line="240" w:lineRule="auto"/>
      </w:pPr>
      <w:r>
        <w:rPr>
          <w:sz w:val="19"/>
        </w:rPr>
      </w:r>
      <w:hyperlink r:id="rId24">
        <w:r>
          <w:rPr>
            <w:color w:val="000000"/>
            <w:u w:val="single"/>
          </w:rPr>
          <w:t>C02 BASSnet Vessel Type Register</w:t>
        </w:r>
      </w:hyperlink>
      <w:r>
        <w:rPr>
          <w:sz w:val="19"/>
        </w:rPr>
        <w:t xml:space="preserve"> — A; tip register, kod ve Active.</w:t>
      </w:r>
    </w:p>
    <w:p>
      <w:pPr>
        <w:widowControl/>
        <w:spacing w:after="80" w:line="240" w:lineRule="auto"/>
      </w:pPr>
      <w:r>
        <w:rPr>
          <w:sz w:val="19"/>
        </w:rPr>
      </w:r>
      <w:hyperlink r:id="rId25">
        <w:r>
          <w:rPr>
            <w:color w:val="000000"/>
            <w:u w:val="single"/>
          </w:rPr>
          <w:t>C03 MariApps smartPAL MDM</w:t>
        </w:r>
      </w:hyperlink>
      <w:r>
        <w:rPr>
          <w:sz w:val="19"/>
        </w:rPr>
        <w:t xml:space="preserve"> — B; merkezi MDM ve register.</w:t>
      </w:r>
    </w:p>
    <w:p>
      <w:pPr>
        <w:widowControl/>
        <w:spacing w:after="80" w:line="240" w:lineRule="auto"/>
      </w:pPr>
      <w:r>
        <w:rPr>
          <w:sz w:val="19"/>
        </w:rPr>
      </w:r>
      <w:hyperlink r:id="rId26">
        <w:r>
          <w:rPr>
            <w:color w:val="000000"/>
            <w:u w:val="single"/>
          </w:rPr>
          <w:t>C04 MariApps Data Library</w:t>
        </w:r>
      </w:hyperlink>
      <w:r>
        <w:rPr>
          <w:sz w:val="19"/>
        </w:rPr>
        <w:t xml:space="preserve"> — B; teknik veri kütüphanesi, bayrak/tip kanıtı değil.</w:t>
      </w:r>
    </w:p>
    <w:p>
      <w:pPr>
        <w:widowControl/>
        <w:spacing w:after="80" w:line="240" w:lineRule="auto"/>
      </w:pPr>
      <w:r>
        <w:rPr>
          <w:sz w:val="19"/>
        </w:rPr>
      </w:r>
      <w:hyperlink r:id="rId27">
        <w:r>
          <w:rPr>
            <w:color w:val="000000"/>
            <w:u w:val="single"/>
          </w:rPr>
          <w:t>C05 DNV ShipManager</w:t>
        </w:r>
      </w:hyperlink>
      <w:r>
        <w:rPr>
          <w:sz w:val="19"/>
        </w:rPr>
        <w:t xml:space="preserve"> — B; yönetim ve migrasyon hizmeti.</w:t>
      </w:r>
    </w:p>
    <w:p>
      <w:pPr>
        <w:widowControl/>
        <w:spacing w:after="80" w:line="240" w:lineRule="auto"/>
      </w:pPr>
      <w:r>
        <w:rPr>
          <w:sz w:val="19"/>
        </w:rPr>
      </w:r>
      <w:hyperlink r:id="rId28">
        <w:r>
          <w:rPr>
            <w:color w:val="000000"/>
            <w:u w:val="single"/>
          </w:rPr>
          <w:t>C06 SpecTec AMOS X</w:t>
        </w:r>
      </w:hyperlink>
      <w:r>
        <w:rPr>
          <w:sz w:val="19"/>
        </w:rPr>
        <w:t xml:space="preserve"> — B; merkezi teknik yapı ve mobil iş akışı.</w:t>
      </w:r>
    </w:p>
    <w:p>
      <w:pPr>
        <w:widowControl/>
        <w:spacing w:after="80" w:line="240" w:lineRule="auto"/>
      </w:pPr>
      <w:r>
        <w:rPr>
          <w:sz w:val="19"/>
        </w:rPr>
      </w:r>
      <w:hyperlink r:id="rId29">
        <w:r>
          <w:rPr>
            <w:color w:val="000000"/>
            <w:u w:val="single"/>
          </w:rPr>
          <w:t>C07 SpecTec Data Migration Services</w:t>
        </w:r>
      </w:hyperlink>
      <w:r>
        <w:rPr>
          <w:sz w:val="19"/>
        </w:rPr>
        <w:t xml:space="preserve"> — B; AMOS veri taşıma hizmeti.</w:t>
      </w:r>
    </w:p>
    <w:p>
      <w:pPr>
        <w:pStyle w:val="Heading2"/>
        <w:widowControl/>
      </w:pPr>
      <w:r>
        <w:t>Kontrollü iç kaynaklar</w:t>
      </w:r>
    </w:p>
    <w:p>
      <w:pPr>
        <w:widowControl/>
      </w:pPr>
      <w:r>
        <w:t>14.02 SHA256 3b30f8e779890b3d4291fa41d4d55502dbd2c876894bc5e7f6dee7fe2f3e4018. Library v3 ve kanonik dosya aynı; değiştirilmedi. Mevcut master audit’i 14.01/14.02, 09.01/09.02, 13.06, 07.01/08.01 hücre ve paragraf izlerini içerir. Eski raporlar ve özgün teknik paket tarihsel kanıttır; yeni onay yerine kullanılmaz.</w:t>
      </w:r>
    </w:p>
    <w:p>
      <w:pPr>
        <w:widowControl/>
      </w:pPr>
      <w:r>
        <w:t>49.02 alan sözlüğü; 49.03 içinde özgün mevzuat/rakip araştırmaları, master audit’i, teknik ADR/schema/SYN kanıtı ve bağımsız uzlaştırma izi yer alır. Erişim kısıtlı UNECE vocabulary HTTP 403 yanıtı yeniden denenmedi; GISIS hesabı açılmadı veya tam export alınmadı. Ücretli erişim/hesap/veri çekimi izni bu tasarımın kapsamı dışındadır.</w:t>
      </w:r>
    </w:p>
    <w:sectPr w:rsidR="00FC693F" w:rsidRPr="0006063C" w:rsidSect="00034616">
      <w:footerReference w:type="default" r:id="rId9"/>
      <w:pgSz w:w="12240" w:h="15840"/>
      <w:pgMar w:top="936" w:right="1008" w:bottom="936" w:left="1008" w:header="360" w:footer="36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t xml:space="preserve">POSEIDON v46.3  |  49.01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Calibri" w:hAnsi="Calibri"/>
      <w:color w:val="000000"/>
      <w:sz w:val="22"/>
      <w:lang w:val="tr-TR"/>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120" w:line="240" w:lineRule="auto"/>
    </w:pPr>
    <w:rPr>
      <w:rFonts w:ascii="Calibri" w:hAnsi="Calibri"/>
      <w:color w:val="000000"/>
      <w:sz w:val="18"/>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20"/>
      <w:outlineLvl w:val="0"/>
    </w:pPr>
    <w:rPr>
      <w:rFonts w:ascii="Calibri" w:hAnsi="Calibri"/>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Calibri" w:hAnsi="Calibr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120"/>
      <w:outlineLvl w:val="2"/>
    </w:pPr>
    <w:rPr>
      <w:rFonts w:ascii="Calibri" w:hAnsi="Calibri"/>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20" w:line="240" w:lineRule="auto"/>
      <w:contextualSpacing/>
    </w:pPr>
    <w:rPr>
      <w:rFonts w:ascii="Calibri" w:hAnsi="Calibri"/>
      <w:b/>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20"/>
    </w:pPr>
    <w:rPr>
      <w:rFonts w:ascii="Calibri" w:hAnsi="Calibri"/>
      <w:i w:val="0"/>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20" w:line="259" w:lineRule="auto"/>
      <w:contextualSpacing/>
    </w:pPr>
    <w:rPr>
      <w:rFonts w:ascii="Calibri" w:hAnsi="Calibri"/>
      <w:color w:val="000000"/>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120" w:line="259" w:lineRule="auto"/>
      <w:contextualSpacing/>
    </w:pPr>
    <w:rPr>
      <w:rFonts w:ascii="Calibri" w:hAnsi="Calibri"/>
      <w:color w:val="000000"/>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49.02_POSEIDON_v46.3_Bayrak_Gemi_Tipi_Alan_ve_Katalog_Sozlugu_Onerisi_TR.xlsx" TargetMode="External"/><Relationship Id="rId11" Type="http://schemas.openxmlformats.org/officeDocument/2006/relationships/hyperlink" Target="https://www.imo.org/en/ourwork/legal/pages/registration-of-ships.aspx" TargetMode="External"/><Relationship Id="rId12" Type="http://schemas.openxmlformats.org/officeDocument/2006/relationships/hyperlink" Target="https://www.iso.org/iso-3166-country-codes.html" TargetMode="External"/><Relationship Id="rId13" Type="http://schemas.openxmlformats.org/officeDocument/2006/relationships/hyperlink" Target="https://www.itu.int/dms_pubrec/itu-r/rec/m/R-REC-M.1371-6-202602-I%21%21PDF-E.pdf" TargetMode="External"/><Relationship Id="rId14" Type="http://schemas.openxmlformats.org/officeDocument/2006/relationships/hyperlink" Target="https://www.itu.int/rec/r-rec-m.1371/_page.print" TargetMode="External"/><Relationship Id="rId15" Type="http://schemas.openxmlformats.org/officeDocument/2006/relationships/hyperlink" Target="https://denizcilik.uab.gov.tr/media/denizcilik/dsfhl5xt/gemi-sicili-icin-gemi-cinsleri-tanimlamalari-08-2026.pdf" TargetMode="External"/><Relationship Id="rId16" Type="http://schemas.openxmlformats.org/officeDocument/2006/relationships/hyperlink" Target="https://www.imo.org/en/ourwork/iiis/pages/imo-identification-number-schemes.aspx" TargetMode="External"/><Relationship Id="rId17" Type="http://schemas.openxmlformats.org/officeDocument/2006/relationships/hyperlink" Target="https://wwwcdn.imo.org/localresources/en/OurWork/IIIS/Documents/IMO%20Ship%20Number%20%26%20Extension%20FAQs.pdf" TargetMode="External"/><Relationship Id="rId18" Type="http://schemas.openxmlformats.org/officeDocument/2006/relationships/hyperlink" Target="https://www.imo.org/en/about/conventions/pages/international-convention-for-the-safety-of-life-at-sea-%28solas%29%2C-1974.aspx" TargetMode="External"/><Relationship Id="rId19" Type="http://schemas.openxmlformats.org/officeDocument/2006/relationships/hyperlink" Target="https://www.imo.org/en/ourwork/safety/pages/ais.aspx" TargetMode="External"/><Relationship Id="rId20" Type="http://schemas.openxmlformats.org/officeDocument/2006/relationships/hyperlink" Target="https://tc.canada.ca/en/marine-transportation/marine-safety/international-safety-management-ism-code" TargetMode="External"/><Relationship Id="rId21" Type="http://schemas.openxmlformats.org/officeDocument/2006/relationships/hyperlink" Target="https://www.imo.org/en/mediacentre/hottopics/pages/eexi-cii-faq.aspx" TargetMode="External"/><Relationship Id="rId22" Type="http://schemas.openxmlformats.org/officeDocument/2006/relationships/hyperlink" Target="https://denizcilik.uab.gov.tr/mevzuat/denizcilik-mevzuati/yonetmelik/" TargetMode="External"/><Relationship Id="rId23" Type="http://schemas.openxmlformats.org/officeDocument/2006/relationships/hyperlink" Target="https://cloud.bassnet.no/HRConnect/WebHelp/HR_Manager/Site/Particulars/Vessel_Particulars.htm" TargetMode="External"/><Relationship Id="rId24" Type="http://schemas.openxmlformats.org/officeDocument/2006/relationships/hyperlink" Target="https://cloud.bassnet.no/CRM/WebHelp/Administration/Register_Setup/Vessel_Type.htm" TargetMode="External"/><Relationship Id="rId25" Type="http://schemas.openxmlformats.org/officeDocument/2006/relationships/hyperlink" Target="https://www.mariapps.com/mdm/" TargetMode="External"/><Relationship Id="rId26" Type="http://schemas.openxmlformats.org/officeDocument/2006/relationships/hyperlink" Target="https://www.mariapps.com/smartpal/data-library/" TargetMode="External"/><Relationship Id="rId27" Type="http://schemas.openxmlformats.org/officeDocument/2006/relationships/hyperlink" Target="https://www.dnv.com/services/marine-fleet-management-software-and-ship-management-systems-shipmanager-114260/" TargetMode="External"/><Relationship Id="rId28" Type="http://schemas.openxmlformats.org/officeDocument/2006/relationships/hyperlink" Target="https://spectec.net/amos-x/" TargetMode="External"/><Relationship Id="rId29" Type="http://schemas.openxmlformats.org/officeDocument/2006/relationships/hyperlink" Target="https://spectec.net/service/database-migration-services/" TargetMode="External"/><Relationship Id="rId30" Type="http://schemas.openxmlformats.org/officeDocument/2006/relationships/hyperlink" Target="https://unece.org/code-list-recommendations" TargetMode="External"/><Relationship Id="rId31" Type="http://schemas.openxmlformats.org/officeDocument/2006/relationships/hyperlink" Target="https://emswe-db-sig.emsa.europa.eu/" TargetMode="External"/><Relationship Id="rId32" Type="http://schemas.openxmlformats.org/officeDocument/2006/relationships/hyperlink" Target="https://www.imo.org/en/ourwork/facilitation/pages/imocompendium.aspx" TargetMode="External"/><Relationship Id="rId33" Type="http://schemas.openxmlformats.org/officeDocument/2006/relationships/hyperlink" Target="https://github.com/emgt41/Poseidon/commit/dd504631b8df6c3061953444295353ae53041afc" TargetMode="External"/><Relationship Id="rId34" Type="http://schemas.openxmlformats.org/officeDocument/2006/relationships/hyperlink" Target="../90_SOURCE_RESEARCH/49.03_POSEIDON_v46.3_Bayrak_Gemi_Tipi_Standardizasyon_Arastirma_Kanitlari_2026-10-29.zi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POSEIDON Bayrak ve Gemi Tipi Standardizasyon Tasarımı</dc:title>
  <dc:subject>Kontrollü katalog ve uygulanabilirlik ayrımı için uygulama öncesi tasarım önerisi</dc:subject>
  <dc:creator>POSEIDON</dc:creator>
  <cp:keywords>POSEIDON, 49.01, PROPOSAL, Bayrak, Gemi Tipi, Katalog</cp:keywords>
  <dc:description>generated by python-docx</dc:description>
  <cp:lastModifiedBy/>
  <cp:revision>1</cp:revision>
  <dcterms:created xsi:type="dcterms:W3CDTF">2013-12-23T23:15:00Z</dcterms:created>
  <dcterms:modified xsi:type="dcterms:W3CDTF">2013-12-23T23:15:00Z</dcterms:modified>
  <cp:category/>
</cp:coreProperties>
</file>