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kısmi envanter tarama ve sayfalama doğrulama raporu</w:t>
      </w:r>
    </w:p>
    <w:p>
      <w:pPr>
        <w:widowControl/>
      </w:pPr>
      <w:r>
        <w:t>Core v0.1  |  Doküman 31.01  |  27 Ekim 2026</w:t>
      </w:r>
    </w:p>
    <w:p>
      <w:pPr>
        <w:widowControl/>
      </w:pPr>
      <w:r>
        <w:rPr>
          <w:b/>
        </w:rPr>
        <w:t>Sonuç:</w:t>
      </w:r>
      <w:r>
        <w:t xml:space="preserve"> Kısmi envanter tarama diliminde üretici testleri 103/103 backend, 53/53 frontend, 6/6 responsive ve TR/EN BFF tarayıcı koşusu için PASS verdi; 0 FAIL ve 0 SKIP bildirildi. Bağımsız kaynak ve kanıt incelemesinde somut P1/P2 veya kapsam sızıntısı engeli bulunmadı. Bu sonuç tam Envanter modülünün tamamlandığı veya Esra tarafından kabul edildiği anlamına gelmez.</w:t>
      </w:r>
    </w:p>
    <w:p>
      <w:pPr>
        <w:widowControl/>
      </w:pPr>
      <w:r>
        <w:t>Bu rapor, Gemi/Römorkör Envanteri geliştirmesindeki arama, filtre, cursor sayfalama ve sertifika taslağı için gemi seçici iyileştirmesini kaydeder. Kullanıcı kabulü ESRA_PENDING durumundadır; özel kullanıcı test erişimi hazır değildir. BFF sunucu ve arayüz kapıları varsayılan kapalı kalır. Gerçek IdP, native TLS, üretim kurulumu ve saha kabulü açık kapılardır.</w:t>
      </w:r>
    </w:p>
    <w:p>
      <w:pPr>
        <w:pStyle w:val="Heading1"/>
        <w:widowControl/>
      </w:pPr>
      <w:r>
        <w:t>1 Kaynak ve yayımlanan revizyon</w:t>
      </w:r>
    </w:p>
    <w:p>
      <w:pPr>
        <w:widowControl/>
      </w:pPr>
      <w:r>
        <w:t>Test edilen çalışma ağacı, aşağıdaki temel commit üzerine inventory-browsing.patch uygulanmış kaynaktır. Temel commit tek başına bu yeni dilimi içermez. Üretici, önceki 62 dosyalı tabanı byte düzeyinde doğruladı; yeni anlık görüntü 67 kaynak dosyası içerir.</w:t>
      </w:r>
    </w:p>
    <w:p>
      <w:pPr>
        <w:widowControl/>
      </w:pPr>
      <w:r>
        <w:t>Temel commit</w:t>
        <w:br/>
        <w:t>d0640b270c81f1db4e190c6f1c090794e08f51ab</w:t>
      </w:r>
    </w:p>
    <w:p>
      <w:pPr>
        <w:widowControl/>
      </w:pPr>
      <w:r>
        <w:t>Yama SHA256</w:t>
        <w:br/>
        <w:t>ab6e01ab180401c2a262b15f47a1808a7cdf4818793786529033b6afb008d585</w:t>
      </w:r>
    </w:p>
    <w:p>
      <w:pPr>
        <w:widowControl/>
      </w:pPr>
      <w:r>
        <w:t>Kullanıcının açık doğrudan main yayını onayı sonrasında aynı test edilmiş kaynak emgt41/Poseidon özel deposunun main dalına yayımlandı. Yayımlanan kaynak, test anlık görüntüsüyle byte düzeyinde aynı olarak doğrulandı. Bu eşleşme yayın sonrası test koşusu değildir; commit sonrasında runtime testleri yeniden çalıştırılmadı ve deployment yapılmadı.</w:t>
      </w:r>
    </w:p>
    <w:p>
      <w:pPr>
        <w:widowControl/>
      </w:pPr>
      <w:r>
        <w:t>Yayımlanan main commit</w:t>
        <w:br/>
        <w:t>008b6105b1d964373bd7a92ee032b51b4a7ae00f</w:t>
      </w:r>
    </w:p>
    <w:p>
      <w:pPr>
        <w:widowControl/>
      </w:pPr>
      <w:r>
        <w:t>Yayımlanan tree</w:t>
        <w:br/>
        <w:t>df4d108cd52763ca899d7e0969b3ce8570d3d20c</w:t>
      </w:r>
    </w:p>
    <w:p>
      <w:pPr>
        <w:widowControl/>
      </w:pPr>
      <w:r>
        <w:t>31.02 içindeki local_commit_created=false, remote_writes=false ve temel HEAD kayıtları üretici test aşamasına aittir. Sonraki onaylı depo yayını bu bölümde ayrı kaydedilir; kanıt arşivi geriye dönük değiştirilmez. Bulut geliştirme/test içindir; kurum içi/self-hosted ürün hedefi değişmez.</w:t>
      </w:r>
    </w:p>
    <w:p>
      <w:pPr>
        <w:pStyle w:val="Heading1"/>
        <w:widowControl/>
      </w:pPr>
      <w:r>
        <w:t>2 Son test sonuçları ve kanıt kapsamı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72"/>
        <w:gridCol w:w="5976"/>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1872"/>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c>
          <w:tcPr>
            <w:tcW w:type="dxa" w:w="5976"/>
            <w:vAlign w:val="center"/>
            <w:shd w:fill="E8EDF2"/>
            <w:tcMar>
              <w:top w:w="90" w:type="dxa"/>
              <w:bottom w:w="90" w:type="dxa"/>
              <w:left w:w="90" w:type="dxa"/>
              <w:right w:w="90" w:type="dxa"/>
            </w:tcMar>
          </w:tcPr>
          <w:p>
            <w:pPr>
              <w:widowControl/>
              <w:spacing w:after="40" w:line="247" w:lineRule="auto"/>
            </w:pPr>
            <w:r>
              <w:rPr>
                <w:rFonts w:ascii="Calibri" w:hAnsi="Calibri"/>
                <w:b/>
                <w:sz w:val="20"/>
              </w:rPr>
              <w:t>Kanıtın sınırı</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Backend</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103 PASS</w:t>
              <w:br/>
              <w:t>0 FAIL / 0 SKIP</w:t>
            </w:r>
          </w:p>
        </w:tc>
        <w:tc>
          <w:tcPr>
            <w:tcW w:type="dxa" w:w="59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92 korunmuş, yeni 11 test eklenmiş. Gerçek PostgreSQL testleri dahildir.</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Frontend</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53 PASS</w:t>
              <w:br/>
              <w:t>0 FAIL / 0 SKIP</w:t>
            </w:r>
          </w:p>
        </w:tc>
        <w:tc>
          <w:tcPr>
            <w:tcW w:type="dxa" w:w="59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Önceki 47 korunmuş, yeni 6 test eklenmiş. Etkileşim testleri jsdom/mock transport kullanır.</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Restore ve backend build</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59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Locked restore; backend 0 uyarı ve 0 hata.</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Frontend typecheck ve build</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59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Varsayılan ve BFF build ayrı ayrı PASS.</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Responsive matris</w:t>
            </w:r>
          </w:p>
        </w:tc>
        <w:tc>
          <w:tcPr>
            <w:tcW w:type="dxa" w:w="18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59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390×844, 768×1024 ve 1440×900; her biri TR/EN. Sentetik Development yolu; taslak POST 0.</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BFF Chromium akışı</w:t>
            </w:r>
          </w:p>
        </w:tc>
        <w:tc>
          <w:tcPr>
            <w:tcW w:type="dxa" w:w="18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TR / EN PASS</w:t>
            </w:r>
          </w:p>
        </w:tc>
        <w:tc>
          <w:tcPr>
            <w:tcW w:type="dxa" w:w="59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Chromium, derlenmiş React, ASP.NET handler ve PostgreSQL; process-only IdP fixture ve Playwright TestServer relay.</w:t>
            </w:r>
          </w:p>
        </w:tc>
      </w:tr>
    </w:tbl>
    <w:p>
      <w:pPr>
        <w:widowControl/>
        <w:spacing w:line="240" w:lineRule="auto" w:after="80"/>
      </w:pPr>
      <w:r>
        <w:rPr>
          <w:sz w:val="2"/>
        </w:rPr>
        <w:t xml:space="preserve"> </w:t>
      </w:r>
    </w:p>
    <w:p>
      <w:pPr>
        <w:widowControl/>
      </w:pPr>
      <w:r>
        <w:t>Sayılar backend-tests.json, frontend-tests.json, responsive-browser.json ve bff-browser.json ile result.json kayıtlarından alınır. Test katmanları üst üste toplanarak ayrı bir toplam test sayısı üretilmez. Bu raporun hazırlanmasında veya bağımsız kaynak incelemesinde runtime testleri yeniden çalıştırılmadı.</w:t>
      </w:r>
    </w:p>
    <w:p>
      <w:pPr>
        <w:pStyle w:val="Heading2"/>
        <w:widowControl/>
      </w:pPr>
      <w:r>
        <w:t>PostgreSQL ile UI fixture ayrımı</w:t>
      </w:r>
    </w:p>
    <w:p>
      <w:pPr>
        <w:widowControl/>
      </w:pPr>
      <w:r>
        <w:t>Yeni PostgreSQL testi 626 yetkili kaydı sayfalar. Değişmeyen veri kümesinde 626 benzersiz sonuç; foreign tenant/company/owner dışlama, explicit grant, literal wildcard, ASCII locale, input/cursor sınırları ile insert/update sırasında sayfalamanın sınırları test edilir.</w:t>
      </w:r>
    </w:p>
    <w:p>
      <w:pPr>
        <w:widowControl/>
      </w:pPr>
      <w:r>
        <w:t>Frontend fixture’ı 625 kaydı temsil eder. İlk sayfa dışındaki ve eski 500 sınırının ötesindeki 550 ve 625 numaralı kayıtların sertifika taslağı için seçimi; arama sonrası seçimin korunması, dirty cancel, geç yanıt ve session invalidation kontrol edilir. Bu 625 kayıtlı test jsdom/mock transport’tur. Gerçek tarayıcıda 625 kayıt veya büyük ölçekli PostgreSQL performans kabulü olarak sunulmaz.</w:t>
      </w:r>
    </w:p>
    <w:p>
      <w:pPr>
        <w:pStyle w:val="Heading2"/>
        <w:widowControl/>
      </w:pPr>
      <w:r>
        <w:t>BFF taşımasının sınırı</w:t>
      </w:r>
    </w:p>
    <w:p>
      <w:pPr>
        <w:widowControl/>
      </w:pPr>
      <w:r>
        <w:t>Chromium 154.0.8037.57 ile her dilde 2 başarılı taslak POST, expiry sonrası 1 red, 0 otomatik retry ve 2 giriş kaydedildi. Sertifika seçimi yeni sunucu gemi aramasını kullanır. ASP.NET handler ve PostgreSQL gerçektir; IdP process-only fixture’dır. HTTPS istekleri ve redirect Playwright ile TestServer köprüsünden geçirilir. Native TLS, gerçek ağ redirect zinciri, production proxy ve canlı IdP doğrulaması NOT_RUN’dır. Altı responsive koşu, BFF için altı viewport kabulü değildir.</w:t>
      </w:r>
    </w:p>
    <w:p>
      <w:pPr>
        <w:pStyle w:val="Heading1"/>
        <w:widowControl/>
      </w:pPr>
      <w:r>
        <w:t>3 Yeni sorgu ve sayfalama sözleşmesi</w:t>
      </w:r>
    </w:p>
    <w:p>
      <w:pPr>
        <w:widowControl/>
      </w:pPr>
      <w:r>
        <w:t>ADR INVENTORY-001, devredilmiş olağan ürün/mühendislik yetkisiyle alınmış yeni uygulama kararıdır. Kanonik 15.01 cursor ve stable sort, 16.01 ise optional cursor ile items/nextCursor tarif eder. q, filtre, pageSize ve hasMore ayrıntıları eski kanonik onay gibi sunulmaz. Her iki gemi listesi, /api/v1/vessels ve /bff/api/v1/vessels, aynı sorgu davranışını kullanır.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shd w:fill="E8EDF2"/>
            <w:tcMar>
              <w:top w:w="90" w:type="dxa"/>
              <w:bottom w:w="90" w:type="dxa"/>
              <w:left w:w="90" w:type="dxa"/>
              <w:right w:w="90" w:type="dxa"/>
            </w:tcMar>
          </w:tcPr>
          <w:p>
            <w:pPr>
              <w:widowControl/>
              <w:spacing w:after="40" w:line="247" w:lineRule="auto"/>
            </w:pPr>
            <w:r>
              <w:rPr>
                <w:rFonts w:ascii="Calibri" w:hAnsi="Calibri"/>
                <w:b/>
                <w:sz w:val="20"/>
              </w:rPr>
              <w:t>Parametre</w:t>
            </w:r>
          </w:p>
        </w:tc>
        <w:tc>
          <w:tcPr>
            <w:tcW w:type="dxa" w:w="8280"/>
            <w:vAlign w:val="center"/>
            <w:shd w:fill="E8EDF2"/>
            <w:tcMar>
              <w:top w:w="90" w:type="dxa"/>
              <w:bottom w:w="90" w:type="dxa"/>
              <w:left w:w="90" w:type="dxa"/>
              <w:right w:w="90" w:type="dxa"/>
            </w:tcMar>
          </w:tcPr>
          <w:p>
            <w:pPr>
              <w:widowControl/>
              <w:spacing w:after="40" w:line="247" w:lineRule="auto"/>
            </w:pPr>
            <w:r>
              <w:rPr>
                <w:rFonts w:ascii="Calibri" w:hAnsi="Calibri"/>
                <w:b/>
                <w:sz w:val="20"/>
              </w:rPr>
              <w:t>Uygulanan kural</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q</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Trim sonrası en çok 100 UTF-16 karakter. name, imo_no veya official_no içinde literal alt dize araması. Trim öncesi en çok 200 karakter.</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flag ve vessel_type</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Trim sonrası en çok 200, öncesinde en çok 400 karakter. Mevcut metin değerinde tam ve büyük/küçük harfe duyarlı eşleşme; yeni enum veya katalog yok.</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pageSize</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Varsayılan 50; 1–100 arasında tam sayı. Her sayfa pageSize+1 çekilerek devam bilgisi üretilir.</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cursor</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İsteğe bağlı opaque continuation; en çok 512 karakter. Sorgu ve güncel yetki kapsamına bağlıdır; kimlik veya yetki belgesi değildir.</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Yanıt ve sıra</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PostgreSQL UUID artan sıra; {items,nextCursor,hasMore}. Son sayfa null/false, boş sayfa []/null/false. Toplam kayıt sayısı hesaplanmaz.</w:t>
            </w:r>
          </w:p>
        </w:tc>
      </w:tr>
    </w:tbl>
    <w:p>
      <w:pPr>
        <w:widowControl/>
        <w:spacing w:line="240" w:lineRule="auto" w:after="80"/>
      </w:pPr>
      <w:r>
        <w:rPr>
          <w:sz w:val="2"/>
        </w:rPr>
        <w:t xml:space="preserve"> </w:t>
      </w:r>
    </w:p>
    <w:p>
      <w:pPr>
        <w:widowControl/>
      </w:pPr>
      <w:r>
        <w:t>Bilinmeyen veya yinelenen parametre, kontrol karakteri, geçersiz pageSize veya cursor için 400 döner. Trim sonrası boş arama/filtre, filtre yok anlamındadır; aşırı uzun padding reddedilir. Yüzde, alt çizgi ve ters eğik çizgi wildcard değil literal karakterdir. SQL parametreleri ve escape kullanılır.</w:t>
      </w:r>
    </w:p>
    <w:p>
      <w:pPr>
        <w:pStyle w:val="Heading2"/>
        <w:widowControl/>
      </w:pPr>
      <w:r>
        <w:t>Dil davranışı</w:t>
      </w:r>
    </w:p>
    <w:p>
      <w:pPr>
        <w:widowControl/>
      </w:pPr>
      <w:r>
        <w:t>q yalnız ASCII A–Z harflerini a–z biçimine katlar ve PostgreSQL C collation ile eşleştirir. ISTANBUL, istanbul ile eşleşir; İSTANBUL ile eşleşmez. Türkçe dilbilimsel collation, aksan duyarsızlığı veya tüm Unicode için case-insensitive arama yoktur. Arayüz dilini TR veya EN seçmek sorgu sonucunu değiştirmez. Bayrak ve tip filtresi tam ve harfe duyarlı metin eşleşmesidir.</w:t>
      </w:r>
    </w:p>
    <w:p>
      <w:pPr>
        <w:pStyle w:val="Heading2"/>
        <w:widowControl/>
      </w:pPr>
      <w:r>
        <w:t>Cursor ve yetki sınırı</w:t>
      </w:r>
    </w:p>
    <w:p>
      <w:pPr>
        <w:widowControl/>
      </w:pPr>
      <w:r>
        <w:t>Cursor; version, after ve query-scope digest taşır. Normalize arama, filtreler, pageSize, subject/tenant/company veya güncel gemi grant kümesi uyuşmazsa 400 döner. Cursor imzalı ya da şifreli bir yetki belgesi değildir. Cursor’ın yeniden üretilebilmesi veya sayfa konumunun seçilmesi erişim hakkı kazandırmaz.</w:t>
      </w:r>
    </w:p>
    <w:p>
      <w:pPr>
        <w:widowControl/>
      </w:pPr>
      <w:r>
        <w:t>Her sayfada sunucu scope’u ve creator-or-explicit-vessel-grant SQL koşulları yeniden uygulanır. Tenant/company istemci sorgu parametresi değildir. Mevcut bearer sınırı, BFF cookie policy, CSRF ve scope önkoşulları korunur. Şirketin bütün gemilerine yeni genel görünürlük, raw actor projection veya geçmiş okuma API’si eklenmedi.</w:t>
      </w:r>
    </w:p>
    <w:p>
      <w:pPr>
        <w:pStyle w:val="Heading1"/>
        <w:widowControl/>
      </w:pPr>
      <w:r>
        <w:t>4 Uyumluluk değişikliği ve veri hareketi</w:t>
      </w:r>
    </w:p>
    <w:p>
      <w:pPr>
        <w:widowControl/>
      </w:pPr>
      <w:r>
        <w:rPr>
          <w:b/>
        </w:rPr>
        <w:t>Önemli uyumluluk değişikliği:</w:t>
      </w:r>
      <w:r>
        <w:t xml:space="preserve"> Parametresiz vessel liste çağrısı önceden ilk 500 kaydı döndürürken artık ilk 50 kaydı döndürür. items alanı korunur; nextCursor devam alanıdır ve hasMore yeni yanıt uzantısıdır. Depo içindeki gemi tüketicileri continuation kullanacak şekilde uyarlandı. Dış istemci tek yanıtı tam envanter olarak kabul etmemeli, devam sayfalarını işlemelidir.</w:t>
      </w:r>
    </w:p>
    <w:p>
      <w:pPr>
        <w:widowControl/>
      </w:pPr>
      <w:r>
        <w:t>Sertifika liste API’si bu dilimde eski 500 kayıt sınırını ve mevcut davranışını korur. Sertifika taslağındaki gemi seçicinin sayfalanması, sertifika listesinin sayfalama desteği aldığı veya tam Sertifika modülünün bittiği anlamına gelmez.</w:t>
      </w:r>
    </w:p>
    <w:p>
      <w:pPr>
        <w:widowControl/>
      </w:pPr>
      <w:r>
        <w:t>Cursor snapshot değildir. Değişmeyen veri kümesindeki devam sayfaları eksik veya tekrar üretmeden ilerler. Cursor öncesine eklenen UUID mevcut devamda görünmez; ilk sayfadan yenilendiğinde görünür. Kayıt güncellemesi filtre üyeliğini değiştirebilir. UUID aynı kaldıkça sıra değişmez; kullanıcı sayfalar arasında tek bir zamana ait tutarlılık varsaymamalıdır.</w:t>
      </w:r>
    </w:p>
    <w:p>
      <w:pPr>
        <w:widowControl/>
      </w:pPr>
      <w:r>
        <w:t>Yeni şema veya migration eklenmedi. Mevcut tenant/id primary key keyset kullanımını destekler; contains araması büyük tenant’larda tarama gerektirebilir. 626 kayıtlı işlev testi üretim kapasitesi benchmark’ı değildir. Büyük ölçekli sorgu performansı ve üretim indeks planı NOT_RUN olarak kalır.</w:t>
      </w:r>
    </w:p>
    <w:p>
      <w:pPr>
        <w:pStyle w:val="Heading1"/>
        <w:widowControl/>
      </w:pPr>
      <w:r>
        <w:t>5 Arayüz davranışı ve korunan kayıt sözleşmesi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E8EDF2"/>
            <w:tcMar>
              <w:top w:w="90" w:type="dxa"/>
              <w:bottom w:w="90" w:type="dxa"/>
              <w:left w:w="90" w:type="dxa"/>
              <w:right w:w="90" w:type="dxa"/>
            </w:tcMar>
          </w:tcPr>
          <w:p>
            <w:pPr>
              <w:widowControl/>
              <w:spacing w:after="40" w:line="247" w:lineRule="auto"/>
            </w:pPr>
            <w:r>
              <w:rPr>
                <w:rFonts w:ascii="Calibri" w:hAnsi="Calibri"/>
                <w:b/>
                <w:sz w:val="20"/>
              </w:rPr>
              <w:t>Akış</w:t>
            </w:r>
          </w:p>
        </w:tc>
        <w:tc>
          <w:tcPr>
            <w:tcW w:type="dxa" w:w="7992"/>
            <w:vAlign w:val="center"/>
            <w:shd w:fill="E8EDF2"/>
            <w:tcMar>
              <w:top w:w="90" w:type="dxa"/>
              <w:bottom w:w="90" w:type="dxa"/>
              <w:left w:w="90" w:type="dxa"/>
              <w:right w:w="90" w:type="dxa"/>
            </w:tcMar>
          </w:tcPr>
          <w:p>
            <w:pPr>
              <w:widowControl/>
              <w:spacing w:after="40" w:line="247" w:lineRule="auto"/>
            </w:pPr>
            <w:r>
              <w:rPr>
                <w:rFonts w:ascii="Calibri" w:hAnsi="Calibri"/>
                <w:b/>
                <w:sz w:val="20"/>
              </w:rPr>
              <w:t>Uygulanan davranış</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Envanter listesi</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Ara/filtrele, Filtreleri temizle, İlk/Sonraki sayfa ve Yenile. Uygulanan arama veya filtre değişince cursor sıfırlanır. Gösterilen sayı yalnız yüklenen sayfanın kayıt sayısıdır.</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Sertifika için gemi seçimi</w:t>
            </w:r>
          </w:p>
        </w:tc>
        <w:tc>
          <w:tcPr>
            <w:tcW w:type="dxa" w:w="79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Bağımsız sunucu araması ve daha fazla gemi yükleme. Otomatik ilk seçim yapılmaz; seçili gemi yeni sonuçta bulunmasa da seçim ve yazılmış alanlar korunur.</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Geç yanıt ve oturum</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Fetch abort ile bağımsız request sequence denetimleri eski cevapları bastırır. Abort’u dikkate almayan transport da test edilir; liste, seçici ve oturum değişimlerinde eski sonuç yeni duruma yazılmaz.</w:t>
            </w:r>
          </w:p>
        </w:tc>
      </w:tr>
      <w:tr>
        <w:trPr>
          <w:cantSplit/>
        </w:trPr>
        <w:tc>
          <w:tcPr>
            <w:tcW w:type="dxa" w:w="22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Düzenleme ve listeye dönüş</w:t>
            </w:r>
          </w:p>
        </w:tc>
        <w:tc>
          <w:tcPr>
            <w:tcW w:type="dxa" w:w="79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Dirty-edit terk onayı korunur. Kaydetme sonrası liste sunucudan yeniden yüklenir; yerel prepend sayfalama sonucu gibi kullanılmaz.</w:t>
            </w:r>
          </w:p>
        </w:tc>
      </w:tr>
      <w:tr>
        <w:trPr>
          <w:cantSplit/>
        </w:trPr>
        <w:tc>
          <w:tcPr>
            <w:tcW w:type="dxa" w:w="22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Yazma sözleşmesi</w:t>
            </w:r>
          </w:p>
        </w:tc>
        <w:tc>
          <w:tcPr>
            <w:tcW w:type="dxa" w:w="79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Eksik DRAFT metadata, optional IMO, replacement update, If-Match, idempotency, atomik audit ve sunucu erişim denetimleri korunur.</w:t>
            </w:r>
          </w:p>
        </w:tc>
      </w:tr>
    </w:tbl>
    <w:p>
      <w:pPr>
        <w:widowControl/>
        <w:spacing w:line="240" w:lineRule="auto" w:after="80"/>
      </w:pPr>
      <w:r>
        <w:rPr>
          <w:sz w:val="2"/>
        </w:rPr>
        <w:t xml:space="preserve"> </w:t>
      </w:r>
    </w:p>
    <w:p>
      <w:pPr>
        <w:widowControl/>
      </w:pPr>
      <w:r>
        <w:t>VesselWrite’ın tam root yazımındaki company_id/name/flag/vessel_type zorunluluğu, eksik metadata içerebilen DRAFT kaydına taşınmadı. IMO römorkör için evrensel zorunlu alan yapılmadı. Altı root alan ve belgelenmiş notes uzantısı değişmedi; 27 ekran alanı tek bir root modele kopyalanmadı. UI state etiketlerinden lifecycle enum türetilmedi; flag bir state-machine alanına çevrilmedi.</w:t>
      </w:r>
    </w:p>
    <w:p>
      <w:pPr>
        <w:widowControl/>
      </w:pPr>
      <w:r>
        <w:t>History-read, activate, delete, lifecycle status enum, şirket çapında yeni entitlement veya sertifika geçerli/geçersiz/operasyona hazır kararı yoktur. Mevcut BFF hesap değiştirme/logout ve yetki regresyonları korunur. Bu dilim kalıcı tarayıcı offline, sync veya tam ürün operasyonel hazırlık kanıtı değildir.</w:t>
      </w:r>
    </w:p>
    <w:p>
      <w:pPr>
        <w:pStyle w:val="Heading1"/>
        <w:widowControl/>
      </w:pPr>
      <w:r>
        <w:t>6 Ara başarısızlıklar ve son koşunun yorumu</w:t>
      </w:r>
    </w:p>
    <w:p>
      <w:pPr>
        <w:widowControl/>
      </w:pPr>
      <w:r>
        <w:t>Üretici ilk testte durmuş PostgreSQL nedeniyle bağlantı hataları kaydetti; aynı socket ve port ile servis yeniden başlatıldı. Sonraki tam suite, fixture DDL hazırlığının eşzamanlı yürütülmesinde XX000 tuple concurrently updated üretti. PostgreSQL kullanan test sınıfları aynı xUnit collection’a alınarak fixture hazırlığı sıralandı. Gerçek eşzamanlı istemci transaction testleri Task.WhenAll ile korundu.</w:t>
      </w:r>
    </w:p>
    <w:p>
      <w:pPr>
        <w:widowControl/>
      </w:pPr>
      <w:r>
        <w:t>Tarayıcı testinde native option için görünürlük beklemesi attached kontrolüne düzeltildi. Ara başarısızlıklar üretici raporunda belirtilir; son belgelenmiş tam koşu Bölüm 2’deki PASS sonuçlarını verir. Bu rapor o ara koşuları yeniden çalıştırmış veya bağımsız runtime tekrarını yapmış değildir.</w:t>
      </w:r>
    </w:p>
    <w:p>
      <w:pPr>
        <w:pStyle w:val="Heading1"/>
        <w:widowControl/>
      </w:pPr>
      <w:r>
        <w:t>7 Bağımsız kaynak ve kanıt incelemesi</w:t>
      </w:r>
    </w:p>
    <w:p>
      <w:pPr>
        <w:widowControl/>
      </w:pPr>
      <w:r>
        <w:t>Bağımsız inceleme, 67 kaynak dosyasının SHA256 ve uzunluklarını, tam dosya envanterini, ZIP ve yama hash’lerini ve ters yama uygulanabilirliğini doğruladı. Query/reset/stale-response korumaları, 500 sınırının ötesinde seçici arama ve sayfalama ile dirty-edit retention incelendi. Somut P1/P2 veya kapsam sızıntısı engeli bulunmadı.</w:t>
      </w:r>
    </w:p>
    <w:p>
      <w:pPr>
        <w:widowControl/>
      </w:pPr>
      <w:r>
        <w:t>Bu inceleme statik kaynak ve kanıt bütünlüğü incelemesidir. Yerel runtime testleri yeniden çalıştırılmadı; raporlanan çalışma zamanı sonuçları üreticiye aittir. İnceleme Esra UAT’si, bağımsız penetrasyon testi, imzalı güvenlik kabulü, bayrak/klas kararı veya production GO değildir.</w:t>
      </w:r>
    </w:p>
    <w:p>
      <w:pPr>
        <w:pStyle w:val="Heading1"/>
        <w:widowControl/>
      </w:pPr>
      <w:r>
        <w:t>8 Açık kullanıcı testi ve yayın kapıları</w:t>
      </w:r>
    </w:p>
    <w:p>
      <w:pPr>
        <w:widowControl/>
      </w:pPr>
      <w:r>
        <w:t>Esra kullanıcı kabulü BEKLİYOR. Özel tarayıcı test erişimi hazır değildir; bu teslim public test URL’si, gerçek hesap, canlı IdP, credential, hosting veya deployment oluşturmaz. Test yalnız sentetik veriyle güvenli Development kurulumunda ya da ayrıca kurulmuş ve yetkilendirilmiş kurum ortamında yürütülmelidir. Erişim, talimat, sürüm ve test verisi hazır olduğunda Esra’nın açık kararı ayrıca kaydedilir.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E8EDF2"/>
            <w:tcMar>
              <w:top w:w="90" w:type="dxa"/>
              <w:bottom w:w="90" w:type="dxa"/>
              <w:left w:w="90" w:type="dxa"/>
              <w:right w:w="90" w:type="dxa"/>
            </w:tcMar>
          </w:tcPr>
          <w:p>
            <w:pPr>
              <w:widowControl/>
              <w:spacing w:after="40" w:line="247" w:lineRule="auto"/>
            </w:pPr>
            <w:r>
              <w:rPr>
                <w:rFonts w:ascii="Calibri" w:hAnsi="Calibri"/>
                <w:b/>
                <w:sz w:val="20"/>
              </w:rPr>
              <w:t>Bekleyen kontrol</w:t>
            </w:r>
          </w:p>
        </w:tc>
        <w:tc>
          <w:tcPr>
            <w:tcW w:type="dxa" w:w="7920"/>
            <w:vAlign w:val="center"/>
            <w:shd w:fill="E8EDF2"/>
            <w:tcMar>
              <w:top w:w="90" w:type="dxa"/>
              <w:bottom w:w="90" w:type="dxa"/>
              <w:left w:w="90" w:type="dxa"/>
              <w:right w:w="90" w:type="dxa"/>
            </w:tcMar>
          </w:tcPr>
          <w:p>
            <w:pPr>
              <w:widowControl/>
              <w:spacing w:after="40" w:line="247" w:lineRule="auto"/>
            </w:pPr>
            <w:r>
              <w:rPr>
                <w:rFonts w:ascii="Calibri" w:hAnsi="Calibri"/>
                <w:b/>
                <w:sz w:val="20"/>
              </w:rPr>
              <w:t>Gerekli kanıt</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Esra kısmi dilim UAT</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TR/EN giriş; ad/IMO/resmî numara arama; flag/tip literal filtre; wildcard karakterler; ilk/sonraki/yenile; arama sonrası reset; edit/dirty cancel; seçici; geç yanıt; session değişimi; klavye ve viewport kontrolleri.</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Tam Envanter modülü</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27 ekran anahtarının root/profile/company/assignment/reference/evidence eşlemesi, kalan profile sözleşmeleri ve altı lookup kararı; gereksinim kapsamı ve açık Esra kabulü. Bu tarama dilimi bunları kapatmaz.</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Gerçek kimlik ve ağ</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Canlı IdP/AD/SSO, gerçek hesap provisioning, native TLS/redirect, production proxy, key/store ve hosting kabulü.</w:t>
            </w:r>
          </w:p>
        </w:tc>
      </w:tr>
      <w:tr>
        <w:trPr>
          <w:cantSplit/>
        </w:trPr>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Kapasite ve erişilebilirlik</w:t>
            </w:r>
          </w:p>
        </w:tc>
        <w:tc>
          <w:tcPr>
            <w:tcW w:type="dxa" w:w="79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Büyük ölçekli sorgu/indeks planı, diğer tarayıcılar, gerçek mobil cihaz, ekran okuyucu ve tam WCAG; mevcut sınırlı kontrollerin ötesi NOT_RUN.</w:t>
            </w:r>
          </w:p>
        </w:tc>
      </w:tr>
      <w:tr>
        <w:trPr>
          <w:cantSplit/>
        </w:trPr>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Ürün ve operasyon</w:t>
            </w:r>
          </w:p>
        </w:tc>
        <w:tc>
          <w:tcPr>
            <w:tcW w:type="dxa" w:w="79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Tam sertifika yaşam döngüsü, offline/sync, güvenlik ve regulatory kapıları, gemi/römorkör pilotu ve production deployment onayı.</w:t>
            </w:r>
          </w:p>
        </w:tc>
      </w:tr>
    </w:tbl>
    <w:p>
      <w:pPr>
        <w:widowControl/>
        <w:spacing w:line="240" w:lineRule="auto" w:after="80"/>
      </w:pPr>
      <w:r>
        <w:rPr>
          <w:sz w:val="2"/>
        </w:rPr>
        <w:t xml:space="preserve"> </w:t>
      </w:r>
    </w:p>
    <w:p>
      <w:pPr>
        <w:widowControl/>
      </w:pPr>
      <w:r>
        <w:t>UAT bulgusu adım, dil, viewport, sentetik veri örneği, beklenen/görülen davranış ve defect referansı taşır; secret, token veya gerçek müşteri verisi eklenmez. Düzeltme sonrası ilgili senaryo yeniden test edilir. Otomatik test başarısı veya genel geliştirme özerkliği Esra’nın açık modül kabulünün yerine geçmez.</w:t>
      </w:r>
    </w:p>
    <w:p>
      <w:pPr>
        <w:pStyle w:val="Heading1"/>
        <w:widowControl/>
      </w:pPr>
      <w:r>
        <w:t>9 Kanıt paketi ve tarihsel kayıt</w:t>
      </w:r>
    </w:p>
    <w:p>
      <w:pPr>
        <w:widowControl/>
      </w:pPr>
      <w:r/>
      <w:hyperlink r:id="rId10">
        <w:r>
          <w:rPr>
            <w:color w:val="000000"/>
            <w:u w:val="single"/>
          </w:rPr>
          <w:t>31.02 Kısmi envanter tarama ve sayfalama kanıtları</w:t>
        </w:r>
      </w:hyperlink>
    </w:p>
    <w:p>
      <w:pPr>
        <w:widowControl/>
      </w:pPr>
      <w:r>
        <w:t>Kanıt ZIP SHA256</w:t>
        <w:br/>
        <w:t>4be697b56a8f67ea892c680bcd4e078a173af965ac525b9ab3f711a6d99bbf2b</w:t>
      </w:r>
    </w:p>
    <w:p>
      <w:pPr>
        <w:widowControl/>
      </w:pPr>
      <w:r>
        <w:t>Arşiv 80 girdi içerir: 67 dosyalık source/ anlık görüntüsü ile RAPOR_TR.md, result.json, backend-tests.json, frontend-tests.json, bff-browser.json, responsive-browser.json, restore/build/typecheck günlükleri, inventory-browsing.patch ve source-manifest.json. Güncel davranış source/docs/ADR_INVENTORY_BROWSING.md, Esra test adımları source/docs/INVENTORY_BROWSING_UAT.md ve API ayrıntısı source/src/Backend/docs/API_CONTRACT.md içindedir.</w:t>
      </w:r>
    </w:p>
    <w:p>
      <w:pPr>
        <w:widowControl/>
      </w:pPr>
      <w:r>
        <w:t>Üretici kaydı temiz tabana yama uygulaması ve anlık görüntü byte karşılaştırması için PASS bildirir; bağımsız inceleme bunun kaynak ve hash sınırını doğrular. Arşiv gerçek DB/env/secret, node_modules, bin/obj/dist, .git veya ekran görüntüsü içermez. Kaynak dokümanların tarihsel test ifadeleri korunur; bu dilimin güncel sonuçları RAPOR_TR.md ve result.json ile yukarıdaki tam sürüm bağında okunur.</w:t>
      </w:r>
    </w:p>
    <w:p>
      <w:pPr>
        <w:widowControl/>
      </w:pPr>
      <w:r>
        <w:t>27, 28 ve 29 numaralı rapor/kanıt setleri değiştirilmeden tarihsel kayıt olarak kalır. 30.01 tam ürün yol haritası değişmez; bu kısmi teslim yalnız envanterin ilk uygulama adımına kanıt ekler. Tam ürünün, bütün Envanter veya Sertifika modülünün tamamlandığına ya da müşteri pilotuna hazır olduğuna ilişkin yeni onay üretmez.</w:t>
      </w:r>
    </w:p>
    <w:p>
      <w:pPr>
        <w:widowControl/>
      </w:pPr>
      <w:r/>
      <w:r>
        <w:t xml:space="preserve">İlgili kayıtlar: </w:t>
      </w:r>
      <w:hyperlink r:id="rId11">
        <w:r>
          <w:rPr>
            <w:color w:val="000000"/>
            <w:u w:val="single"/>
          </w:rPr>
          <w:t>29.01 BFF doğrulama raporu</w:t>
        </w:r>
      </w:hyperlink>
      <w:r>
        <w:t xml:space="preserve">  |  </w:t>
      </w:r>
      <w:hyperlink r:id="rId12">
        <w:r>
          <w:rPr>
            <w:color w:val="000000"/>
            <w:u w:val="single"/>
          </w:rPr>
          <w:t>30.01 Tam ürün yol haritası</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31.01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31.02_POSEIDON_Core_v0.1_Kismi_Envanter_Tarama_ve_Sayfalama_Kanitlari_2026-10-27.zip" TargetMode="External"/><Relationship Id="rId11" Type="http://schemas.openxmlformats.org/officeDocument/2006/relationships/hyperlink" Target="29.01_POSEIDON_Core_v0.1_BFF_UI_Oturum_ve_Taslak_Dogrulama_Raporu_2026-10-27_TR.docx" TargetMode="External"/><Relationship Id="rId12" Type="http://schemas.openxmlformats.org/officeDocument/2006/relationships/hyperlink" Target="../08_MANAGEMENT_CONTROL/30.01_POSEIDON_v46.3_Tam_Urun_2027_Q3_Q4_Teslim_Yol_Haritasi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kısmi envanter tarama ve sayfalama doğrulama raporu</dc:title>
  <dc:subject>Kısmi envanter sorgu ve sayfalama diliminin test kanıtı ve açık kabul sınırları</dc:subject>
  <dc:creator>POSEIDON</dc:creator>
  <cp:keywords>POSEIDON, Core v0.1, envanter, sayfalama, kanıt, UAT</cp:keywords>
  <dc:description>generated by python-docx</dc:description>
  <cp:lastModifiedBy/>
  <cp:revision>1</cp:revision>
  <dcterms:created xsi:type="dcterms:W3CDTF">2013-12-23T23:15:00Z</dcterms:created>
  <dcterms:modified xsi:type="dcterms:W3CDTF">2013-12-23T23:15:00Z</dcterms:modified>
  <cp:category/>
</cp:coreProperties>
</file>