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POSEIDON Core idari gemi ve römorkör envanteri doğrulama raporu</w:t>
      </w:r>
    </w:p>
    <w:p>
      <w:pPr>
        <w:widowControl/>
      </w:pPr>
      <w:r>
        <w:t>Core v0.1  |  Doküman 32.01  |  27 Ekim 2026</w:t>
      </w:r>
    </w:p>
    <w:p>
      <w:pPr>
        <w:widowControl/>
      </w:pPr>
      <w:r>
        <w:rPr>
          <w:b/>
        </w:rPr>
        <w:t>Sonuç:</w:t>
      </w:r>
      <w:r>
        <w:t xml:space="preserve"> İdari envanter dilimi için üreticinin son koşuları 129/129 backend, 74/74 frontend, 6/6 idari BFF tarayıcı ve 6/6 legacy responsive kontrolünde PASS verdi. Backend ve frontend için 0 FAIL ve 0 SKIP bildirildi. Eksik taslaktan kayda alma, kayıtlı metadata düzeltme ve gerekçeli yeniden açma teknik olarak doğrulanan kapsamdadır. Bağımsız kaynak incelemesindeki düzeltmeler kapatıldı; teslim REVIEW CANDIDATE durumundadır, kullanıcı kabulü veya tam v46.3 ürününün tamamlanması değildir.</w:t>
      </w:r>
    </w:p>
    <w:p>
      <w:pPr>
        <w:widowControl/>
      </w:pPr>
      <w:r>
        <w:t>Kullanıcı UAT durumu PENDING, kullanıcının Android veya web tarayıcısından açabildiği özel test erişimi NOT_ESTABLISHED durumundadır. RECORDED yalnız idari envantere alınmayı ifade eder; mevzuata uygunluk, klas veya bayrak doğrulaması ve operasyon izni vermez. BFF varsayılan kapalıdır. Gerçek IdP, native TLS ve üretim kurulumu doğrulanmış değildir.</w:t>
      </w:r>
    </w:p>
    <w:p>
      <w:pPr>
        <w:pStyle w:val="Heading1"/>
        <w:widowControl/>
      </w:pPr>
      <w:r>
        <w:t>1 Kaynak sürümü ve inceleme dalına yayın</w:t>
      </w:r>
    </w:p>
    <w:p>
      <w:pPr>
        <w:widowControl/>
      </w:pPr>
      <w:r>
        <w:t>Test edilen kaynak, aşağıdaki temel commit üzerine inventory-admin.patch uygulanmış 83 dosyalık anlık görüntüdür. Üretici 67 dosyalık başlangıç tabanını byte düzeyinde karşılaştırdığını ve 31 dosyanın yeni veya değişmiş olduğunu bildirir. Temel commit tek başına bu idari dilimi içermez.</w:t>
      </w:r>
    </w:p>
    <w:p>
      <w:pPr>
        <w:widowControl/>
      </w:pPr>
      <w:r>
        <w:t>Temel commit</w:t>
        <w:br/>
        <w:t>008b6105b1d964373bd7a92ee032b51b4a7ae00f</w:t>
      </w:r>
    </w:p>
    <w:p>
      <w:pPr>
        <w:widowControl/>
      </w:pPr>
      <w:r>
        <w:t>Yama SHA256</w:t>
        <w:br/>
        <w:t>c891602d440ebbb478639c701476e5fc61ffc2e986210843b5b46874f7152a6c</w:t>
      </w:r>
    </w:p>
    <w:p>
      <w:pPr>
        <w:widowControl/>
      </w:pPr>
      <w:r>
        <w:t>Düzeltilmiş kaynak, emgt41/Poseidon özel deposunda feature/administrative-inventory dalına REVIEW CANDIDATE olarak yayımlandı ve taslak PR 1 açıldı. Bu işlem main dalına sürüm yayını veya kullanıcı kabulü değildir. Main, yukarıdaki 008b6105b1d964373bd7a92ee032b51b4a7ae00f temel commit’inde kaldı; merge ve deployment yapılmadı.</w:t>
      </w:r>
    </w:p>
    <w:p>
      <w:pPr>
        <w:widowControl/>
      </w:pPr>
      <w:r>
        <w:t>İnceleme dalındaki commit</w:t>
        <w:br/>
        <w:t>cdb39a5658dd5d2f6036e1cd52c9608b9b25fedf</w:t>
        <w:br/>
        <w:t>Kaynak tree</w:t>
        <w:br/>
        <w:t>2289a5408d1d592e05e350a048946cd456b0b626</w:t>
      </w:r>
    </w:p>
    <w:p>
      <w:pPr>
        <w:widowControl/>
      </w:pPr>
      <w:r>
        <w:t>Uzak daldaki 83 kaynak blob’u test edilmiş anlık görüntüyle byte düzeyinde eşleşti. 129 backend ve 74 frontend sonucu ile iki altılı tarayıcı matrisi yayın öncesi bu exact anlık görüntüye aittir. Kaynak eşleşmesi yayın sonrası test koşusu değildir; yayın sonrasında runtime testleri yeniden çalıştırılmadı.</w:t>
      </w:r>
    </w:p>
    <w:p>
      <w:pPr>
        <w:widowControl/>
      </w:pPr>
      <w:r/>
      <w:r>
        <w:t xml:space="preserve">Depo kayıtları: </w:t>
      </w:r>
      <w:hyperlink r:id="rId10">
        <w:r>
          <w:rPr>
            <w:color w:val="000000"/>
            <w:u w:val="single"/>
          </w:rPr>
          <w:t>İnceleme dalı commit kaydı</w:t>
        </w:r>
      </w:hyperlink>
      <w:r>
        <w:t xml:space="preserve">  |  </w:t>
      </w:r>
      <w:hyperlink r:id="rId11">
        <w:r>
          <w:rPr>
            <w:color w:val="000000"/>
            <w:u w:val="single"/>
          </w:rPr>
          <w:t>Taslak PR 1</w:t>
        </w:r>
      </w:hyperlink>
    </w:p>
    <w:p>
      <w:pPr>
        <w:widowControl/>
      </w:pPr>
      <w:r>
        <w:t>Üreticinin commit ve push yapılmadığı beyanı ile remoteWrites=false, commitCreated=false ve deployment=false kayıtları, sonraki inceleme dalı yayınından önceki kanıt üretim aşamasını tanımlar. Dal yayını yukarıda ayrı kaydedilir; kanıt ZIP’i byte düzeyinde değiştirilmeden korunur. Bulut geliştirme ve test ortamıdır; kurum içi veya self-hosted ürün hedefi değişmez.</w:t>
      </w:r>
    </w:p>
    <w:p>
      <w:pPr>
        <w:pStyle w:val="Heading1"/>
        <w:widowControl/>
      </w:pPr>
      <w:r>
        <w:t>2 Üretici testleri ve kanıtın sınırı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944"/>
        <w:gridCol w:w="6120"/>
      </w:tblGrid>
      <w:tr>
        <w:trPr>
          <w:cantSplit/>
          <w:tblHeader/>
        </w:trPr>
        <w:tc>
          <w:tcPr>
            <w:tcW w:type="dxa" w:w="2160"/>
            <w:vAlign w:val="center"/>
            <w:shd w:fill="E8EDF2"/>
            <w:tcMar>
              <w:top w:w="90" w:type="dxa"/>
              <w:bottom w:w="90" w:type="dxa"/>
              <w:left w:w="90" w:type="dxa"/>
              <w:right w:w="90" w:type="dxa"/>
            </w:tcMar>
          </w:tcPr>
          <w:p>
            <w:pPr>
              <w:widowControl/>
              <w:spacing w:after="40" w:line="247" w:lineRule="auto"/>
            </w:pPr>
            <w:r>
              <w:rPr>
                <w:rFonts w:ascii="Calibri" w:hAnsi="Calibri"/>
                <w:b/>
                <w:sz w:val="20"/>
              </w:rPr>
              <w:t>Kontrol</w:t>
            </w:r>
          </w:p>
        </w:tc>
        <w:tc>
          <w:tcPr>
            <w:tcW w:type="dxa" w:w="1944"/>
            <w:vAlign w:val="center"/>
            <w:shd w:fill="E8EDF2"/>
            <w:tcMar>
              <w:top w:w="90" w:type="dxa"/>
              <w:bottom w:w="90" w:type="dxa"/>
              <w:left w:w="90" w:type="dxa"/>
              <w:right w:w="90" w:type="dxa"/>
            </w:tcMar>
          </w:tcPr>
          <w:p>
            <w:pPr>
              <w:widowControl/>
              <w:spacing w:after="40" w:line="247" w:lineRule="auto"/>
            </w:pPr>
            <w:r>
              <w:rPr>
                <w:rFonts w:ascii="Calibri" w:hAnsi="Calibri"/>
                <w:b/>
                <w:sz w:val="20"/>
              </w:rPr>
              <w:t>Sonuç</w:t>
            </w:r>
          </w:p>
        </w:tc>
        <w:tc>
          <w:tcPr>
            <w:tcW w:type="dxa" w:w="6120"/>
            <w:vAlign w:val="center"/>
            <w:shd w:fill="E8EDF2"/>
            <w:tcMar>
              <w:top w:w="90" w:type="dxa"/>
              <w:bottom w:w="90" w:type="dxa"/>
              <w:left w:w="90" w:type="dxa"/>
              <w:right w:w="90" w:type="dxa"/>
            </w:tcMar>
          </w:tcPr>
          <w:p>
            <w:pPr>
              <w:widowControl/>
              <w:spacing w:after="40" w:line="247" w:lineRule="auto"/>
            </w:pPr>
            <w:r>
              <w:rPr>
                <w:rFonts w:ascii="Calibri" w:hAnsi="Calibri"/>
                <w:b/>
                <w:sz w:val="20"/>
              </w:rPr>
              <w:t>Doğrulanan kapsam</w:t>
            </w:r>
          </w:p>
        </w:tc>
      </w:tr>
      <w:tr>
        <w:trPr>
          <w:cantSplit/>
        </w:trPr>
        <w:tc>
          <w:tcPr>
            <w:tcW w:type="dxa" w:w="2160"/>
            <w:vAlign w:val="center"/>
            <w:shd w:fill="FFFFFF"/>
            <w:tcMar>
              <w:top w:w="90" w:type="dxa"/>
              <w:bottom w:w="90" w:type="dxa"/>
              <w:left w:w="90" w:type="dxa"/>
              <w:right w:w="90" w:type="dxa"/>
            </w:tcMar>
          </w:tcPr>
          <w:p>
            <w:pPr>
              <w:widowControl/>
              <w:spacing w:after="40" w:line="247" w:lineRule="auto"/>
            </w:pPr>
            <w:r>
              <w:rPr>
                <w:rFonts w:ascii="Calibri" w:hAnsi="Calibri"/>
                <w:b w:val="0"/>
                <w:sz w:val="20"/>
              </w:rPr>
              <w:t>Backend</w:t>
            </w:r>
          </w:p>
        </w:tc>
        <w:tc>
          <w:tcPr>
            <w:tcW w:type="dxa" w:w="1944"/>
            <w:vAlign w:val="center"/>
            <w:shd w:fill="FFFFFF"/>
            <w:tcMar>
              <w:top w:w="90" w:type="dxa"/>
              <w:bottom w:w="90" w:type="dxa"/>
              <w:left w:w="90" w:type="dxa"/>
              <w:right w:w="90" w:type="dxa"/>
            </w:tcMar>
          </w:tcPr>
          <w:p>
            <w:pPr>
              <w:widowControl/>
              <w:spacing w:after="40" w:line="247" w:lineRule="auto"/>
            </w:pPr>
            <w:r>
              <w:rPr>
                <w:rFonts w:ascii="Calibri" w:hAnsi="Calibri"/>
                <w:b w:val="0"/>
                <w:sz w:val="20"/>
              </w:rPr>
              <w:t>129 PASS</w:t>
              <w:br/>
              <w:t>0 FAIL / 0 SKIP</w:t>
            </w:r>
          </w:p>
        </w:tc>
        <w:tc>
          <w:tcPr>
            <w:tcW w:type="dxa" w:w="61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Önceki 103 test ve 26 yeni test. Gerçek PostgreSQL ile işlem, yetki, tarihçe ve migration kontrolleri dahildir.</w:t>
            </w:r>
          </w:p>
        </w:tc>
      </w:tr>
      <w:tr>
        <w:trPr>
          <w:cantSplit/>
        </w:trPr>
        <w:tc>
          <w:tcPr>
            <w:tcW w:type="dxa" w:w="2160"/>
            <w:vAlign w:val="center"/>
            <w:shd w:fill="F6F7F9"/>
            <w:tcMar>
              <w:top w:w="90" w:type="dxa"/>
              <w:bottom w:w="90" w:type="dxa"/>
              <w:left w:w="90" w:type="dxa"/>
              <w:right w:w="90" w:type="dxa"/>
            </w:tcMar>
          </w:tcPr>
          <w:p>
            <w:pPr>
              <w:widowControl/>
              <w:spacing w:after="40" w:line="247" w:lineRule="auto"/>
            </w:pPr>
            <w:r>
              <w:rPr>
                <w:rFonts w:ascii="Calibri" w:hAnsi="Calibri"/>
                <w:b w:val="0"/>
                <w:sz w:val="20"/>
              </w:rPr>
              <w:t>Frontend</w:t>
            </w:r>
          </w:p>
        </w:tc>
        <w:tc>
          <w:tcPr>
            <w:tcW w:type="dxa" w:w="1944"/>
            <w:vAlign w:val="center"/>
            <w:shd w:fill="F6F7F9"/>
            <w:tcMar>
              <w:top w:w="90" w:type="dxa"/>
              <w:bottom w:w="90" w:type="dxa"/>
              <w:left w:w="90" w:type="dxa"/>
              <w:right w:w="90" w:type="dxa"/>
            </w:tcMar>
          </w:tcPr>
          <w:p>
            <w:pPr>
              <w:widowControl/>
              <w:spacing w:after="40" w:line="247" w:lineRule="auto"/>
            </w:pPr>
            <w:r>
              <w:rPr>
                <w:rFonts w:ascii="Calibri" w:hAnsi="Calibri"/>
                <w:b w:val="0"/>
                <w:sz w:val="20"/>
              </w:rPr>
              <w:t>74 PASS</w:t>
              <w:br/>
              <w:t>0 FAIL / 0 SKIP</w:t>
            </w:r>
          </w:p>
        </w:tc>
        <w:tc>
          <w:tcPr>
            <w:tcW w:type="dxa" w:w="61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Önceki 53 test ve 21 yeni test. Birim ve etkileşim testleri jsdom ve mock transport kullanır.</w:t>
            </w:r>
          </w:p>
        </w:tc>
      </w:tr>
      <w:tr>
        <w:trPr>
          <w:cantSplit/>
        </w:trPr>
        <w:tc>
          <w:tcPr>
            <w:tcW w:type="dxa" w:w="2160"/>
            <w:vAlign w:val="center"/>
            <w:shd w:fill="FFFFFF"/>
            <w:tcMar>
              <w:top w:w="90" w:type="dxa"/>
              <w:bottom w:w="90" w:type="dxa"/>
              <w:left w:w="90" w:type="dxa"/>
              <w:right w:w="90" w:type="dxa"/>
            </w:tcMar>
          </w:tcPr>
          <w:p>
            <w:pPr>
              <w:widowControl/>
              <w:spacing w:after="40" w:line="247" w:lineRule="auto"/>
            </w:pPr>
            <w:r>
              <w:rPr>
                <w:rFonts w:ascii="Calibri" w:hAnsi="Calibri"/>
                <w:b w:val="0"/>
                <w:sz w:val="20"/>
              </w:rPr>
              <w:t>Restore ve build</w:t>
            </w:r>
          </w:p>
        </w:tc>
        <w:tc>
          <w:tcPr>
            <w:tcW w:type="dxa" w:w="1944"/>
            <w:vAlign w:val="center"/>
            <w:shd w:fill="FFFFFF"/>
            <w:tcMar>
              <w:top w:w="90" w:type="dxa"/>
              <w:bottom w:w="90" w:type="dxa"/>
              <w:left w:w="90" w:type="dxa"/>
              <w:right w:w="90" w:type="dxa"/>
            </w:tcMar>
          </w:tcPr>
          <w:p>
            <w:pPr>
              <w:widowControl/>
              <w:spacing w:after="40" w:line="247" w:lineRule="auto"/>
            </w:pPr>
            <w:r>
              <w:rPr>
                <w:rFonts w:ascii="Calibri" w:hAnsi="Calibri"/>
                <w:b w:val="0"/>
                <w:sz w:val="20"/>
              </w:rPr>
              <w:t>PASS</w:t>
            </w:r>
          </w:p>
        </w:tc>
        <w:tc>
          <w:tcPr>
            <w:tcW w:type="dxa" w:w="61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Locked restore; .NET build 0 uyarı ve 0 hata. TypeScript, varsayılan frontend ve BFF build PASS.</w:t>
            </w:r>
          </w:p>
        </w:tc>
      </w:tr>
      <w:tr>
        <w:trPr>
          <w:cantSplit/>
        </w:trPr>
        <w:tc>
          <w:tcPr>
            <w:tcW w:type="dxa" w:w="2160"/>
            <w:vAlign w:val="center"/>
            <w:shd w:fill="F6F7F9"/>
            <w:tcMar>
              <w:top w:w="90" w:type="dxa"/>
              <w:bottom w:w="90" w:type="dxa"/>
              <w:left w:w="90" w:type="dxa"/>
              <w:right w:w="90" w:type="dxa"/>
            </w:tcMar>
          </w:tcPr>
          <w:p>
            <w:pPr>
              <w:widowControl/>
              <w:spacing w:after="40" w:line="247" w:lineRule="auto"/>
            </w:pPr>
            <w:r>
              <w:rPr>
                <w:rFonts w:ascii="Calibri" w:hAnsi="Calibri"/>
                <w:b w:val="0"/>
                <w:sz w:val="20"/>
              </w:rPr>
              <w:t>İdari BFF tarayıcı</w:t>
            </w:r>
          </w:p>
        </w:tc>
        <w:tc>
          <w:tcPr>
            <w:tcW w:type="dxa" w:w="1944"/>
            <w:vAlign w:val="center"/>
            <w:shd w:fill="F6F7F9"/>
            <w:tcMar>
              <w:top w:w="90" w:type="dxa"/>
              <w:bottom w:w="90" w:type="dxa"/>
              <w:left w:w="90" w:type="dxa"/>
              <w:right w:w="90" w:type="dxa"/>
            </w:tcMar>
          </w:tcPr>
          <w:p>
            <w:pPr>
              <w:widowControl/>
              <w:spacing w:after="40" w:line="247" w:lineRule="auto"/>
            </w:pPr>
            <w:r>
              <w:rPr>
                <w:rFonts w:ascii="Calibri" w:hAnsi="Calibri"/>
                <w:b w:val="0"/>
                <w:sz w:val="20"/>
              </w:rPr>
              <w:t>6 / 6 PASS</w:t>
            </w:r>
          </w:p>
        </w:tc>
        <w:tc>
          <w:tcPr>
            <w:tcW w:type="dxa" w:w="61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390×844, 768×1024 ve 1440×900; her biri TR/EN. Gerçek Chromium, React, ASP.NET handler ve PostgreSQL.</w:t>
            </w:r>
          </w:p>
        </w:tc>
      </w:tr>
      <w:tr>
        <w:trPr>
          <w:cantSplit/>
        </w:trPr>
        <w:tc>
          <w:tcPr>
            <w:tcW w:type="dxa" w:w="2160"/>
            <w:vAlign w:val="center"/>
            <w:shd w:fill="FFFFFF"/>
            <w:tcMar>
              <w:top w:w="90" w:type="dxa"/>
              <w:bottom w:w="90" w:type="dxa"/>
              <w:left w:w="90" w:type="dxa"/>
              <w:right w:w="90" w:type="dxa"/>
            </w:tcMar>
          </w:tcPr>
          <w:p>
            <w:pPr>
              <w:widowControl/>
              <w:spacing w:after="40" w:line="247" w:lineRule="auto"/>
            </w:pPr>
            <w:r>
              <w:rPr>
                <w:rFonts w:ascii="Calibri" w:hAnsi="Calibri"/>
                <w:b w:val="0"/>
                <w:sz w:val="20"/>
              </w:rPr>
              <w:t>Legacy responsive</w:t>
            </w:r>
          </w:p>
        </w:tc>
        <w:tc>
          <w:tcPr>
            <w:tcW w:type="dxa" w:w="1944"/>
            <w:vAlign w:val="center"/>
            <w:shd w:fill="FFFFFF"/>
            <w:tcMar>
              <w:top w:w="90" w:type="dxa"/>
              <w:bottom w:w="90" w:type="dxa"/>
              <w:left w:w="90" w:type="dxa"/>
              <w:right w:w="90" w:type="dxa"/>
            </w:tcMar>
          </w:tcPr>
          <w:p>
            <w:pPr>
              <w:widowControl/>
              <w:spacing w:after="40" w:line="247" w:lineRule="auto"/>
            </w:pPr>
            <w:r>
              <w:rPr>
                <w:rFonts w:ascii="Calibri" w:hAnsi="Calibri"/>
                <w:b w:val="0"/>
                <w:sz w:val="20"/>
              </w:rPr>
              <w:t>6 / 6 PASS</w:t>
            </w:r>
          </w:p>
        </w:tc>
        <w:tc>
          <w:tcPr>
            <w:tcW w:type="dxa" w:w="61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Aynı üç viewport ve iki dil; loopback Development API, Vite ve Chromium. Draft POST 0.</w:t>
            </w:r>
          </w:p>
        </w:tc>
      </w:tr>
      <w:tr>
        <w:trPr>
          <w:cantSplit/>
        </w:trPr>
        <w:tc>
          <w:tcPr>
            <w:tcW w:type="dxa" w:w="2160"/>
            <w:vAlign w:val="center"/>
            <w:shd w:fill="F6F7F9"/>
            <w:tcMar>
              <w:top w:w="90" w:type="dxa"/>
              <w:bottom w:w="90" w:type="dxa"/>
              <w:left w:w="90" w:type="dxa"/>
              <w:right w:w="90" w:type="dxa"/>
            </w:tcMar>
          </w:tcPr>
          <w:p>
            <w:pPr>
              <w:widowControl/>
              <w:spacing w:after="40" w:line="247" w:lineRule="auto"/>
            </w:pPr>
            <w:r>
              <w:rPr>
                <w:rFonts w:ascii="Calibri" w:hAnsi="Calibri"/>
                <w:b w:val="0"/>
                <w:sz w:val="20"/>
              </w:rPr>
              <w:t>Sentetik UAT seeder</w:t>
            </w:r>
          </w:p>
        </w:tc>
        <w:tc>
          <w:tcPr>
            <w:tcW w:type="dxa" w:w="1944"/>
            <w:vAlign w:val="center"/>
            <w:shd w:fill="F6F7F9"/>
            <w:tcMar>
              <w:top w:w="90" w:type="dxa"/>
              <w:bottom w:w="90" w:type="dxa"/>
              <w:left w:w="90" w:type="dxa"/>
              <w:right w:w="90" w:type="dxa"/>
            </w:tcMar>
          </w:tcPr>
          <w:p>
            <w:pPr>
              <w:widowControl/>
              <w:spacing w:after="40" w:line="247" w:lineRule="auto"/>
            </w:pPr>
            <w:r>
              <w:rPr>
                <w:rFonts w:ascii="Calibri" w:hAnsi="Calibri"/>
                <w:b w:val="0"/>
                <w:sz w:val="20"/>
              </w:rPr>
              <w:t>PASS</w:t>
            </w:r>
          </w:p>
        </w:tc>
        <w:tc>
          <w:tcPr>
            <w:tcW w:type="dxa" w:w="61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002 migration sonrası eksik DRAFT ve IMO içermeyen RECORDED TUG oluşturdu. İlk 503 denemesi başarı sayılmadı.</w:t>
            </w:r>
          </w:p>
        </w:tc>
      </w:tr>
    </w:tbl>
    <w:p>
      <w:pPr>
        <w:widowControl/>
        <w:spacing w:line="240" w:lineRule="auto" w:after="80"/>
      </w:pPr>
      <w:r>
        <w:rPr>
          <w:sz w:val="2"/>
        </w:rPr>
        <w:t xml:space="preserve"> </w:t>
      </w:r>
    </w:p>
    <w:p>
      <w:pPr>
        <w:widowControl/>
      </w:pPr>
      <w:r>
        <w:t>Bu sayılar result.json, backend-tests.json, frontend-tests.json, admin-bff-browser.json ve admin-responsive.json ile günlüklerden alınır. Test katmanları toplanarak tek bir bağımsız test toplamı üretilmez. Rapor hazırlığında veya bağımsız kaynak incelemesinde runtime testleri yeniden çalıştırılmadı.</w:t>
      </w:r>
    </w:p>
    <w:p>
      <w:pPr>
        <w:pStyle w:val="Heading2"/>
        <w:widowControl/>
      </w:pPr>
      <w:r>
        <w:t>Gerçek tarayıcı ile sanal HTTPS ayrımı</w:t>
      </w:r>
    </w:p>
    <w:p>
      <w:pPr>
        <w:widowControl/>
      </w:pPr>
      <w:r>
        <w:t>Chromium 154.0.8037.57 ile altı BFF koşusunun her birinde idari yolculuk, yedi idari olay ve kayıtlı gemiye sertifika bağlantısı PASS kaydedildi. Her koşu 3 başarılı draft yazısı, süre dolumundan sonra 1 red, 0 otomatik retry ve 2 giriş bildirir. OIDC, cookie ve CSRF handler’ları gerçektir; sağlayıcı, anahtar ve ticket test-only ephemeral fixture’dır. HTTPS ve redirect taşıması Playwright–stdio–TestServer köprüsünden geçer. Bu koşular native TLS, canlı IdP veya kullanıcının özel tarayıcı erişimi değildir.</w:t>
      </w:r>
    </w:p>
    <w:p>
      <w:pPr>
        <w:widowControl/>
      </w:pPr>
      <w:r>
        <w:t>Düzeltilmiş son pakette altı gerçek tarayıcı ve PostgreSQL koşusunun her biri, kontrollü commit sonrası yanıt kaybı → yetki iptaliyle 403 → yetkinin geri gelişi akışında aynı anahtarla tek nesne ve tek olay bildirdi. Bu test-only hata enjeksiyonudur, gerçek altyapı kesintisi değildir. Geciktirilmiş logout sırasında zorlanmış form submit dahil sıfır yeni inventory yazısı kaydedildi.</w:t>
      </w:r>
    </w:p>
    <w:p>
      <w:pPr>
        <w:pStyle w:val="Heading2"/>
        <w:widowControl/>
      </w:pPr>
      <w:r>
        <w:t>Veri ve hata senaryoları</w:t>
      </w:r>
    </w:p>
    <w:p>
      <w:pPr>
        <w:widowControl/>
      </w:pPr>
      <w:r>
        <w:t>Üretici; gerçek eski şema fixture’ında vessel, certificate, audit, idempotency, UUID ve yetki korunmasını; eski SQL UPDATE reddini; 601 kayıtlı gemide filtreli keyset turunda eksik veya kopya olmamasını bildirdi. Bilinmeyen tarihçe anahtarı ve action redaksiyonu, issuer ayrımı, audit hatasında atomik rollback, eşzamanlı işlem, replay ve yetki iptali kontrolleri PASS verdi. Bu işlevsel veri seti üretim kapasitesi benchmark’ı değildir.</w:t>
      </w:r>
    </w:p>
    <w:p>
      <w:pPr>
        <w:widowControl/>
      </w:pPr>
      <w:r>
        <w:t>Sentetik seeder’ın ilk çalışması ayrı Development veritabanında 002 bulunmadığı için 503 verdi. Mevcut Development migration yolu uygulandıktan sonra tekrar çalıştırma başarılı oldu. Gerçek kurulum migration’ı, veritabanı veya host restart’ı ve backup restore kabulü yapılmış sayılmaz.</w:t>
      </w:r>
    </w:p>
    <w:p>
      <w:pPr>
        <w:pStyle w:val="Heading1"/>
        <w:widowControl/>
      </w:pPr>
      <w:r>
        <w:t>3 İdari durum ve kullanıcı yolculuğu</w:t>
      </w:r>
    </w:p>
    <w:p>
      <w:pPr>
        <w:widowControl/>
      </w:pPr>
      <w:r>
        <w:t>ADR-INV-ADMIN-001–004 yeni uygulama kararlarını kaydeder. Bunlar önceki kanonik onay, mevzuat kuralı, üretim izni veya Esra kabulü değildir. Tek gemi UUID’si korunur. Yeni admin_state yalnız DRAFT ve RECORDED değerlerini taşır; eski persistence_state uyumluluk amacıyla DRAFT kalır ve yeni DTO idari durum için bu eski alanı kullanmaz.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016"/>
        <w:gridCol w:w="5832"/>
      </w:tblGrid>
      <w:tr>
        <w:trPr>
          <w:cantSplit/>
          <w:tblHeader/>
        </w:trPr>
        <w:tc>
          <w:tcPr>
            <w:tcW w:type="dxa" w:w="2376"/>
            <w:vAlign w:val="center"/>
            <w:shd w:fill="E8EDF2"/>
            <w:tcMar>
              <w:top w:w="90" w:type="dxa"/>
              <w:bottom w:w="90" w:type="dxa"/>
              <w:left w:w="90" w:type="dxa"/>
              <w:right w:w="90" w:type="dxa"/>
            </w:tcMar>
          </w:tcPr>
          <w:p>
            <w:pPr>
              <w:widowControl/>
              <w:spacing w:after="40" w:line="247" w:lineRule="auto"/>
            </w:pPr>
            <w:r>
              <w:rPr>
                <w:rFonts w:ascii="Calibri" w:hAnsi="Calibri"/>
                <w:b/>
                <w:sz w:val="20"/>
              </w:rPr>
              <w:t>İşlem</w:t>
            </w:r>
          </w:p>
        </w:tc>
        <w:tc>
          <w:tcPr>
            <w:tcW w:type="dxa" w:w="2016"/>
            <w:vAlign w:val="center"/>
            <w:shd w:fill="E8EDF2"/>
            <w:tcMar>
              <w:top w:w="90" w:type="dxa"/>
              <w:bottom w:w="90" w:type="dxa"/>
              <w:left w:w="90" w:type="dxa"/>
              <w:right w:w="90" w:type="dxa"/>
            </w:tcMar>
          </w:tcPr>
          <w:p>
            <w:pPr>
              <w:widowControl/>
              <w:spacing w:after="40" w:line="247" w:lineRule="auto"/>
            </w:pPr>
            <w:r>
              <w:rPr>
                <w:rFonts w:ascii="Calibri" w:hAnsi="Calibri"/>
                <w:b/>
                <w:sz w:val="20"/>
              </w:rPr>
              <w:t>Yetki</w:t>
            </w:r>
          </w:p>
        </w:tc>
        <w:tc>
          <w:tcPr>
            <w:tcW w:type="dxa" w:w="5832"/>
            <w:vAlign w:val="center"/>
            <w:shd w:fill="E8EDF2"/>
            <w:tcMar>
              <w:top w:w="90" w:type="dxa"/>
              <w:bottom w:w="90" w:type="dxa"/>
              <w:left w:w="90" w:type="dxa"/>
              <w:right w:w="90" w:type="dxa"/>
            </w:tcMar>
          </w:tcPr>
          <w:p>
            <w:pPr>
              <w:widowControl/>
              <w:spacing w:after="40" w:line="247" w:lineRule="auto"/>
            </w:pPr>
            <w:r>
              <w:rPr>
                <w:rFonts w:ascii="Calibri" w:hAnsi="Calibri"/>
                <w:b/>
                <w:sz w:val="20"/>
              </w:rPr>
              <w:t>Kural</w:t>
            </w:r>
          </w:p>
        </w:tc>
      </w:tr>
      <w:tr>
        <w:trPr>
          <w:cantSplit/>
        </w:trPr>
        <w:tc>
          <w:tcPr>
            <w:tcW w:type="dxa" w:w="23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Eksik taslak oluşturma ve düzenleme</w:t>
            </w:r>
          </w:p>
        </w:tc>
        <w:tc>
          <w:tcPr>
            <w:tcW w:type="dxa" w:w="2016"/>
            <w:vAlign w:val="center"/>
            <w:shd w:fill="FFFFFF"/>
            <w:tcMar>
              <w:top w:w="90" w:type="dxa"/>
              <w:bottom w:w="90" w:type="dxa"/>
              <w:left w:w="90" w:type="dxa"/>
              <w:right w:w="90" w:type="dxa"/>
            </w:tcMar>
          </w:tcPr>
          <w:p>
            <w:pPr>
              <w:widowControl/>
              <w:spacing w:after="40" w:line="247" w:lineRule="auto"/>
            </w:pPr>
            <w:r>
              <w:rPr>
                <w:rFonts w:ascii="Calibri" w:hAnsi="Calibri"/>
                <w:b w:val="0"/>
                <w:sz w:val="20"/>
              </w:rPr>
              <w:t>draft:write</w:t>
            </w:r>
          </w:p>
        </w:tc>
        <w:tc>
          <w:tcPr>
            <w:tcW w:type="dxa" w:w="5832"/>
            <w:vAlign w:val="center"/>
            <w:shd w:fill="FFFFFF"/>
            <w:tcMar>
              <w:top w:w="90" w:type="dxa"/>
              <w:bottom w:w="90" w:type="dxa"/>
              <w:left w:w="90" w:type="dxa"/>
              <w:right w:w="90" w:type="dxa"/>
            </w:tcMar>
          </w:tcPr>
          <w:p>
            <w:pPr>
              <w:widowControl/>
              <w:spacing w:after="40" w:line="247" w:lineRule="auto"/>
            </w:pPr>
            <w:r>
              <w:rPr>
                <w:rFonts w:ascii="Calibri" w:hAnsi="Calibri"/>
                <w:b w:val="0"/>
                <w:sz w:val="20"/>
              </w:rPr>
              <w:t>Eksikler korunur; bilinmeyenlere varsayılan SHIP, IMO veya başka değer atanmaz.</w:t>
            </w:r>
          </w:p>
        </w:tc>
      </w:tr>
      <w:tr>
        <w:trPr>
          <w:cantSplit/>
        </w:trPr>
        <w:tc>
          <w:tcPr>
            <w:tcW w:type="dxa" w:w="2376"/>
            <w:vAlign w:val="center"/>
            <w:shd w:fill="F6F7F9"/>
            <w:tcMar>
              <w:top w:w="90" w:type="dxa"/>
              <w:bottom w:w="90" w:type="dxa"/>
              <w:left w:w="90" w:type="dxa"/>
              <w:right w:w="90" w:type="dxa"/>
            </w:tcMar>
          </w:tcPr>
          <w:p>
            <w:pPr>
              <w:widowControl/>
              <w:spacing w:after="40" w:line="247" w:lineRule="auto"/>
            </w:pPr>
            <w:r>
              <w:rPr>
                <w:rFonts w:ascii="Calibri" w:hAnsi="Calibri"/>
                <w:b w:val="0"/>
                <w:sz w:val="20"/>
              </w:rPr>
              <w:t>Envantere alma</w:t>
            </w:r>
          </w:p>
        </w:tc>
        <w:tc>
          <w:tcPr>
            <w:tcW w:type="dxa" w:w="2016"/>
            <w:vAlign w:val="center"/>
            <w:shd w:fill="F6F7F9"/>
            <w:tcMar>
              <w:top w:w="90" w:type="dxa"/>
              <w:bottom w:w="90" w:type="dxa"/>
              <w:left w:w="90" w:type="dxa"/>
              <w:right w:w="90" w:type="dxa"/>
            </w:tcMar>
          </w:tcPr>
          <w:p>
            <w:pPr>
              <w:widowControl/>
              <w:spacing w:after="40" w:line="247" w:lineRule="auto"/>
            </w:pPr>
            <w:r>
              <w:rPr>
                <w:rFonts w:ascii="Calibri" w:hAnsi="Calibri"/>
                <w:b w:val="0"/>
                <w:sz w:val="20"/>
              </w:rPr>
              <w:t>inventory:manage</w:t>
            </w:r>
          </w:p>
        </w:tc>
        <w:tc>
          <w:tcPr>
            <w:tcW w:type="dxa" w:w="5832"/>
            <w:vAlign w:val="center"/>
            <w:shd w:fill="F6F7F9"/>
            <w:tcMar>
              <w:top w:w="90" w:type="dxa"/>
              <w:bottom w:w="90" w:type="dxa"/>
              <w:left w:w="90" w:type="dxa"/>
              <w:right w:w="90" w:type="dxa"/>
            </w:tcMar>
          </w:tcPr>
          <w:p>
            <w:pPr>
              <w:widowControl/>
              <w:spacing w:after="40" w:line="247" w:lineRule="auto"/>
            </w:pPr>
            <w:r>
              <w:rPr>
                <w:rFonts w:ascii="Calibri" w:hAnsi="Calibri"/>
                <w:b w:val="0"/>
                <w:sz w:val="20"/>
              </w:rPr>
              <w:t>Sunucudaki şirket ile name, flag, vessel_type ve açık SHIP/TUG asset_mode gerekir. IMO isteğe bağlıdır.</w:t>
            </w:r>
          </w:p>
        </w:tc>
      </w:tr>
      <w:tr>
        <w:trPr>
          <w:cantSplit/>
        </w:trPr>
        <w:tc>
          <w:tcPr>
            <w:tcW w:type="dxa" w:w="23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Kayıtlı metadata düzeltme</w:t>
            </w:r>
          </w:p>
        </w:tc>
        <w:tc>
          <w:tcPr>
            <w:tcW w:type="dxa" w:w="2016"/>
            <w:vAlign w:val="center"/>
            <w:shd w:fill="FFFFFF"/>
            <w:tcMar>
              <w:top w:w="90" w:type="dxa"/>
              <w:bottom w:w="90" w:type="dxa"/>
              <w:left w:w="90" w:type="dxa"/>
              <w:right w:w="90" w:type="dxa"/>
            </w:tcMar>
          </w:tcPr>
          <w:p>
            <w:pPr>
              <w:widowControl/>
              <w:spacing w:after="40" w:line="247" w:lineRule="auto"/>
            </w:pPr>
            <w:r>
              <w:rPr>
                <w:rFonts w:ascii="Calibri" w:hAnsi="Calibri"/>
                <w:b w:val="0"/>
                <w:sz w:val="20"/>
              </w:rPr>
              <w:t>inventory:manage</w:t>
            </w:r>
          </w:p>
        </w:tc>
        <w:tc>
          <w:tcPr>
            <w:tcW w:type="dxa" w:w="5832"/>
            <w:vAlign w:val="center"/>
            <w:shd w:fill="FFFFFF"/>
            <w:tcMar>
              <w:top w:w="90" w:type="dxa"/>
              <w:bottom w:w="90" w:type="dxa"/>
              <w:left w:w="90" w:type="dxa"/>
              <w:right w:w="90" w:type="dxa"/>
            </w:tcMar>
          </w:tcPr>
          <w:p>
            <w:pPr>
              <w:widowControl/>
              <w:spacing w:after="40" w:line="247" w:lineRule="auto"/>
            </w:pPr>
            <w:r>
              <w:rPr>
                <w:rFonts w:ascii="Calibri" w:hAnsi="Calibri"/>
                <w:b w:val="0"/>
                <w:sz w:val="20"/>
              </w:rPr>
              <w:t>Zorunlu alanlar silinemez. Mode değişimi doğrudan yapılamaz.</w:t>
            </w:r>
          </w:p>
        </w:tc>
      </w:tr>
      <w:tr>
        <w:trPr>
          <w:cantSplit/>
        </w:trPr>
        <w:tc>
          <w:tcPr>
            <w:tcW w:type="dxa" w:w="2376"/>
            <w:vAlign w:val="center"/>
            <w:shd w:fill="F6F7F9"/>
            <w:tcMar>
              <w:top w:w="90" w:type="dxa"/>
              <w:bottom w:w="90" w:type="dxa"/>
              <w:left w:w="90" w:type="dxa"/>
              <w:right w:w="90" w:type="dxa"/>
            </w:tcMar>
          </w:tcPr>
          <w:p>
            <w:pPr>
              <w:widowControl/>
              <w:spacing w:after="40" w:line="247" w:lineRule="auto"/>
            </w:pPr>
            <w:r>
              <w:rPr>
                <w:rFonts w:ascii="Calibri" w:hAnsi="Calibri"/>
                <w:b w:val="0"/>
                <w:sz w:val="20"/>
              </w:rPr>
              <w:t>Yeniden açma ve tekrar kayıt</w:t>
            </w:r>
          </w:p>
        </w:tc>
        <w:tc>
          <w:tcPr>
            <w:tcW w:type="dxa" w:w="2016"/>
            <w:vAlign w:val="center"/>
            <w:shd w:fill="F6F7F9"/>
            <w:tcMar>
              <w:top w:w="90" w:type="dxa"/>
              <w:bottom w:w="90" w:type="dxa"/>
              <w:left w:w="90" w:type="dxa"/>
              <w:right w:w="90" w:type="dxa"/>
            </w:tcMar>
          </w:tcPr>
          <w:p>
            <w:pPr>
              <w:widowControl/>
              <w:spacing w:after="40" w:line="247" w:lineRule="auto"/>
            </w:pPr>
            <w:r>
              <w:rPr>
                <w:rFonts w:ascii="Calibri" w:hAnsi="Calibri"/>
                <w:b w:val="0"/>
                <w:sz w:val="20"/>
              </w:rPr>
              <w:t>inventory:manage</w:t>
            </w:r>
          </w:p>
        </w:tc>
        <w:tc>
          <w:tcPr>
            <w:tcW w:type="dxa" w:w="5832"/>
            <w:vAlign w:val="center"/>
            <w:shd w:fill="F6F7F9"/>
            <w:tcMar>
              <w:top w:w="90" w:type="dxa"/>
              <w:bottom w:w="90" w:type="dxa"/>
              <w:left w:w="90" w:type="dxa"/>
              <w:right w:w="90" w:type="dxa"/>
            </w:tcMar>
          </w:tcPr>
          <w:p>
            <w:pPr>
              <w:widowControl/>
              <w:spacing w:after="40" w:line="247" w:lineRule="auto"/>
            </w:pPr>
            <w:r>
              <w:rPr>
                <w:rFonts w:ascii="Calibri" w:hAnsi="Calibri"/>
                <w:b w:val="0"/>
                <w:sz w:val="20"/>
              </w:rPr>
              <w:t>Reopen için trim sonrası 1–500 karakter gerekçe gerekir. Mode taslakta değiştirilip yeniden kayıt yapılabilir.</w:t>
            </w:r>
          </w:p>
        </w:tc>
      </w:tr>
    </w:tbl>
    <w:p>
      <w:pPr>
        <w:widowControl/>
        <w:spacing w:line="240" w:lineRule="auto" w:after="80"/>
      </w:pPr>
      <w:r>
        <w:rPr>
          <w:sz w:val="2"/>
        </w:rPr>
        <w:t xml:space="preserve"> </w:t>
      </w:r>
    </w:p>
    <w:p>
      <w:pPr>
        <w:widowControl/>
      </w:pPr>
      <w:r>
        <w:t>inventory:manage bağımsız ve varsayılan reddedilen yetkidir; CanWrite, admin etiketi veya meslek unvanından türetilmez. BFF güvenilir resolver sözleşmesinde CanManageInventory=false eklenmiştir. Yalnız inventory-manager sentetik fixture’ına bu yetki verildi; gerçek hesap veya IdP provisioning yapılmadı.</w:t>
      </w:r>
    </w:p>
    <w:p>
      <w:pPr>
        <w:widowControl/>
      </w:pPr>
      <w:r>
        <w:t>TR/EN arayüzde yeni İdari envanter sekmesi bulunur. Eski Gemi taslakları sekmesi uyumluluk içindir; tam yeni metadata buradan yönetilmez. Sertifika seçici yeni inventory reader üzerinden DRAFT ve RECORDED gemileri seçer. Sertifika durumu ve gemi bağlantısı değişmez. Silme, arşivleme ve transfer bu dilimde yoktur.</w:t>
      </w:r>
    </w:p>
    <w:p>
      <w:pPr>
        <w:pStyle w:val="Heading1"/>
        <w:widowControl/>
      </w:pPr>
      <w:r>
        <w:t>4 Beyan edilen metadata ve alan sahipliği</w:t>
      </w:r>
    </w:p>
    <w:p>
      <w:pPr>
        <w:widowControl/>
      </w:pPr>
      <w:r>
        <w:t>InventoryContracts.Fields kapalı, tipli izin listesidir. Şirket sunucudan alınır; istemci company_id gönderirse tam yetkili UUID ile eşleşmelidir. Owner, id, state ve projection alanları istemci girdisi değildir. Metadata yazımı tam replacement’tır: gönderilmeyen isteğe bağlı alan silinir. UI önce tam nesneyi okur; eski ekranın eksik projeksiyonundan replacement yapmaz.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7128"/>
      </w:tblGrid>
      <w:tr>
        <w:trPr>
          <w:cantSplit/>
          <w:tblHeader/>
        </w:trPr>
        <w:tc>
          <w:tcPr>
            <w:tcW w:type="dxa" w:w="3096"/>
            <w:vAlign w:val="center"/>
            <w:shd w:fill="E8EDF2"/>
            <w:tcMar>
              <w:top w:w="90" w:type="dxa"/>
              <w:bottom w:w="90" w:type="dxa"/>
              <w:left w:w="90" w:type="dxa"/>
              <w:right w:w="90" w:type="dxa"/>
            </w:tcMar>
          </w:tcPr>
          <w:p>
            <w:pPr>
              <w:widowControl/>
              <w:spacing w:after="40" w:line="247" w:lineRule="auto"/>
            </w:pPr>
            <w:r>
              <w:rPr>
                <w:rFonts w:ascii="Calibri" w:hAnsi="Calibri"/>
                <w:b/>
                <w:sz w:val="20"/>
              </w:rPr>
              <w:t>Alan grubu</w:t>
            </w:r>
          </w:p>
        </w:tc>
        <w:tc>
          <w:tcPr>
            <w:tcW w:type="dxa" w:w="7128"/>
            <w:vAlign w:val="center"/>
            <w:shd w:fill="E8EDF2"/>
            <w:tcMar>
              <w:top w:w="90" w:type="dxa"/>
              <w:bottom w:w="90" w:type="dxa"/>
              <w:left w:w="90" w:type="dxa"/>
              <w:right w:w="90" w:type="dxa"/>
            </w:tcMar>
          </w:tcPr>
          <w:p>
            <w:pPr>
              <w:widowControl/>
              <w:spacing w:after="40" w:line="247" w:lineRule="auto"/>
            </w:pPr>
            <w:r>
              <w:rPr>
                <w:rFonts w:ascii="Calibri" w:hAnsi="Calibri"/>
                <w:b/>
                <w:sz w:val="20"/>
              </w:rPr>
              <w:t>Temsil ve kabul sınırı</w:t>
            </w:r>
          </w:p>
        </w:tc>
      </w:tr>
      <w:tr>
        <w:trPr>
          <w:cantSplit/>
        </w:trPr>
        <w:tc>
          <w:tcPr>
            <w:tcW w:type="dxa" w:w="3096"/>
            <w:vAlign w:val="center"/>
            <w:shd w:fill="FFFFFF"/>
            <w:tcMar>
              <w:top w:w="90" w:type="dxa"/>
              <w:bottom w:w="90" w:type="dxa"/>
              <w:left w:w="90" w:type="dxa"/>
              <w:right w:w="90" w:type="dxa"/>
            </w:tcMar>
          </w:tcPr>
          <w:p>
            <w:pPr>
              <w:widowControl/>
              <w:spacing w:after="40" w:line="247" w:lineRule="auto"/>
            </w:pPr>
            <w:r>
              <w:rPr>
                <w:rFonts w:ascii="Calibri" w:hAnsi="Calibri"/>
                <w:b w:val="0"/>
                <w:sz w:val="20"/>
              </w:rPr>
              <w:t>name, flag, vessel_type, asset_mode</w:t>
            </w:r>
          </w:p>
        </w:tc>
        <w:tc>
          <w:tcPr>
            <w:tcW w:type="dxa" w:w="7128"/>
            <w:vAlign w:val="center"/>
            <w:shd w:fill="FFFFFF"/>
            <w:tcMar>
              <w:top w:w="90" w:type="dxa"/>
              <w:bottom w:w="90" w:type="dxa"/>
              <w:left w:w="90" w:type="dxa"/>
              <w:right w:w="90" w:type="dxa"/>
            </w:tcMar>
          </w:tcPr>
          <w:p>
            <w:pPr>
              <w:widowControl/>
              <w:spacing w:after="40" w:line="247" w:lineRule="auto"/>
            </w:pPr>
            <w:r>
              <w:rPr>
                <w:rFonts w:ascii="Calibri" w:hAnsi="Calibri"/>
                <w:b w:val="0"/>
                <w:sz w:val="20"/>
              </w:rPr>
              <w:t>İlk üçü beyan metnidir, doğrulanmış katalog değildir. asset_mode açık SHIP/TUG seçimidir; subtype metninden çıkarılmaz.</w:t>
            </w:r>
          </w:p>
        </w:tc>
      </w:tr>
      <w:tr>
        <w:trPr>
          <w:cantSplit/>
        </w:trPr>
        <w:tc>
          <w:tcPr>
            <w:tcW w:type="dxa" w:w="3096"/>
            <w:vAlign w:val="center"/>
            <w:shd w:fill="F6F7F9"/>
            <w:tcMar>
              <w:top w:w="90" w:type="dxa"/>
              <w:bottom w:w="90" w:type="dxa"/>
              <w:left w:w="90" w:type="dxa"/>
              <w:right w:w="90" w:type="dxa"/>
            </w:tcMar>
          </w:tcPr>
          <w:p>
            <w:pPr>
              <w:widowControl/>
              <w:spacing w:after="40" w:line="247" w:lineRule="auto"/>
            </w:pPr>
            <w:r>
              <w:rPr>
                <w:rFonts w:ascii="Calibri" w:hAnsi="Calibri"/>
                <w:b w:val="0"/>
                <w:sz w:val="20"/>
              </w:rPr>
              <w:t>imo_no, company_imo</w:t>
            </w:r>
          </w:p>
        </w:tc>
        <w:tc>
          <w:tcPr>
            <w:tcW w:type="dxa" w:w="7128"/>
            <w:vAlign w:val="center"/>
            <w:shd w:fill="F6F7F9"/>
            <w:tcMar>
              <w:top w:w="90" w:type="dxa"/>
              <w:bottom w:w="90" w:type="dxa"/>
              <w:left w:w="90" w:type="dxa"/>
              <w:right w:w="90" w:type="dxa"/>
            </w:tcMar>
          </w:tcPr>
          <w:p>
            <w:pPr>
              <w:widowControl/>
              <w:spacing w:after="40" w:line="247" w:lineRule="auto"/>
            </w:pPr>
            <w:r>
              <w:rPr>
                <w:rFonts w:ascii="Calibri" w:hAnsi="Calibri"/>
                <w:b w:val="0"/>
                <w:sz w:val="20"/>
              </w:rPr>
              <w:t>İsteğe bağlı yedi rakam. Checksum, registry doğrulaması veya römorköre IMO uygulanabilirliği kararı yoktur.</w:t>
            </w:r>
          </w:p>
        </w:tc>
      </w:tr>
      <w:tr>
        <w:trPr>
          <w:cantSplit/>
        </w:trPr>
        <w:tc>
          <w:tcPr>
            <w:tcW w:type="dxa" w:w="3096"/>
            <w:vAlign w:val="center"/>
            <w:shd w:fill="FFFFFF"/>
            <w:tcMar>
              <w:top w:w="90" w:type="dxa"/>
              <w:bottom w:w="90" w:type="dxa"/>
              <w:left w:w="90" w:type="dxa"/>
              <w:right w:w="90" w:type="dxa"/>
            </w:tcMar>
          </w:tcPr>
          <w:p>
            <w:pPr>
              <w:widowControl/>
              <w:spacing w:after="40" w:line="247" w:lineRule="auto"/>
            </w:pPr>
            <w:r>
              <w:rPr>
                <w:rFonts w:ascii="Calibri" w:hAnsi="Calibri"/>
                <w:b w:val="0"/>
                <w:sz w:val="20"/>
              </w:rPr>
              <w:t>official_no, port_registry, call_sign, mmsi</w:t>
            </w:r>
          </w:p>
        </w:tc>
        <w:tc>
          <w:tcPr>
            <w:tcW w:type="dxa" w:w="7128"/>
            <w:vAlign w:val="center"/>
            <w:shd w:fill="FFFFFF"/>
            <w:tcMar>
              <w:top w:w="90" w:type="dxa"/>
              <w:bottom w:w="90" w:type="dxa"/>
              <w:left w:w="90" w:type="dxa"/>
              <w:right w:w="90" w:type="dxa"/>
            </w:tcMar>
          </w:tcPr>
          <w:p>
            <w:pPr>
              <w:widowControl/>
              <w:spacing w:after="40" w:line="247" w:lineRule="auto"/>
            </w:pPr>
            <w:r>
              <w:rPr>
                <w:rFonts w:ascii="Calibri" w:hAnsi="Calibri"/>
                <w:b w:val="0"/>
                <w:sz w:val="20"/>
              </w:rPr>
              <w:t>İsteğe bağlı beyan metni. Yeni resmî format veya kayıt doğrulama kuralı eklenmedi.</w:t>
            </w:r>
          </w:p>
        </w:tc>
      </w:tr>
      <w:tr>
        <w:trPr>
          <w:cantSplit/>
        </w:trPr>
        <w:tc>
          <w:tcPr>
            <w:tcW w:type="dxa" w:w="3096"/>
            <w:vAlign w:val="center"/>
            <w:shd w:fill="F6F7F9"/>
            <w:tcMar>
              <w:top w:w="90" w:type="dxa"/>
              <w:bottom w:w="90" w:type="dxa"/>
              <w:left w:w="90" w:type="dxa"/>
              <w:right w:w="90" w:type="dxa"/>
            </w:tcMar>
          </w:tcPr>
          <w:p>
            <w:pPr>
              <w:widowControl/>
              <w:spacing w:after="40" w:line="247" w:lineRule="auto"/>
            </w:pPr>
            <w:r>
              <w:rPr>
                <w:rFonts w:ascii="Calibri" w:hAnsi="Calibri"/>
                <w:b w:val="0"/>
                <w:sz w:val="20"/>
              </w:rPr>
              <w:t>gt, nt, dwt, loa, breadth, draft</w:t>
            </w:r>
          </w:p>
        </w:tc>
        <w:tc>
          <w:tcPr>
            <w:tcW w:type="dxa" w:w="7128"/>
            <w:vAlign w:val="center"/>
            <w:shd w:fill="F6F7F9"/>
            <w:tcMar>
              <w:top w:w="90" w:type="dxa"/>
              <w:bottom w:w="90" w:type="dxa"/>
              <w:left w:w="90" w:type="dxa"/>
              <w:right w:w="90" w:type="dxa"/>
            </w:tcMar>
          </w:tcPr>
          <w:p>
            <w:pPr>
              <w:widowControl/>
              <w:spacing w:after="40" w:line="247" w:lineRule="auto"/>
            </w:pPr>
            <w:r>
              <w:rPr>
                <w:rFonts w:ascii="Calibri" w:hAnsi="Calibri"/>
                <w:b w:val="0"/>
                <w:sz w:val="20"/>
              </w:rPr>
              <w:t>gt/nt gros ve net tonajdır, ağırlık tonu değildir. dwt metrik ton; loa/breadth/draft metre. draft yaz su çekimidir, DRAFT durumu değildir.</w:t>
            </w:r>
          </w:p>
        </w:tc>
      </w:tr>
      <w:tr>
        <w:trPr>
          <w:cantSplit/>
        </w:trPr>
        <w:tc>
          <w:tcPr>
            <w:tcW w:type="dxa" w:w="3096"/>
            <w:vAlign w:val="center"/>
            <w:shd w:fill="FFFFFF"/>
            <w:tcMar>
              <w:top w:w="90" w:type="dxa"/>
              <w:bottom w:w="90" w:type="dxa"/>
              <w:left w:w="90" w:type="dxa"/>
              <w:right w:w="90" w:type="dxa"/>
            </w:tcMar>
          </w:tcPr>
          <w:p>
            <w:pPr>
              <w:widowControl/>
              <w:spacing w:after="40" w:line="247" w:lineRule="auto"/>
            </w:pPr>
            <w:r>
              <w:rPr>
                <w:rFonts w:ascii="Calibri" w:hAnsi="Calibri"/>
                <w:b w:val="0"/>
                <w:sz w:val="20"/>
              </w:rPr>
              <w:t>build_date, class_society, class_no</w:t>
            </w:r>
          </w:p>
        </w:tc>
        <w:tc>
          <w:tcPr>
            <w:tcW w:type="dxa" w:w="7128"/>
            <w:vAlign w:val="center"/>
            <w:shd w:fill="FFFFFF"/>
            <w:tcMar>
              <w:top w:w="90" w:type="dxa"/>
              <w:bottom w:w="90" w:type="dxa"/>
              <w:left w:w="90" w:type="dxa"/>
              <w:right w:w="90" w:type="dxa"/>
            </w:tcMar>
          </w:tcPr>
          <w:p>
            <w:pPr>
              <w:widowControl/>
              <w:spacing w:after="40" w:line="247" w:lineRule="auto"/>
            </w:pPr>
            <w:r>
              <w:rPr>
                <w:rFonts w:ascii="Calibri" w:hAnsi="Calibri"/>
                <w:b w:val="0"/>
                <w:sz w:val="20"/>
              </w:rPr>
              <w:t>build_date gerçek ISO takvim tarihidir; gelecek tarih otomatik yasak değildir. Klas alanları beyan referansıdır, geçerli klas kanıtı değildir.</w:t>
            </w:r>
          </w:p>
        </w:tc>
      </w:tr>
      <w:tr>
        <w:trPr>
          <w:cantSplit/>
        </w:trPr>
        <w:tc>
          <w:tcPr>
            <w:tcW w:type="dxa" w:w="3096"/>
            <w:vAlign w:val="center"/>
            <w:shd w:fill="F6F7F9"/>
            <w:tcMar>
              <w:top w:w="90" w:type="dxa"/>
              <w:bottom w:w="90" w:type="dxa"/>
              <w:left w:w="90" w:type="dxa"/>
              <w:right w:w="90" w:type="dxa"/>
            </w:tcMar>
          </w:tcPr>
          <w:p>
            <w:pPr>
              <w:widowControl/>
              <w:spacing w:after="40" w:line="247" w:lineRule="auto"/>
            </w:pPr>
            <w:r>
              <w:rPr>
                <w:rFonts w:ascii="Calibri" w:hAnsi="Calibri"/>
                <w:b w:val="0"/>
                <w:sz w:val="20"/>
              </w:rPr>
              <w:t>doc_company, master_name, dpa_name</w:t>
            </w:r>
          </w:p>
        </w:tc>
        <w:tc>
          <w:tcPr>
            <w:tcW w:type="dxa" w:w="7128"/>
            <w:vAlign w:val="center"/>
            <w:shd w:fill="F6F7F9"/>
            <w:tcMar>
              <w:top w:w="90" w:type="dxa"/>
              <w:bottom w:w="90" w:type="dxa"/>
              <w:left w:w="90" w:type="dxa"/>
              <w:right w:w="90" w:type="dxa"/>
            </w:tcMar>
          </w:tcPr>
          <w:p>
            <w:pPr>
              <w:widowControl/>
              <w:spacing w:after="40" w:line="247" w:lineRule="auto"/>
            </w:pPr>
            <w:r>
              <w:rPr>
                <w:rFonts w:ascii="Calibri" w:hAnsi="Calibri"/>
                <w:b w:val="0"/>
                <w:sz w:val="20"/>
              </w:rPr>
              <w:t>DOC işletmecisi gemi düzeyinde beyan snapshot’ıdır. Adlar doğrulanmamış iletişim veya gösterim verisidir; Company master, kullanıcı, rol veya atama oluşturmaz.</w:t>
            </w:r>
          </w:p>
        </w:tc>
      </w:tr>
      <w:tr>
        <w:trPr>
          <w:cantSplit/>
        </w:trPr>
        <w:tc>
          <w:tcPr>
            <w:tcW w:type="dxa" w:w="3096"/>
            <w:vAlign w:val="center"/>
            <w:shd w:fill="FFFFFF"/>
            <w:tcMar>
              <w:top w:w="90" w:type="dxa"/>
              <w:bottom w:w="90" w:type="dxa"/>
              <w:left w:w="90" w:type="dxa"/>
              <w:right w:w="90" w:type="dxa"/>
            </w:tcMar>
          </w:tcPr>
          <w:p>
            <w:pPr>
              <w:widowControl/>
              <w:spacing w:after="40" w:line="247" w:lineRule="auto"/>
            </w:pPr>
            <w:r>
              <w:rPr>
                <w:rFonts w:ascii="Calibri" w:hAnsi="Calibri"/>
                <w:b w:val="0"/>
                <w:sz w:val="20"/>
              </w:rPr>
              <w:t>evidence_ref, notes</w:t>
            </w:r>
          </w:p>
        </w:tc>
        <w:tc>
          <w:tcPr>
            <w:tcW w:type="dxa" w:w="7128"/>
            <w:vAlign w:val="center"/>
            <w:shd w:fill="FFFFFF"/>
            <w:tcMar>
              <w:top w:w="90" w:type="dxa"/>
              <w:bottom w:w="90" w:type="dxa"/>
              <w:left w:w="90" w:type="dxa"/>
              <w:right w:w="90" w:type="dxa"/>
            </w:tcMar>
          </w:tcPr>
          <w:p>
            <w:pPr>
              <w:widowControl/>
              <w:spacing w:after="40" w:line="247" w:lineRule="auto"/>
            </w:pPr>
            <w:r>
              <w:rPr>
                <w:rFonts w:ascii="Calibri" w:hAnsi="Calibri"/>
                <w:b w:val="0"/>
                <w:sz w:val="20"/>
              </w:rPr>
              <w:t>evidence_ref yalnız metin referansıdır; fetch, attachment veya evidence UUID çözümlemesi yoktur. notes en çok 4000 karakterdir; tarihçede değeri gösterilmez.</w:t>
            </w:r>
          </w:p>
        </w:tc>
      </w:tr>
    </w:tbl>
    <w:p>
      <w:pPr>
        <w:widowControl/>
        <w:spacing w:line="240" w:lineRule="auto" w:after="80"/>
      </w:pPr>
      <w:r>
        <w:rPr>
          <w:sz w:val="2"/>
        </w:rPr>
        <w:t xml:space="preserve"> </w:t>
      </w:r>
    </w:p>
    <w:p>
      <w:pPr>
        <w:widowControl/>
      </w:pPr>
      <w:r>
        <w:t>Diğer metinler en çok 200 karakterdir; baş ve son boşluklar kırpılır, HTML olarak işlenmez. Sayılar JSONB’de JSON number olarak saklanır. API’nin decimal(12,3) teknik aralığı 0..999999999.999’dur; fazla anlamlı ondalık hassasiyeti yuvarlanmadan reddedilir. API bu aralıkta exponent gösterimini destekler; UI noktalı düz gösterimde en çok 9 tam ve 3 ondalık basamak ister. Sıfır bir değer, eksik alan bilinmeyendir. Bunlar denizcilik geçerlilik eşikleri değildir; içe aktarma ve birim dönüşümü uygulanmadı.</w:t>
      </w:r>
    </w:p>
    <w:p>
      <w:pPr>
        <w:widowControl/>
      </w:pPr>
      <w:r>
        <w:t>createdAt yalnız gerçek DRAFT_CREATED olayından alınır; olay yoksa null’dır. modifiedAt gerçek son audit zamanıdır. Eski UPDATE zamanı oluşturulma tarihi gibi sunulmaz. Yirmi yedi ekran alanı, yirmi yedi düzenlenebilir kök alan anlamına gelmez. Requirement, Evidence doğrulama, verifier, crew eligibility, sorumlu rol ve operasyonel hazırlık ayrı, uygulanmamış veya değerlendirilmemiş kapsam olarak kalır.</w:t>
      </w:r>
    </w:p>
    <w:p>
      <w:pPr>
        <w:pStyle w:val="Heading1"/>
        <w:widowControl/>
      </w:pPr>
      <w:r>
        <w:t>5 Erişim sınırı ve değer göstermeyen tarihçe</w:t>
      </w:r>
    </w:p>
    <w:p>
      <w:pPr>
        <w:widowControl/>
      </w:pPr>
      <w:r>
        <w:t>Her nesne okuma, yazma, tarihçe sayfası ve replay için tenant + şirket + oluşturan subject veya açık vessel grant koşulu yeniden uygulanır. Aynı şirkette bulunmak tek başına erişim vermez. Gerçek kimlik issuer+subject birleşimidir. Yetkili salt okunur nesne okuyucusu dar tarihçeyi görebilir, mutasyon yapamaz. BFF namespace ayrıdır; cookie, CSRF ve gösterilen scope önkoşulu gerekir. Bearer namespace cookie kabul etmez.</w:t>
      </w:r>
    </w:p>
    <w:p>
      <w:pPr>
        <w:widowControl/>
      </w:pPr>
      <w:r>
        <w:t>Tarihçe yalnız eventId, occurredAt, version, action, changedFields ve actorRelation döndürür. actorRelation SELF/OTHER’dır. Alan değerleri, isim, e-posta, issuer, subject, actor hash, şirket, correlation, IP, cihaz, before/after JSON ve reopen gerekçesi dönmez. changedFields sabit inventory alanları ile adminState’e sınırlıdır. Bilinmeyen tarihsel action HISTORICAL_METADATA_CHANGE olur; bilinmeyen anahtarlar çıkarılır. Tarihsel kayıtlar değiştirilmez.</w:t>
      </w:r>
    </w:p>
    <w:p>
      <w:pPr>
        <w:widowControl/>
      </w:pPr>
      <w:r>
        <w:t>Tarihçe sırası version DESC ve event UUID DESC’tir; varsayılan sayfa 20, üst sınır 100’dür. Cursor nesne, current scope, sıra formatı ve pageSize’a bağlıdır; koleksiyon cursor’undan ayrı namespace kullanır. Cursor yetki belgesi değildir; her sayfa güncel nesne erişimiyle sorgulanır.</w:t>
      </w:r>
    </w:p>
    <w:p>
      <w:pPr>
        <w:widowControl/>
      </w:pPr>
      <w:r>
        <w:t>Koleksiyon araması önceki ASCII fold ve literal wildcard davranışını korur. Yeni adminState ve asset_mode filtreleri tam eşleşmelidir ve cursor’a dahildir. Sayfalama snapshot garantisi vermez; eşzamanlı insert veya update sonrası ilk sayfadan yenileme gerekebilir.</w:t>
      </w:r>
    </w:p>
    <w:p>
      <w:pPr>
        <w:pStyle w:val="Heading1"/>
        <w:widowControl/>
      </w:pPr>
      <w:r>
        <w:t>6 İşlem bütünlüğü ve güvenli tekrar</w:t>
      </w:r>
    </w:p>
    <w:p>
      <w:pPr>
        <w:widowControl/>
      </w:pPr>
      <w:r>
        <w:t>Her yazı idempotency UUID ister: eksik anahtar 428, bozuk anahtar 400; güncelleme ve komutlarda eksik If-Match 428, eski sürüm 412, yanlış geçiş 409, geçersiz metadata 422, yetki yoksa 403 ve erişilemeyen nesnede 404 döner. Namespace, action, id, version ve body fingerprint’e dahildir. Aynı anahtar farklı girdide 409 üretir.</w:t>
      </w:r>
    </w:p>
    <w:p>
      <w:pPr>
        <w:widowControl/>
      </w:pPr>
      <w:r>
        <w:t>Anahtar advisory lock ve nesne satır kilidi aynı transaction içindedir. Yetki ve eksiksizlik kilitlenen sürüm için değerlendirilir; aggregate sürümü, data/state, audit ve replay sonucu atomik yazılır. Replay güncel erişimi, özgün olayın gerektirdiği yetkiyi ve güncel metadata durum yetkisini yeniden denetler. Yönetici düzenlemesi, reopen sonrasında sıradan draft yazarı tarafından replay edilemez. Replay yeni olay veya sürüm üretmez.</w:t>
      </w:r>
    </w:p>
    <w:p>
      <w:pPr>
        <w:widowControl/>
      </w:pPr>
      <w:r>
        <w:t>UI replay sonrasında güncel tam kaydı yeniden okur. POST onaylanmışken takip GET başarısız olursa Operation.confirmedId ve özgün anahtar korunur; tekrar yalnız GET yapar, ikinci create göndermez. Üretici regresyon testi iki GET403 sonrasında izin geri geldiğinde tek POST kaldığını doğrular. Ağ hatası başarı gibi gösterilmez; oturum veya scope değişiminde eski yanıt yeni duruma uygulanmaz.</w:t>
      </w:r>
    </w:p>
    <w:p>
      <w:pPr>
        <w:widowControl/>
      </w:pPr>
      <w:r>
        <w:t>Belirsiz yanıt ayrı ele alınır. Network/5xx veya araya giren session expiry nedeniyle sonucu bilinmeyen işlem uncertain olarak özgün anahtarıyla tutulur. Sonraki retry403, önceki commit’in gerçekleşmediğini kanıtlamaz; anahtar korunur ve yeni create açılmaz. İzin geri geldiğinde aynı anahtarla replay yapılır. Kullanıcı ayrılmayı veya yeniden girişi seçerse, kaydın sunucuda oluşmuş olabileceği ve özgün retry anahtarının kaybolacağı açıkça belirtilir. Yetki iptalinde cached success dönmez; sunucunun 403 davranışı korunur.</w:t>
      </w:r>
    </w:p>
    <w:p>
      <w:pPr>
        <w:widowControl/>
      </w:pPr>
      <w:r>
        <w:t>API istemcisi logout ve mutasyonları ilk await öncesinde ortak rezervasyona alır. Parent logout busy ile child busy ayrıdır. Çıkış başladıktan sonra Save, Record, Reopen ve form submit yeni yazı başlatamaz. Önceden başlayan yazı varsa logout reddedilir veya yazının sonucu beklenir; logout işlemi önceki commit’i iptal etmiş gibi gösterilmez. Bu istemci sıralama koruması, sunucunun CSRF, scope, grant ve idempotency kontrollerinin yerine geçmez.</w:t>
      </w:r>
    </w:p>
    <w:p>
      <w:pPr>
        <w:pStyle w:val="Heading1"/>
        <w:widowControl/>
      </w:pPr>
      <w:r>
        <w:t>7 Migration ve eski istemci uyumluluğu</w:t>
      </w:r>
    </w:p>
    <w:p>
      <w:pPr>
        <w:widowControl/>
      </w:pPr>
      <w:r>
        <w:t>001 migration değiştirilmedi. Yeni 002, ledger ve advisory lock ile ayrı transaction içinde bir kez uygulanır. Eski kurulumda ledger yoksa idempotent 001 kabul edilip 002 uygulanır. Eski gemiler DRAFT/schema1 kalır; dolu metadata’dan RECORDED çıkarılmaz. Yeni yüzeydeki ilk yazı schema2’ye geçirir.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6336"/>
      </w:tblGrid>
      <w:tr>
        <w:trPr>
          <w:cantSplit/>
          <w:tblHeader/>
        </w:trPr>
        <w:tc>
          <w:tcPr>
            <w:tcW w:type="dxa" w:w="3888"/>
            <w:vAlign w:val="center"/>
            <w:shd w:fill="E8EDF2"/>
            <w:tcMar>
              <w:top w:w="90" w:type="dxa"/>
              <w:bottom w:w="90" w:type="dxa"/>
              <w:left w:w="90" w:type="dxa"/>
              <w:right w:w="90" w:type="dxa"/>
            </w:tcMar>
          </w:tcPr>
          <w:p>
            <w:pPr>
              <w:widowControl/>
              <w:spacing w:after="40" w:line="247" w:lineRule="auto"/>
            </w:pPr>
            <w:r>
              <w:rPr>
                <w:rFonts w:ascii="Calibri" w:hAnsi="Calibri"/>
                <w:b/>
                <w:sz w:val="20"/>
              </w:rPr>
              <w:t>Eski istemci davranışı</w:t>
            </w:r>
          </w:p>
        </w:tc>
        <w:tc>
          <w:tcPr>
            <w:tcW w:type="dxa" w:w="6336"/>
            <w:vAlign w:val="center"/>
            <w:shd w:fill="E8EDF2"/>
            <w:tcMar>
              <w:top w:w="90" w:type="dxa"/>
              <w:bottom w:w="90" w:type="dxa"/>
              <w:left w:w="90" w:type="dxa"/>
              <w:right w:w="90" w:type="dxa"/>
            </w:tcMar>
          </w:tcPr>
          <w:p>
            <w:pPr>
              <w:widowControl/>
              <w:spacing w:after="40" w:line="247" w:lineRule="auto"/>
            </w:pPr>
            <w:r>
              <w:rPr>
                <w:rFonts w:ascii="Calibri" w:hAnsi="Calibri"/>
                <w:b/>
                <w:sz w:val="20"/>
              </w:rPr>
              <w:t>Sonuç</w:t>
            </w:r>
          </w:p>
        </w:tc>
      </w:tr>
      <w:tr>
        <w:trPr>
          <w:cantSplit/>
        </w:trPr>
        <w:tc>
          <w:tcPr>
            <w:tcW w:type="dxa" w:w="3888"/>
            <w:vAlign w:val="center"/>
            <w:shd w:fill="FFFFFF"/>
            <w:tcMar>
              <w:top w:w="90" w:type="dxa"/>
              <w:bottom w:w="90" w:type="dxa"/>
              <w:left w:w="90" w:type="dxa"/>
              <w:right w:w="90" w:type="dxa"/>
            </w:tcMar>
          </w:tcPr>
          <w:p>
            <w:pPr>
              <w:widowControl/>
              <w:spacing w:after="40" w:line="247" w:lineRule="auto"/>
            </w:pPr>
            <w:r>
              <w:rPr>
                <w:rFonts w:ascii="Calibri" w:hAnsi="Calibri"/>
                <w:b w:val="0"/>
                <w:sz w:val="20"/>
              </w:rPr>
              <w:t>v1 DRAFT create ve replace</w:t>
            </w:r>
          </w:p>
        </w:tc>
        <w:tc>
          <w:tcPr>
            <w:tcW w:type="dxa" w:w="6336"/>
            <w:vAlign w:val="center"/>
            <w:shd w:fill="FFFFFF"/>
            <w:tcMar>
              <w:top w:w="90" w:type="dxa"/>
              <w:bottom w:w="90" w:type="dxa"/>
              <w:left w:w="90" w:type="dxa"/>
              <w:right w:w="90" w:type="dxa"/>
            </w:tcMar>
          </w:tcPr>
          <w:p>
            <w:pPr>
              <w:widowControl/>
              <w:spacing w:after="40" w:line="247" w:lineRule="auto"/>
            </w:pPr>
            <w:r>
              <w:rPr>
                <w:rFonts w:ascii="Calibri" w:hAnsi="Calibri"/>
                <w:b w:val="0"/>
                <w:sz w:val="20"/>
              </w:rPr>
              <w:t>Önceki davranış korunur.</w:t>
            </w:r>
          </w:p>
        </w:tc>
      </w:tr>
      <w:tr>
        <w:trPr>
          <w:cantSplit/>
        </w:trPr>
        <w:tc>
          <w:tcPr>
            <w:tcW w:type="dxa" w:w="3888"/>
            <w:vAlign w:val="center"/>
            <w:shd w:fill="F6F7F9"/>
            <w:tcMar>
              <w:top w:w="90" w:type="dxa"/>
              <w:bottom w:w="90" w:type="dxa"/>
              <w:left w:w="90" w:type="dxa"/>
              <w:right w:w="90" w:type="dxa"/>
            </w:tcMar>
          </w:tcPr>
          <w:p>
            <w:pPr>
              <w:widowControl/>
              <w:spacing w:after="40" w:line="247" w:lineRule="auto"/>
            </w:pPr>
            <w:r>
              <w:rPr>
                <w:rFonts w:ascii="Calibri" w:hAnsi="Calibri"/>
                <w:b w:val="0"/>
                <w:sz w:val="20"/>
              </w:rPr>
              <w:t>schema2 DRAFT single GET</w:t>
            </w:r>
          </w:p>
        </w:tc>
        <w:tc>
          <w:tcPr>
            <w:tcW w:type="dxa" w:w="6336"/>
            <w:vAlign w:val="center"/>
            <w:shd w:fill="F6F7F9"/>
            <w:tcMar>
              <w:top w:w="90" w:type="dxa"/>
              <w:bottom w:w="90" w:type="dxa"/>
              <w:left w:w="90" w:type="dxa"/>
              <w:right w:w="90" w:type="dxa"/>
            </w:tcMar>
          </w:tcPr>
          <w:p>
            <w:pPr>
              <w:widowControl/>
              <w:spacing w:after="40" w:line="247" w:lineRule="auto"/>
            </w:pPr>
            <w:r>
              <w:rPr>
                <w:rFonts w:ascii="Calibri" w:hAnsi="Calibri"/>
                <w:b w:val="0"/>
                <w:sz w:val="20"/>
              </w:rPr>
              <w:t>Yalnız yedi eski metin alanına projeksiyon döner.</w:t>
            </w:r>
          </w:p>
        </w:tc>
      </w:tr>
      <w:tr>
        <w:trPr>
          <w:cantSplit/>
        </w:trPr>
        <w:tc>
          <w:tcPr>
            <w:tcW w:type="dxa" w:w="3888"/>
            <w:vAlign w:val="center"/>
            <w:shd w:fill="FFFFFF"/>
            <w:tcMar>
              <w:top w:w="90" w:type="dxa"/>
              <w:bottom w:w="90" w:type="dxa"/>
              <w:left w:w="90" w:type="dxa"/>
              <w:right w:w="90" w:type="dxa"/>
            </w:tcMar>
          </w:tcPr>
          <w:p>
            <w:pPr>
              <w:widowControl/>
              <w:spacing w:after="40" w:line="247" w:lineRule="auto"/>
            </w:pPr>
            <w:r>
              <w:rPr>
                <w:rFonts w:ascii="Calibri" w:hAnsi="Calibri"/>
                <w:b w:val="0"/>
                <w:sz w:val="20"/>
              </w:rPr>
              <w:t>RECORDED single GET</w:t>
            </w:r>
          </w:p>
        </w:tc>
        <w:tc>
          <w:tcPr>
            <w:tcW w:type="dxa" w:w="6336"/>
            <w:vAlign w:val="center"/>
            <w:shd w:fill="FFFFFF"/>
            <w:tcMar>
              <w:top w:w="90" w:type="dxa"/>
              <w:bottom w:w="90" w:type="dxa"/>
              <w:left w:w="90" w:type="dxa"/>
              <w:right w:w="90" w:type="dxa"/>
            </w:tcMar>
          </w:tcPr>
          <w:p>
            <w:pPr>
              <w:widowControl/>
              <w:spacing w:after="40" w:line="247" w:lineRule="auto"/>
            </w:pPr>
            <w:r>
              <w:rPr>
                <w:rFonts w:ascii="Calibri" w:hAnsi="Calibri"/>
                <w:b w:val="0"/>
                <w:sz w:val="20"/>
              </w:rPr>
              <w:t>409; eski koleksiyon yalnız DRAFT döndürür.</w:t>
            </w:r>
          </w:p>
        </w:tc>
      </w:tr>
      <w:tr>
        <w:trPr>
          <w:cantSplit/>
        </w:trPr>
        <w:tc>
          <w:tcPr>
            <w:tcW w:type="dxa" w:w="3888"/>
            <w:vAlign w:val="center"/>
            <w:shd w:fill="F6F7F9"/>
            <w:tcMar>
              <w:top w:w="90" w:type="dxa"/>
              <w:bottom w:w="90" w:type="dxa"/>
              <w:left w:w="90" w:type="dxa"/>
              <w:right w:w="90" w:type="dxa"/>
            </w:tcMar>
          </w:tcPr>
          <w:p>
            <w:pPr>
              <w:widowControl/>
              <w:spacing w:after="40" w:line="247" w:lineRule="auto"/>
            </w:pPr>
            <w:r>
              <w:rPr>
                <w:rFonts w:ascii="Calibri" w:hAnsi="Calibri"/>
                <w:b w:val="0"/>
                <w:sz w:val="20"/>
              </w:rPr>
              <w:t>schema2 veya RECORDED yazı ve replay</w:t>
            </w:r>
          </w:p>
        </w:tc>
        <w:tc>
          <w:tcPr>
            <w:tcW w:type="dxa" w:w="6336"/>
            <w:vAlign w:val="center"/>
            <w:shd w:fill="F6F7F9"/>
            <w:tcMar>
              <w:top w:w="90" w:type="dxa"/>
              <w:bottom w:w="90" w:type="dxa"/>
              <w:left w:w="90" w:type="dxa"/>
              <w:right w:w="90" w:type="dxa"/>
            </w:tcMar>
          </w:tcPr>
          <w:p>
            <w:pPr>
              <w:widowControl/>
              <w:spacing w:after="40" w:line="247" w:lineRule="auto"/>
            </w:pPr>
            <w:r>
              <w:rPr>
                <w:rFonts w:ascii="Calibri" w:hAnsi="Calibri"/>
                <w:b w:val="0"/>
                <w:sz w:val="20"/>
              </w:rPr>
              <w:t>Replay denetiminden önce de 409. Legacy submit 403 kalır.</w:t>
            </w:r>
          </w:p>
        </w:tc>
      </w:tr>
      <w:tr>
        <w:trPr>
          <w:cantSplit/>
        </w:trPr>
        <w:tc>
          <w:tcPr>
            <w:tcW w:type="dxa" w:w="3888"/>
            <w:vAlign w:val="center"/>
            <w:shd w:fill="FFFFFF"/>
            <w:tcMar>
              <w:top w:w="90" w:type="dxa"/>
              <w:bottom w:w="90" w:type="dxa"/>
              <w:left w:w="90" w:type="dxa"/>
              <w:right w:w="90" w:type="dxa"/>
            </w:tcMar>
          </w:tcPr>
          <w:p>
            <w:pPr>
              <w:widowControl/>
              <w:spacing w:after="40" w:line="247" w:lineRule="auto"/>
            </w:pPr>
            <w:r>
              <w:rPr>
                <w:rFonts w:ascii="Calibri" w:hAnsi="Calibri"/>
                <w:b w:val="0"/>
                <w:sz w:val="20"/>
              </w:rPr>
              <w:t>Sertifika bağlantısı</w:t>
            </w:r>
          </w:p>
        </w:tc>
        <w:tc>
          <w:tcPr>
            <w:tcW w:type="dxa" w:w="6336"/>
            <w:vAlign w:val="center"/>
            <w:shd w:fill="FFFFFF"/>
            <w:tcMar>
              <w:top w:w="90" w:type="dxa"/>
              <w:bottom w:w="90" w:type="dxa"/>
              <w:left w:w="90" w:type="dxa"/>
              <w:right w:w="90" w:type="dxa"/>
            </w:tcMar>
          </w:tcPr>
          <w:p>
            <w:pPr>
              <w:widowControl/>
              <w:spacing w:after="40" w:line="247" w:lineRule="auto"/>
            </w:pPr>
            <w:r>
              <w:rPr>
                <w:rFonts w:ascii="Calibri" w:hAnsi="Calibri"/>
                <w:b w:val="0"/>
                <w:sz w:val="20"/>
              </w:rPr>
              <w:t>Seçici tam inventory koleksiyonunu kullanır; sertifika erişimi legacy DTO yerine temel gemi nesnesinden denetlenir.</w:t>
            </w:r>
          </w:p>
        </w:tc>
      </w:tr>
    </w:tbl>
    <w:p>
      <w:pPr>
        <w:widowControl/>
        <w:spacing w:line="240" w:lineRule="auto" w:after="80"/>
      </w:pPr>
      <w:r>
        <w:rPr>
          <w:sz w:val="2"/>
        </w:rPr>
        <w:t xml:space="preserve"> </w:t>
      </w:r>
    </w:p>
    <w:p>
      <w:pPr>
        <w:widowControl/>
      </w:pPr>
      <w:r>
        <w:t>002 DB trigger schema2 ve RECORDED satırlarını eski UPDATE ifadesine karşı korur. Yeni envanter transaction’ı yalnız kendi bağlantısına transaction-local poseidon.inventory_write=on koyar. Bu uygulama uyumluluk korumasıdır; kötü niyetli veritabanı sahibi kullanıcıya karşı bağımsız güvenlik sınırı veya SQL grant değildir. Yeni güvenlik grant’i verilmedi.</w:t>
      </w:r>
    </w:p>
    <w:p>
      <w:pPr>
        <w:widowControl/>
      </w:pPr>
      <w:r>
        <w:rPr>
          <w:b/>
        </w:rPr>
        <w:t>Rollback sınırı:</w:t>
      </w:r>
      <w:r>
        <w:t xml:space="preserve"> Eski binary’ye geri dağıtım güvenli değildir. Eski kod RECORDED kaydı DRAFT olarak etiketleyebilir. Trigger eski yazı kaybını engeller, bütün uygulama rollback’ini desteklemez. Storage, sunucu ve sürümlenmiş UI birlikte kurulmalıdır; sorun halinde forward fix veya doğrulanmış yedekten kontrollü restore gerekir. Gerçek deployment, migration ve restore bu teslimde yapılmadı; testler ayrılmış sentetik PostgreSQL kullandı.</w:t>
      </w:r>
    </w:p>
    <w:p>
      <w:pPr>
        <w:pStyle w:val="Heading1"/>
        <w:widowControl/>
      </w:pPr>
      <w:r>
        <w:t>8 Bağımsız inceleme ve bulgular</w:t>
      </w:r>
    </w:p>
    <w:p>
      <w:pPr>
        <w:widowControl/>
      </w:pPr>
      <w:r>
        <w:t>Üretici teslim kaydı önceki bağımsız salt okunur incelemede üç P2 bulunduğunu ve kapatıldığını bildirir: JSON gövdesi beklerken session invalidation, eksik tarihsel createdAt yerine update zamanı gösterilmesi ve onaylanmış POST sonrası GET hatasında ikinci create riski. Bu üç düzeltme ve regresyonları üreticinin son test kapsamındadır; inceleyen runtime testi çalıştırmadı.</w:t>
      </w:r>
    </w:p>
    <w:p>
      <w:pPr>
        <w:widowControl/>
      </w:pPr>
      <w:r>
        <w:t>Sonraki yerel bağımsız incelemede iki ek P2 bulundu: logout beklerken yeni mutasyon başlayabilmesi ve belirsiz create işlemindeki anahtarın sonraki 4xx yanıtında kaybolması. Düzeltilmiş paketin yeniden incelemesi her iki P2’nin ve ilişkili session expiry belirsizliği uyarısının kapandığını doğruladı. İncelenen kapsamda açık somut yayın engeli bulunmadı; paket REVIEW CANDIDATE olarak kaldı.</w:t>
      </w:r>
    </w:p>
    <w:p>
      <w:pPr>
        <w:widowControl/>
      </w:pPr>
      <w:r>
        <w:t>Bağımsız bütünlük incelemesi 83 kaynak dosyasının SHA256 ve uzunluklarını, tam dosya envanterini, 98 archive-manifest kaydını, 99 ZIP girdisini, ZIP/yama hash’lerini ve ters yama uygulanabilirliğini doğruladı. Test dışı 18 backend kaynak dosyası önceki kaynak incelemesiyle byte düzeyinde aynıydı. Bu statik kaynak ve kanıt incelemesidir; üretici testleri yerelde yeniden çalıştırılmadı.</w:t>
      </w:r>
    </w:p>
    <w:p>
      <w:pPr>
        <w:widowControl/>
      </w:pPr>
      <w:r>
        <w:t>Yeni App regresyonları, CSRF ve logout yanıtı beklerken metadata, record ve reopen için sıfır yazıyı; ters sırada başlamış yazı varken logout reddini; ilk yazı sırasında concurrent session expiry sonrasında olası commit uyarısını kapsar. Bu regresyonlar ve gerçek BFF tarayıcı hata enjeksiyonu üreticinin son koşularıdır; bağımsız runtime tekrar koşusu değildir.</w:t>
      </w:r>
    </w:p>
    <w:p>
      <w:pPr>
        <w:widowControl/>
      </w:pPr>
      <w:r>
        <w:t>Kaynak ve hash incelemesi kullanıcı UAT’si, bağımsız penetrasyon testi, imzalı güvenlik kabulü, bayrak veya klas kararı ve production GO yerine geçmez.</w:t>
      </w:r>
    </w:p>
    <w:p>
      <w:pPr>
        <w:pStyle w:val="Heading1"/>
        <w:widowControl/>
      </w:pPr>
      <w:r>
        <w:t>9 Kullanıcı kabulü ve açık yayın kapıları</w:t>
      </w:r>
    </w:p>
    <w:p>
      <w:pPr>
        <w:widowControl/>
      </w:pPr>
      <w:r>
        <w:t>Esra UAT’si PENDING ve özel kullanıcı tarayıcı erişimi NOT_ESTABLISHED durumundadır. Localhost talimatı, görev bağlantısı veya Library’deki dosya bağlantısı çalışan uygulamaya erişim kanıtı değildir. U14 kapanmadan paket kullanıcıya hazır veya USER_ACCEPTED diye sunulamaz. Erişilebilir owner-authenticated özel test URL’si, exact build ve yetkili sentetik roller sağlandıktan sonra gerçek kullanıcı bulgusu, retest ve açık kabul kararı kaydedilmelidir.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cantSplit/>
          <w:tblHeader/>
        </w:trPr>
        <w:tc>
          <w:tcPr>
            <w:tcW w:type="dxa" w:w="2520"/>
            <w:vAlign w:val="center"/>
            <w:shd w:fill="E8EDF2"/>
            <w:tcMar>
              <w:top w:w="90" w:type="dxa"/>
              <w:bottom w:w="90" w:type="dxa"/>
              <w:left w:w="90" w:type="dxa"/>
              <w:right w:w="90" w:type="dxa"/>
            </w:tcMar>
          </w:tcPr>
          <w:p>
            <w:pPr>
              <w:widowControl/>
              <w:spacing w:after="40" w:line="247" w:lineRule="auto"/>
            </w:pPr>
            <w:r>
              <w:rPr>
                <w:rFonts w:ascii="Calibri" w:hAnsi="Calibri"/>
                <w:b/>
                <w:sz w:val="20"/>
              </w:rPr>
              <w:t>Bekleyen kontrol</w:t>
            </w:r>
          </w:p>
        </w:tc>
        <w:tc>
          <w:tcPr>
            <w:tcW w:type="dxa" w:w="7704"/>
            <w:vAlign w:val="center"/>
            <w:shd w:fill="E8EDF2"/>
            <w:tcMar>
              <w:top w:w="90" w:type="dxa"/>
              <w:bottom w:w="90" w:type="dxa"/>
              <w:left w:w="90" w:type="dxa"/>
              <w:right w:w="90" w:type="dxa"/>
            </w:tcMar>
          </w:tcPr>
          <w:p>
            <w:pPr>
              <w:widowControl/>
              <w:spacing w:after="40" w:line="247" w:lineRule="auto"/>
            </w:pPr>
            <w:r>
              <w:rPr>
                <w:rFonts w:ascii="Calibri" w:hAnsi="Calibri"/>
                <w:b/>
                <w:sz w:val="20"/>
              </w:rPr>
              <w:t>Gerekli kanıt</w:t>
            </w:r>
          </w:p>
        </w:tc>
      </w:tr>
      <w:tr>
        <w:trPr>
          <w:cantSplit/>
        </w:trPr>
        <w:tc>
          <w:tcPr>
            <w:tcW w:type="dxa" w:w="25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U01–U06 idari yolculuk</w:t>
            </w:r>
          </w:p>
        </w:tc>
        <w:tc>
          <w:tcPr>
            <w:tcW w:type="dxa" w:w="77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Eksik DRAFT; SHIP ve IMO olmadan TUG kaydı; beyan metadata/birimler; kayıtlı düzeltme; gerekçeli reopen ve aynı UUID ile tekrar kayıt.</w:t>
            </w:r>
          </w:p>
        </w:tc>
      </w:tr>
      <w:tr>
        <w:trPr>
          <w:cantSplit/>
        </w:trPr>
        <w:tc>
          <w:tcPr>
            <w:tcW w:type="dxa" w:w="25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U07–U11 yetki ve uyumluluk</w:t>
            </w:r>
          </w:p>
        </w:tc>
        <w:tc>
          <w:tcPr>
            <w:tcW w:type="dxa" w:w="7704"/>
            <w:vAlign w:val="center"/>
            <w:shd w:fill="F6F7F9"/>
            <w:tcMar>
              <w:top w:w="90" w:type="dxa"/>
              <w:bottom w:w="90" w:type="dxa"/>
              <w:left w:w="90" w:type="dxa"/>
              <w:right w:w="90" w:type="dxa"/>
            </w:tcMar>
          </w:tcPr>
          <w:p>
            <w:pPr>
              <w:widowControl/>
              <w:spacing w:after="40" w:line="247" w:lineRule="auto"/>
            </w:pPr>
            <w:r>
              <w:rPr>
                <w:rFonts w:ascii="Calibri" w:hAnsi="Calibri"/>
                <w:b w:val="0"/>
                <w:sz w:val="20"/>
              </w:rPr>
              <w:t>Readonly ile erişimsiz kullanıcı ayrımı; tenant/company/scope/CSRF; If-Match ve replay; değer göstermeyen tarihçe; legacy v1/v2/RECORDED ve sertifika bağlantısı.</w:t>
            </w:r>
          </w:p>
        </w:tc>
      </w:tr>
      <w:tr>
        <w:trPr>
          <w:cantSplit/>
        </w:trPr>
        <w:tc>
          <w:tcPr>
            <w:tcW w:type="dxa" w:w="25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U12–U14 kullanıcı kabulü</w:t>
            </w:r>
          </w:p>
        </w:tc>
        <w:tc>
          <w:tcPr>
            <w:tcW w:type="dxa" w:w="77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TR/EN ve üç viewport; dirty cancel, expiry/logout/relogin; eski DB migration; exact build ve özel tarayıcı erişimiyle Esra testi. Logout beklemesi, kayıp yanıt sonrası 403 replay ve ilk yazıda expiry uyarısı dahildir. Sonuçların tümü bekliyor.</w:t>
            </w:r>
          </w:p>
        </w:tc>
      </w:tr>
      <w:tr>
        <w:trPr>
          <w:cantSplit/>
        </w:trPr>
        <w:tc>
          <w:tcPr>
            <w:tcW w:type="dxa" w:w="25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Gerçek kimlik ve ağ</w:t>
            </w:r>
          </w:p>
        </w:tc>
        <w:tc>
          <w:tcPr>
            <w:tcW w:type="dxa" w:w="7704"/>
            <w:vAlign w:val="center"/>
            <w:shd w:fill="F6F7F9"/>
            <w:tcMar>
              <w:top w:w="90" w:type="dxa"/>
              <w:bottom w:w="90" w:type="dxa"/>
              <w:left w:w="90" w:type="dxa"/>
              <w:right w:w="90" w:type="dxa"/>
            </w:tcMar>
          </w:tcPr>
          <w:p>
            <w:pPr>
              <w:widowControl/>
              <w:spacing w:after="40" w:line="247" w:lineRule="auto"/>
            </w:pPr>
            <w:r>
              <w:rPr>
                <w:rFonts w:ascii="Calibri" w:hAnsi="Calibri"/>
                <w:b w:val="0"/>
                <w:sz w:val="20"/>
              </w:rPr>
              <w:t>Native TLS, canlı IdP/federasyon/refresh/logout ve production proxy NOT_RUN; kurumsal key/ticket/provisioning işletimi uygulanmış veya kabul edilmiş değildir.</w:t>
            </w:r>
          </w:p>
        </w:tc>
      </w:tr>
      <w:tr>
        <w:trPr>
          <w:cantSplit/>
        </w:trPr>
        <w:tc>
          <w:tcPr>
            <w:tcW w:type="dxa" w:w="25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Ürün ve operasyon</w:t>
            </w:r>
          </w:p>
        </w:tc>
        <w:tc>
          <w:tcPr>
            <w:tcW w:type="dxa" w:w="77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Authoritative class/flag/subtype, IMO applicability/registry, crew/master/DPA ataması, kanıt doğrulama, operasyonel readiness ve offline ayrı modüllerdir.</w:t>
            </w:r>
          </w:p>
        </w:tc>
      </w:tr>
      <w:tr>
        <w:trPr>
          <w:cantSplit/>
        </w:trPr>
        <w:tc>
          <w:tcPr>
            <w:tcW w:type="dxa" w:w="25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Kapasite ve erişilebilirlik</w:t>
            </w:r>
          </w:p>
        </w:tc>
        <w:tc>
          <w:tcPr>
            <w:tcW w:type="dxa" w:w="7704"/>
            <w:vAlign w:val="center"/>
            <w:shd w:fill="F6F7F9"/>
            <w:tcMar>
              <w:top w:w="90" w:type="dxa"/>
              <w:bottom w:w="90" w:type="dxa"/>
              <w:left w:w="90" w:type="dxa"/>
              <w:right w:w="90" w:type="dxa"/>
            </w:tcMar>
          </w:tcPr>
          <w:p>
            <w:pPr>
              <w:widowControl/>
              <w:spacing w:after="40" w:line="247" w:lineRule="auto"/>
            </w:pPr>
            <w:r>
              <w:rPr>
                <w:rFonts w:ascii="Calibri" w:hAnsi="Calibri"/>
                <w:b w:val="0"/>
                <w:sz w:val="20"/>
              </w:rPr>
              <w:t>Büyük ölçekli sorgu/indeks, gerçek cihaz, diğer tarayıcılar, ekran okuyucu ve tam WCAG kabulü ayrıca bekler.</w:t>
            </w:r>
          </w:p>
        </w:tc>
      </w:tr>
    </w:tbl>
    <w:p>
      <w:pPr>
        <w:widowControl/>
        <w:spacing w:line="240" w:lineRule="auto" w:after="80"/>
      </w:pPr>
      <w:r>
        <w:rPr>
          <w:sz w:val="2"/>
        </w:rPr>
        <w:t xml:space="preserve"> </w:t>
      </w:r>
    </w:p>
    <w:p>
      <w:pPr>
        <w:widowControl/>
      </w:pPr>
      <w:r>
        <w:t>Tekrarlanabilir seeder yalnız mevcut loopback Development API ve ayrılmış sentetik PostgreSQL içindir. inventory-manager sentetiktir; gerçek kullanıcı grant’i veya geniş şirket görünürlüğü sağlamaz. Her yeniden çalıştırma yeni sentetik kayıt üretir. Hata kaydına build arşiv SHA’sı, adım, dil/viewport, sentetik UUID ve beklenen/görülen davranış yazılır; token, gerçek kullanıcı verisi veya ekran görüntüsü eklenmez.</w:t>
      </w:r>
    </w:p>
    <w:p>
      <w:pPr>
        <w:pStyle w:val="Heading1"/>
        <w:pageBreakBefore/>
        <w:widowControl/>
      </w:pPr>
      <w:r>
        <w:t>10 Kanıt paketi ve tarihsel kayıt</w:t>
      </w:r>
    </w:p>
    <w:p>
      <w:pPr>
        <w:widowControl/>
      </w:pPr>
      <w:r/>
      <w:hyperlink r:id="rId12">
        <w:r>
          <w:rPr>
            <w:color w:val="000000"/>
            <w:u w:val="single"/>
          </w:rPr>
          <w:t>32.02 İdari gemi ve römorkör envanteri kanıtları</w:t>
        </w:r>
      </w:hyperlink>
    </w:p>
    <w:p>
      <w:pPr>
        <w:widowControl/>
      </w:pPr>
      <w:r>
        <w:t>Kanıt ZIP SHA256</w:t>
        <w:br/>
        <w:t>489f0f04232013092f2c1592738cd99cb73dd7f97372ba97531ed32fc8e6d7b3</w:t>
      </w:r>
    </w:p>
    <w:p>
      <w:pPr>
        <w:widowControl/>
      </w:pPr>
      <w:r>
        <w:t>Arşiv 99 girdi içerir: 83 dosyalık source/ anlık görüntüsü, inventory-admin.patch, SHA256 manifestleri, RAPOR_TR.md, result.json ve sanitize edilmiş test kanıtları. Güncel kararlar source/docs/ADR_INVENTORY_ADMIN.md, kullanıcı adımları source/docs/INVENTORY_ADMIN_UAT.md ve API eki source/src/Backend/docs/API_CONTRACT.md içindedir. archive-manifest.json kendisi dışındaki 98 dosyayı listeler. patch-verification.json temiz tabana yama ve byte karşılaştırmasını üretici PASS olarak kaydeder.</w:t>
      </w:r>
    </w:p>
    <w:p>
      <w:pPr>
        <w:widowControl/>
      </w:pPr>
      <w:r>
        <w:t>Arşivde secret, gerçek DB veya kullanıcı verisi, node_modules, bin/obj, .git ve ekran görüntüsü yoktur. Eski kaynak test özetleri tarihsel kayıttır; güncel sonuçlar RAPOR_TR.md ve result.json ile bu rapordaki exact kaynak bağı üzerinden okunur. 27–31 numaralı önceki rapor ve kanıt setleri değiştirilmeden korunur. 30.01 yol haritasındaki tam ürün kabulü bu teknik idari dilimle kapanmaz.</w:t>
      </w:r>
    </w:p>
    <w:p>
      <w:pPr>
        <w:widowControl/>
      </w:pPr>
      <w:r/>
      <w:r>
        <w:t xml:space="preserve">İlgili kayıtlar: </w:t>
      </w:r>
      <w:hyperlink r:id="rId13">
        <w:r>
          <w:rPr>
            <w:color w:val="000000"/>
            <w:u w:val="single"/>
          </w:rPr>
          <w:t>31.01 Envanter tarama ve sayfalama raporu</w:t>
        </w:r>
      </w:hyperlink>
      <w:r>
        <w:t xml:space="preserve">  |  </w:t>
      </w:r>
      <w:hyperlink r:id="rId14">
        <w:r>
          <w:rPr>
            <w:color w:val="000000"/>
            <w:u w:val="single"/>
          </w:rPr>
          <w:t>30.01 Tam ürün yol haritası</w:t>
        </w:r>
      </w:hyperlink>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POSEIDON Core v0.1  |  32.01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emgt41/Poseidon/commit/cdb39a5658dd5d2f6036e1cd52c9608b9b25fedf" TargetMode="External"/><Relationship Id="rId11" Type="http://schemas.openxmlformats.org/officeDocument/2006/relationships/hyperlink" Target="https://github.com/emgt41/Poseidon/pull/1" TargetMode="External"/><Relationship Id="rId12" Type="http://schemas.openxmlformats.org/officeDocument/2006/relationships/hyperlink" Target="32.02_POSEIDON_Core_v0.1_Idari_Gemi_Romorkor_Envanteri_Kanitlari_2026-10-27.zip" TargetMode="External"/><Relationship Id="rId13" Type="http://schemas.openxmlformats.org/officeDocument/2006/relationships/hyperlink" Target="31.01_POSEIDON_Core_v0.1_Kismi_Envanter_Tarama_ve_Sayfalama_Dogrulama_Raporu_2026-10-27_TR.docx" TargetMode="External"/><Relationship Id="rId14" Type="http://schemas.openxmlformats.org/officeDocument/2006/relationships/hyperlink" Target="../08_MANAGEMENT_CONTROL/30.01_POSEIDON_v46.3_Tam_Urun_2027_Q3_Q4_Teslim_Yol_Haritasi_TR.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POSEIDON Core idari gemi ve römorkör envanteri doğrulama raporu</dc:title>
  <dc:subject>İdari envanter diliminin teknik kanıtı ve açık kullanıcı kabulü sınırları</dc:subject>
  <dc:creator>POSEIDON</dc:creator>
  <cp:keywords>POSEIDON, Core v0.1, envanter, sayfalama, kanıt, UAT</cp:keywords>
  <dc:description>generated by python-docx</dc:description>
  <cp:lastModifiedBy/>
  <cp:revision>1</cp:revision>
  <dcterms:created xsi:type="dcterms:W3CDTF">2013-12-23T23:15:00Z</dcterms:created>
  <dcterms:modified xsi:type="dcterms:W3CDTF">2013-12-23T23:15:00Z</dcterms:modified>
  <cp:category/>
</cp:coreProperties>
</file>