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karantinalı ek alımı</w:t>
        <w:br/>
        <w:t>doğrulama raporu</w:t>
      </w:r>
    </w:p>
    <w:p>
      <w:pPr>
        <w:widowControl/>
      </w:pPr>
      <w:r>
        <w:t>Core v0.1  |  Doküman 34.01  |  27 Ekim 2026</w:t>
      </w:r>
    </w:p>
    <w:p>
      <w:pPr>
        <w:widowControl/>
      </w:pPr>
      <w:r>
        <w:rPr>
          <w:b/>
        </w:rPr>
        <w:t>Sonuç:</w:t>
      </w:r>
      <w:r>
        <w:t xml:space="preserve"> Üreticinin son koşuları 161/161 backend, 103/103 frontend, 6/6 BFF tarayıcı ve 6/6 legacy responsive kontrolünde PASS verdi; backend ve frontend için 0 FAIL ve 0 SKIP bildirildi. Teknik kapsam, yetkili gemi veya belge hedefine zararsız sentetik dosya alma, karantinada tutma, durum sorgusu ve eski dosyayı koruyan gerekçeli düzeltmedir. Paket TECHNICAL_REVIEW_CANDIDATE durumundadır; dört ekranlı Controlled Knowledge and Evidence modülünün veya tam ürünün tamamlanması değildir.</w:t>
      </w:r>
    </w:p>
    <w:p>
      <w:pPr>
        <w:widowControl/>
      </w:pPr>
      <w:r>
        <w:t>Dosya alımı varsayılan kapalıdır; üretim etkinleştirmesi reddedilir. Yalnız açıkça etkin Development veya izole Testing ortamında üretilmiş sentetik PDF, PNG ve JPEG kullanılır. Scanner yapılandırılmadığı için bütün baytlar karantinada kalır. İndirme, önizleme, OCR, AI, export ve insan doğrulama yoktur; CLEAN, VERIFIED, EFFECTIVE veya READY üretilmez. Kullanıcının özel uygulama erişimi NOT_ESTABLISHED, Esra UAT’si PENDING durumundadır.</w:t>
      </w:r>
    </w:p>
    <w:p>
      <w:pPr>
        <w:pStyle w:val="Heading1"/>
        <w:widowControl/>
      </w:pPr>
      <w:r>
        <w:t>1 Temel kaynak ve yayın kaydı</w:t>
      </w:r>
    </w:p>
    <w:p>
      <w:pPr>
        <w:widowControl/>
      </w:pPr>
      <w:r>
        <w:t>Yama, feature/administrative-certificates dalındaki idari belge kaydı adayına göre hazırlanmıştır; main tabanına göre değildir. Üretici 99 temel dosyanın byte eşitliğini doğruladığını bildirir. Yeni paket 112 kaynak dosyası içerir; 28 yeni veya değişmiş dosyanın 13’ü yenidir. Aşağıdaki temel commit, karantinalı ek alımını tek başına içermez.</w:t>
      </w:r>
    </w:p>
    <w:p>
      <w:pPr>
        <w:widowControl/>
      </w:pPr>
      <w:r>
        <w:t>Temel feature commit</w:t>
        <w:br/>
        <w:t>f20a083b2031f988f63862f0dcd5eb6b758e2e15</w:t>
        <w:br/>
        <w:t>Temel tree</w:t>
        <w:br/>
        <w:t>46993f911430f8317b2b15f5767dbfd159d644f5</w:t>
      </w:r>
    </w:p>
    <w:p>
      <w:pPr>
        <w:widowControl/>
      </w:pPr>
      <w:r>
        <w:t>Yama SHA256</w:t>
        <w:br/>
        <w:t>432565e413e58f2db9320a84789b5d5ad23400deb9f4367ec8f4e5ba80a3d0bc</w:t>
      </w:r>
    </w:p>
    <w:p>
      <w:pPr>
        <w:widowControl/>
      </w:pPr>
      <w:r>
        <w:t>Bağımlı feature/quarantined-evidence-intake dalı ayrı yayımlandı. Commit 253a5d3a96542cfde65118898abfe90b358c1943 ve tree 92b91da7b0f40213ec0e1d08b3ac6d16cc4d7c33 için 112 remote blob test edilmiş kaynak anlık görüntüsüyle birebir eşleşir. Durum REVIEW CANDIDATE’dır; kabul edilmiş veya release edilmiş ürün değildir.</w:t>
      </w:r>
    </w:p>
    <w:p>
      <w:pPr>
        <w:widowControl/>
      </w:pPr>
      <w:r>
        <w:t>Draft PR 3, feature/administrative-certificates dalındaki f20a083b2031f988f63862f0dcd5eb6b758e2e15 commit’ini hedefler; main’i hedeflemez. Bağımlılık zinciri önceki iki aday dilime dayanır. main, 008b6105b1d964373bd7a92ee032b51b4a7ae00f commit’inde değişmeden kalır. Merge veya deployment yapılmadı.</w:t>
      </w:r>
    </w:p>
    <w:p>
      <w:pPr>
        <w:widowControl/>
      </w:pPr>
      <w:r>
        <w:t>161 backend, 103 frontend ve iki 6/6 tarayıcı matrisi yayından önce aynı kaynak baytları üzerinde üretildi. Yayın sonrasında yeni runtime test koşusu yapılmadı. Depo yayını kullanıcı erişimi, UAT, içerik kullanımı veya üretim etkinleştirmesi değildir.</w:t>
      </w:r>
    </w:p>
    <w:p>
      <w:pPr>
        <w:widowControl/>
      </w:pPr>
      <w:r/>
      <w:r>
        <w:t xml:space="preserve">Depo kayıtları: </w:t>
      </w:r>
      <w:hyperlink r:id="rId10">
        <w:r>
          <w:rPr>
            <w:color w:val="000000"/>
            <w:u w:val="single"/>
          </w:rPr>
          <w:t>Yayın commit kaydı</w:t>
        </w:r>
      </w:hyperlink>
      <w:r>
        <w:t xml:space="preserve">  |  </w:t>
      </w:r>
      <w:hyperlink r:id="rId11">
        <w:r>
          <w:rPr>
            <w:color w:val="000000"/>
            <w:u w:val="single"/>
          </w:rPr>
          <w:t>Draft PR 3</w:t>
        </w:r>
      </w:hyperlink>
    </w:p>
    <w:p>
      <w:pPr>
        <w:widowControl/>
      </w:pPr>
      <w:r>
        <w:t>Üreticinin commit ve push yapılmadığı beyanı ile remoteWrites=false ve commitCreated=false kayıtları kanıt üretim aşamasını tanımlar. Yukarıdaki sonraki depo yayını ayrı kaydedilir; kanıt ZIP’i geriye dönük değiştirilmez. Gerçek hesap, yetki, sağlayıcı, sır veya OS/ağ ayarı oluşturulmadı. Bulut geliştirme/test ortamıdır; kurum içi veya self-hosted ürün hedefi değişmez.</w:t>
      </w:r>
    </w:p>
    <w:p>
      <w:pPr>
        <w:pStyle w:val="Heading1"/>
        <w:widowControl/>
      </w:pPr>
      <w:r>
        <w:t>2 Üretici testleri ve kanıtın sınırları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872"/>
        <w:gridCol w:w="6120"/>
      </w:tblGrid>
      <w:tr>
        <w:trPr>
          <w:cantSplit/>
          <w:tblHeader/>
        </w:trPr>
        <w:tc>
          <w:tcPr>
            <w:tcW w:type="dxa" w:w="2232"/>
            <w:vAlign w:val="center"/>
            <w:shd w:fill="E8EDF2"/>
            <w:tcMar>
              <w:top w:w="90" w:type="dxa"/>
              <w:bottom w:w="90" w:type="dxa"/>
              <w:left w:w="90" w:type="dxa"/>
              <w:right w:w="90" w:type="dxa"/>
            </w:tcMar>
          </w:tcPr>
          <w:p>
            <w:pPr>
              <w:widowControl/>
              <w:spacing w:after="40" w:line="247" w:lineRule="auto"/>
            </w:pPr>
            <w:r>
              <w:rPr>
                <w:rFonts w:ascii="Calibri" w:hAnsi="Calibri"/>
                <w:b/>
                <w:sz w:val="20"/>
              </w:rPr>
              <w:t>Kontrol</w:t>
            </w:r>
          </w:p>
        </w:tc>
        <w:tc>
          <w:tcPr>
            <w:tcW w:type="dxa" w:w="1872"/>
            <w:vAlign w:val="center"/>
            <w:shd w:fill="E8EDF2"/>
            <w:tcMar>
              <w:top w:w="90" w:type="dxa"/>
              <w:bottom w:w="90" w:type="dxa"/>
              <w:left w:w="90" w:type="dxa"/>
              <w:right w:w="90" w:type="dxa"/>
            </w:tcMar>
          </w:tcPr>
          <w:p>
            <w:pPr>
              <w:widowControl/>
              <w:spacing w:after="40" w:line="247" w:lineRule="auto"/>
            </w:pPr>
            <w:r>
              <w:rPr>
                <w:rFonts w:ascii="Calibri" w:hAnsi="Calibri"/>
                <w:b/>
                <w:sz w:val="20"/>
              </w:rPr>
              <w:t>Sonuç</w:t>
            </w:r>
          </w:p>
        </w:tc>
        <w:tc>
          <w:tcPr>
            <w:tcW w:type="dxa" w:w="6120"/>
            <w:vAlign w:val="center"/>
            <w:shd w:fill="E8EDF2"/>
            <w:tcMar>
              <w:top w:w="90" w:type="dxa"/>
              <w:bottom w:w="90" w:type="dxa"/>
              <w:left w:w="90" w:type="dxa"/>
              <w:right w:w="90" w:type="dxa"/>
            </w:tcMar>
          </w:tcPr>
          <w:p>
            <w:pPr>
              <w:widowControl/>
              <w:spacing w:after="40" w:line="247" w:lineRule="auto"/>
            </w:pPr>
            <w:r>
              <w:rPr>
                <w:rFonts w:ascii="Calibri" w:hAnsi="Calibri"/>
                <w:b/>
                <w:sz w:val="20"/>
              </w:rPr>
              <w:t>Doğrulanan kapsam</w:t>
            </w:r>
          </w:p>
        </w:tc>
      </w:tr>
      <w:tr>
        <w:trPr>
          <w:cantSplit/>
        </w:trPr>
        <w:tc>
          <w:tcPr>
            <w:tcW w:type="dxa" w:w="22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Backend</w:t>
            </w:r>
          </w:p>
        </w:tc>
        <w:tc>
          <w:tcPr>
            <w:tcW w:type="dxa" w:w="18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161 PASS</w:t>
              <w:br/>
              <w:t>0 FAIL / 0 SKIP</w:t>
            </w:r>
          </w:p>
        </w:tc>
        <w:tc>
          <w:tcPr>
            <w:tcW w:type="dxa" w:w="61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Önceki 139 test ve 22 yeni test. Scope, quota, bounded content, replay, hata sınırları, storage ve mutabakat kontrolleri.</w:t>
            </w:r>
          </w:p>
        </w:tc>
      </w:tr>
      <w:tr>
        <w:trPr>
          <w:cantSplit/>
        </w:trPr>
        <w:tc>
          <w:tcPr>
            <w:tcW w:type="dxa" w:w="22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Frontend</w:t>
            </w:r>
          </w:p>
        </w:tc>
        <w:tc>
          <w:tcPr>
            <w:tcW w:type="dxa" w:w="18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103 PASS</w:t>
              <w:br/>
              <w:t>0 FAIL / 0 SKIP</w:t>
            </w:r>
          </w:p>
        </w:tc>
        <w:tc>
          <w:tcPr>
            <w:tcW w:type="dxa" w:w="61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Önceki 92 test ve 11 yeni test. Component/API etkileşim kanıtı; tek başına gerçek cihaz veya erişilebilirlik kabulü değildir.</w:t>
            </w:r>
          </w:p>
        </w:tc>
      </w:tr>
      <w:tr>
        <w:trPr>
          <w:cantSplit/>
        </w:trPr>
        <w:tc>
          <w:tcPr>
            <w:tcW w:type="dxa" w:w="22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Restore ve build</w:t>
            </w:r>
          </w:p>
        </w:tc>
        <w:tc>
          <w:tcPr>
            <w:tcW w:type="dxa" w:w="18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PASS</w:t>
            </w:r>
          </w:p>
        </w:tc>
        <w:tc>
          <w:tcPr>
            <w:tcW w:type="dxa" w:w="61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Locked restore; build 0 uyarı ve 0 hata; TypeScript, varsayılan ve BFF frontend build.</w:t>
            </w:r>
          </w:p>
        </w:tc>
      </w:tr>
      <w:tr>
        <w:trPr>
          <w:cantSplit/>
        </w:trPr>
        <w:tc>
          <w:tcPr>
            <w:tcW w:type="dxa" w:w="22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BFF tarayıcı</w:t>
            </w:r>
          </w:p>
        </w:tc>
        <w:tc>
          <w:tcPr>
            <w:tcW w:type="dxa" w:w="18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6 / 6 PASS</w:t>
            </w:r>
          </w:p>
        </w:tc>
        <w:tc>
          <w:tcPr>
            <w:tcW w:type="dxa" w:w="61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390×844, 768×1024, 1440×900; her biri TR/EN. Güncel frontend build ile tam backend koşusundaki matris.</w:t>
            </w:r>
          </w:p>
        </w:tc>
      </w:tr>
      <w:tr>
        <w:trPr>
          <w:cantSplit/>
        </w:trPr>
        <w:tc>
          <w:tcPr>
            <w:tcW w:type="dxa" w:w="22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Legacy responsive</w:t>
            </w:r>
          </w:p>
        </w:tc>
        <w:tc>
          <w:tcPr>
            <w:tcW w:type="dxa" w:w="18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6 / 6 PASS</w:t>
            </w:r>
          </w:p>
        </w:tc>
        <w:tc>
          <w:tcPr>
            <w:tcW w:type="dxa" w:w="61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Mevcut eski ekranlar ve klavye regresyonu; draft yazısı 0.</w:t>
            </w:r>
          </w:p>
        </w:tc>
      </w:tr>
      <w:tr>
        <w:trPr>
          <w:cantSplit/>
        </w:trPr>
        <w:tc>
          <w:tcPr>
            <w:tcW w:type="dxa" w:w="22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Standalone UAT helper</w:t>
            </w:r>
          </w:p>
        </w:tc>
        <w:tc>
          <w:tcPr>
            <w:tcW w:type="dxa" w:w="18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NOT_RUN</w:t>
            </w:r>
          </w:p>
        </w:tc>
        <w:tc>
          <w:tcPr>
            <w:tcW w:type="dxa" w:w="61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evidence-uat.cjs son paket koşusunda ayrıca yerel Development servisi üzerinde çalıştırılmadı. Fiilî kanıt test host ve tarayıcı fixture’larıdır.</w:t>
            </w:r>
          </w:p>
        </w:tc>
      </w:tr>
    </w:tbl>
    <w:p>
      <w:pPr>
        <w:widowControl/>
        <w:spacing w:line="240" w:lineRule="auto" w:after="80"/>
      </w:pPr>
      <w:r>
        <w:rPr>
          <w:sz w:val="2"/>
        </w:rPr>
        <w:t xml:space="preserve"> </w:t>
      </w:r>
    </w:p>
    <w:p>
      <w:pPr>
        <w:widowControl/>
      </w:pPr>
      <w:r>
        <w:t>Sayılar result.json, intake-backend.json, frontend-tests.json, intake-bff-browser.json, intake-responsive.json ve build günlüklerinden alınır. Son BFF matrisi güncel frontend build ile tam backend koşusuna dahildir; altı viewport/dil koşusu ayrı matris içinde raporlanır. Katmanlar üst üste toplanarak tek bağımsız test toplamı üretilmez. Bu rapor hazırlanırken veya yerel bağımsız incelemede runtime testleri yeniden çalıştırılmadı.</w:t>
      </w:r>
    </w:p>
    <w:p>
      <w:pPr>
        <w:widowControl/>
      </w:pPr>
      <w:r>
        <w:t>Gerçek Chromium 154.0.8037.57, React, ASP.NET handler’ları ve PostgreSQL ile üretilmiş PDF, commit sonrası kayıp yanıtın durum sorgusuyla çözülmesi, yetkili liste, gerekçeli yeni dosya, eski hash ve güvenli tarihçe kontrol edildi. İçerik GET’i açılmadı. Önceki envanter ve belge yolculukları korunur. HTTPS/redirect taşıması Playwright–stdio–TestServer köprüsüdür; OIDC sağlayıcısı, ticket ve anahtarlar izole test fixture’ıdır. Native TLS veya canlı IdP kanıtı değildir.</w:t>
      </w:r>
    </w:p>
    <w:p>
      <w:pPr>
        <w:widowControl/>
      </w:pPr>
      <w:r>
        <w:t>Üretici eski migration sayaç beklentilerini 004’e uyarladı; yeni liste SQL ORDER BY alias belirsizliği testte bulunup düzeltildi. Metadata timestamp ve type sonucu, uygulama/static kökünün dışlanması, kısıtlı düzeltme gerekçesi ve sentetik UI fixture seçeneği son kaynakta düzeltildi. Ara hatalar son PASS gibi sayılmaz; bu düzeltmeler yerel bağımsız runtime tekrarı değildir.</w:t>
      </w:r>
    </w:p>
    <w:p>
      <w:pPr>
        <w:pStyle w:val="Heading1"/>
        <w:widowControl/>
      </w:pPr>
      <w:r>
        <w:t>3 Hedef kapsamı ve içerik kullanım yasağı</w:t>
      </w:r>
    </w:p>
    <w:p>
      <w:pPr>
        <w:widowControl/>
      </w:pPr>
      <w:r>
        <w:t>ADR-EVIDENCE-INTAKE-001, yeni ürün ve mühendislik kararlarını kaydeder; tarihsel fiziksel şema onayı, mevzuat kararı, güvenlik sertifikasyonu veya kullanıcı kabulü değildir. Hedef yalnız erişilebilen Vessel veya Certificate’tır. Sertifikanın gemisi sunucuda çözülür. Mevcut inventory evidence_ref düz metni bu dilimde çözülmez ve bağlantıya dönüştürülmez.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E8EDF2"/>
            <w:tcMar>
              <w:top w:w="90" w:type="dxa"/>
              <w:bottom w:w="90" w:type="dxa"/>
              <w:left w:w="90" w:type="dxa"/>
              <w:right w:w="90" w:type="dxa"/>
            </w:tcMar>
          </w:tcPr>
          <w:p>
            <w:pPr>
              <w:widowControl/>
              <w:spacing w:after="40" w:line="247" w:lineRule="auto"/>
            </w:pPr>
            <w:r>
              <w:rPr>
                <w:rFonts w:ascii="Calibri" w:hAnsi="Calibri"/>
                <w:b/>
                <w:sz w:val="20"/>
              </w:rPr>
              <w:t>İşlem veya hedef</w:t>
            </w:r>
          </w:p>
        </w:tc>
        <w:tc>
          <w:tcPr>
            <w:tcW w:type="dxa" w:w="7704"/>
            <w:vAlign w:val="center"/>
            <w:shd w:fill="E8EDF2"/>
            <w:tcMar>
              <w:top w:w="90" w:type="dxa"/>
              <w:bottom w:w="90" w:type="dxa"/>
              <w:left w:w="90" w:type="dxa"/>
              <w:right w:w="90" w:type="dxa"/>
            </w:tcMar>
          </w:tcPr>
          <w:p>
            <w:pPr>
              <w:widowControl/>
              <w:spacing w:after="40" w:line="247" w:lineRule="auto"/>
            </w:pPr>
            <w:r>
              <w:rPr>
                <w:rFonts w:ascii="Calibri" w:hAnsi="Calibri"/>
                <w:b/>
                <w:sz w:val="20"/>
              </w:rPr>
              <w:t>Yetki ve sınır</w:t>
            </w:r>
          </w:p>
        </w:tc>
      </w:tr>
      <w:tr>
        <w:trPr>
          <w:cantSplit/>
        </w:trPr>
        <w:tc>
          <w:tcPr>
            <w:tcW w:type="dxa" w:w="25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Vessel üzerinde mutasyon</w:t>
            </w:r>
          </w:p>
        </w:tc>
        <w:tc>
          <w:tcPr>
            <w:tcW w:type="dxa" w:w="77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evidence:capture VE inventory:manage; hedef DRAFT olsa da birlikte gerekir.</w:t>
            </w:r>
          </w:p>
        </w:tc>
      </w:tr>
      <w:tr>
        <w:trPr>
          <w:cantSplit/>
        </w:trPr>
        <w:tc>
          <w:tcPr>
            <w:tcW w:type="dxa" w:w="25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Certificate üzerinde mutasyon</w:t>
            </w:r>
          </w:p>
        </w:tc>
        <w:tc>
          <w:tcPr>
            <w:tcW w:type="dxa" w:w="77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evidence:capture VE certificate:manage; sertifika ve bağlı geminin mevcut scope’u denetlenir.</w:t>
            </w:r>
          </w:p>
        </w:tc>
      </w:tr>
      <w:tr>
        <w:trPr>
          <w:cantSplit/>
        </w:trPr>
        <w:tc>
          <w:tcPr>
            <w:tcW w:type="dxa" w:w="25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Receipt ve güvenli tarihçe okuma</w:t>
            </w:r>
          </w:p>
        </w:tc>
        <w:tc>
          <w:tcPr>
            <w:tcW w:type="dxa" w:w="77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Güncel hedef okuma yetkisi gerekir. Yetkili okuyucuda capture yoksa canCapture=false olabilir; içerik yine açılmaz.</w:t>
            </w:r>
          </w:p>
        </w:tc>
      </w:tr>
      <w:tr>
        <w:trPr>
          <w:cantSplit/>
        </w:trPr>
        <w:tc>
          <w:tcPr>
            <w:tcW w:type="dxa" w:w="25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Kimlik ve scope</w:t>
            </w:r>
          </w:p>
        </w:tc>
        <w:tc>
          <w:tcPr>
            <w:tcW w:type="dxa" w:w="77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Uploader olmak, şirket üyeliği veya rol etiketi hedef erişiminin yerine geçmez. Her okuma, yazma ve tekrar güncel kapsamı denetler.</w:t>
            </w:r>
          </w:p>
        </w:tc>
      </w:tr>
      <w:tr>
        <w:trPr>
          <w:cantSplit/>
        </w:trPr>
        <w:tc>
          <w:tcPr>
            <w:tcW w:type="dxa" w:w="25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Sentetik fixture</w:t>
            </w:r>
          </w:p>
        </w:tc>
        <w:tc>
          <w:tcPr>
            <w:tcW w:type="dxa" w:w="77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evidence-manager yalnız Development içindir; üç capability fixture’da bulunur. Gerçek IdP/grant provisioning yapılmadı.</w:t>
            </w:r>
          </w:p>
        </w:tc>
      </w:tr>
    </w:tbl>
    <w:p>
      <w:pPr>
        <w:widowControl/>
        <w:spacing w:line="240" w:lineRule="auto" w:after="80"/>
      </w:pPr>
      <w:r>
        <w:rPr>
          <w:sz w:val="2"/>
        </w:rPr>
        <w:t xml:space="preserve"> </w:t>
      </w:r>
    </w:p>
    <w:p>
      <w:pPr>
        <w:widowControl/>
      </w:pPr>
      <w:r>
        <w:t>Bearer /api/v1/evidence-intake ile BFF /bff/api/v1/evidence-intake ayrı kimlik sözleşmeleridir; bearer cookie kabul etmez. BFF mutasyonlarında CSRF ve güncel scope stamp gerekir. Browser işlemi ilk await öncesi reserve → content → status yaşam döngüsünün tamamını ortak logout kilidine alır. Dosya ve token browser storage’a yazılmaz.</w:t>
      </w:r>
    </w:p>
    <w:p>
      <w:pPr>
        <w:widowControl/>
      </w:pPr>
      <w:r>
        <w:t>Alım lookup’ı tenant/şirket ve güncel hedef erişimini SQL içinde uygular; Certificate erişimi bağlı gemiden türetilir. Olmayan veya erişilemeyen Vessel/Certificate alımı aynı HTTP 404, not_found kodu ve Evidence intake not found. gövdesini döndürür. Hedef türü veya varlığı hata metninden sızmaz. DB, CSRF, permission ve validation hataları topluca 404’e çevrilmez.</w:t>
      </w:r>
    </w:p>
    <w:p>
      <w:pPr>
        <w:widowControl/>
      </w:pPr>
      <w:r>
        <w:t>Teknik alım durumu ile güvenlik değerlendirmesi ayrıdır. ScanState UNAVAILABLE, verificationAssessment ve operationalAssessment NOT_PERFORMED, canDownload=false kalır. SHA256 COMPUTED veya beklenen hash ile MATCHED yalnız bütünlük göstergesidir; özgünlük ya da zararlı yazılım temizliği değildir. Receipt’in evidenceType=ATTACHMENT olması kontrollü DocumentVersion yayını veya insan doğrulaması yaratmaz.</w:t>
      </w:r>
    </w:p>
    <w:p>
      <w:pPr>
        <w:widowControl/>
      </w:pPr>
      <w:r>
        <w:t>Download, içerik HEAD/range, thumbnail, preview, print/export, OCR/AI ve dolaylı signed URL yolları açılmaz. Dosya açılmaz, çalıştırılmaz veya render edilmez; arşiv çıkarma ve uzaktan URL getirme yoktur. Bu sınırlar dosyayı güvenli ilan etmek yerine, değerlendirilmemiş içeriğin kullanılmasını engeller.</w:t>
      </w:r>
    </w:p>
    <w:p>
      <w:pPr>
        <w:pStyle w:val="Heading1"/>
        <w:widowControl/>
      </w:pPr>
      <w:r>
        <w:t>4 Dosya metadata ve kota sınırları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E8EDF2"/>
            <w:tcMar>
              <w:top w:w="90" w:type="dxa"/>
              <w:bottom w:w="90" w:type="dxa"/>
              <w:left w:w="90" w:type="dxa"/>
              <w:right w:w="90" w:type="dxa"/>
            </w:tcMar>
          </w:tcPr>
          <w:p>
            <w:pPr>
              <w:widowControl/>
              <w:spacing w:after="40" w:line="247" w:lineRule="auto"/>
            </w:pPr>
            <w:r>
              <w:rPr>
                <w:rFonts w:ascii="Calibri" w:hAnsi="Calibri"/>
                <w:b/>
                <w:sz w:val="20"/>
              </w:rPr>
              <w:t>Öğe</w:t>
            </w:r>
          </w:p>
        </w:tc>
        <w:tc>
          <w:tcPr>
            <w:tcW w:type="dxa" w:w="7992"/>
            <w:vAlign w:val="center"/>
            <w:shd w:fill="E8EDF2"/>
            <w:tcMar>
              <w:top w:w="90" w:type="dxa"/>
              <w:bottom w:w="90" w:type="dxa"/>
              <w:left w:w="90" w:type="dxa"/>
              <w:right w:w="90" w:type="dxa"/>
            </w:tcMar>
          </w:tcPr>
          <w:p>
            <w:pPr>
              <w:widowControl/>
              <w:spacing w:after="40" w:line="247" w:lineRule="auto"/>
            </w:pPr>
            <w:r>
              <w:rPr>
                <w:rFonts w:ascii="Calibri" w:hAnsi="Calibri"/>
                <w:b/>
                <w:sz w:val="20"/>
              </w:rPr>
              <w:t>Uygulanan teknik sınır</w:t>
            </w:r>
          </w:p>
        </w:tc>
      </w:tr>
      <w:tr>
        <w:trPr>
          <w:cantSplit/>
        </w:trPr>
        <w:tc>
          <w:tcPr>
            <w:tcW w:type="dxa" w:w="22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Binary içerik</w:t>
            </w:r>
          </w:p>
        </w:tc>
        <w:tc>
          <w:tcPr>
            <w:tcW w:type="dxa" w:w="79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Tek dosya; pozitif 1–5.242.880 bayt. Rezervasyonu aşan baytlar diske yazılmadan reddedilir.</w:t>
            </w:r>
          </w:p>
        </w:tc>
      </w:tr>
      <w:tr>
        <w:trPr>
          <w:cantSplit/>
        </w:trPr>
        <w:tc>
          <w:tcPr>
            <w:tcW w:type="dxa" w:w="22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İzinli türler</w:t>
            </w:r>
          </w:p>
        </w:tc>
        <w:tc>
          <w:tcPr>
            <w:tcW w:type="dxa" w:w="79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PDF .pdf/application/pdf; PNG .png/image/png; JPEG .jpg veya .jpeg/image/jpeg. MIME, uzantı ve sınırlı imza uyuşmalıdır.</w:t>
            </w:r>
          </w:p>
        </w:tc>
      </w:tr>
      <w:tr>
        <w:trPr>
          <w:cantSplit/>
        </w:trPr>
        <w:tc>
          <w:tcPr>
            <w:tcW w:type="dxa" w:w="22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Metadata gövdesi</w:t>
            </w:r>
          </w:p>
        </w:tc>
        <w:tc>
          <w:tcPr>
            <w:tcW w:type="dxa" w:w="79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En çok 16 KiB; kapalı izin listesi. targetType, targetId, filename, declaredMime, expectedBytes ve isteğe bağlı alanlar.</w:t>
            </w:r>
          </w:p>
        </w:tc>
      </w:tr>
      <w:tr>
        <w:trPr>
          <w:cantSplit/>
        </w:trPr>
        <w:tc>
          <w:tcPr>
            <w:tcW w:type="dxa" w:w="22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Dosya adı</w:t>
            </w:r>
          </w:p>
        </w:tc>
        <w:tc>
          <w:tcPr>
            <w:tcW w:type="dxa" w:w="79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NFC ve 1–128 teknik UTF-16 uzunluğu. Tek uzantı; path ayırıcı, encoded separator, kontrol/bidi ve noktalı çift uzantı kabul edilmez.</w:t>
            </w:r>
          </w:p>
        </w:tc>
      </w:tr>
      <w:tr>
        <w:trPr>
          <w:cantSplit/>
        </w:trPr>
        <w:tc>
          <w:tcPr>
            <w:tcW w:type="dxa" w:w="22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İsteğe bağlı metinler</w:t>
            </w:r>
          </w:p>
        </w:tc>
        <w:tc>
          <w:tcPr>
            <w:tcW w:type="dxa" w:w="79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title ve source 1–200, description 1–2.000 karakter. Sağlanan değerler boş olamaz; eksik değer için hayali gerçek üretilmez.</w:t>
            </w:r>
          </w:p>
        </w:tc>
      </w:tr>
      <w:tr>
        <w:trPr>
          <w:cantSplit/>
        </w:trPr>
        <w:tc>
          <w:tcPr>
            <w:tcW w:type="dxa" w:w="22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Hash ve zaman</w:t>
            </w:r>
          </w:p>
        </w:tc>
        <w:tc>
          <w:tcPr>
            <w:tcW w:type="dxa" w:w="79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expectedSha256 tam 64 hex karakter. capturedAt tam ISO UTC timestamp; CreatedAt DB UTC saatinden, ExpiresAt 15 dakika sonrasından gelir.</w:t>
            </w:r>
          </w:p>
        </w:tc>
      </w:tr>
      <w:tr>
        <w:trPr>
          <w:cantSplit/>
        </w:trPr>
        <w:tc>
          <w:tcPr>
            <w:tcW w:type="dxa" w:w="22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Tenant ve aktör kotası</w:t>
            </w:r>
          </w:p>
        </w:tc>
        <w:tc>
          <w:tcPr>
            <w:tcW w:type="dxa" w:w="79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Development tenant için 100 MiB rezerve bayt; aktör başına 10 açık RESERVED/RECEIVING rezervasyonu. Denizcilik veya hukuk eşiği değildir.</w:t>
            </w:r>
          </w:p>
        </w:tc>
      </w:tr>
    </w:tbl>
    <w:p>
      <w:pPr>
        <w:widowControl/>
        <w:spacing w:line="240" w:lineRule="auto" w:after="80"/>
      </w:pPr>
      <w:r>
        <w:rPr>
          <w:sz w:val="2"/>
        </w:rPr>
        <w:t xml:space="preserve"> </w:t>
      </w:r>
    </w:p>
    <w:p>
      <w:pPr>
        <w:widowControl/>
      </w:pPr>
      <w:r>
        <w:t>Kapalı metadata alanları targetType, targetId, filename, declaredMime, expectedBytes, expectedSha256?, title?, source?, description? ve capturedAt?’tır. Tenant, şirket, gemi, yükleyen ve nesne anahtarını sunucu üretir. İstemci scan/verification durumunu yazamaz. Dosya adı yalnız görünür metadata’dır; hiçbir zaman storage yolu değildir.</w:t>
      </w:r>
    </w:p>
    <w:p>
      <w:pPr>
        <w:widowControl/>
      </w:pPr>
      <w:r>
        <w:t>İmza ve sınırlı trailer kontrolü tam dosya ayrıştırma veya güvenlik kanıtı değildir; /Encrypt içeren PDF reddedilir. Gerçek zararlı yazılım örneği, dış scanner veya belge parse/render testi yapılmadı. Kullanım yalnız üretilmiş zararsız sentetik dosyalarla sınırlıdır.</w:t>
      </w:r>
    </w:p>
    <w:p>
      <w:pPr>
        <w:widowControl/>
      </w:pPr>
      <w:r>
        <w:t>Kota rezervasyonu tenant kilidi ve idempotency ile atomiktir. Bütün rezervasyonlar; başarılı, rejected, expired ve dosya sisteminde kalmış belirsiz nesneler dahil bayt kotasına yüklü kalır. Temizlenmemiş veya korunmuş sürüm kapasiteden düşülmez; otomatik quota release ya da son nesne temizliği yoktur. Bu sınırlama gerçek kişisel verinin süresiz saklanmasına onay değildir.</w:t>
      </w:r>
    </w:p>
    <w:p>
      <w:pPr>
        <w:pStyle w:val="Heading1"/>
        <w:widowControl/>
      </w:pPr>
      <w:r>
        <w:t>5 Tek denemelik akış ve belirsiz sonuçlar</w:t>
      </w:r>
    </w:p>
    <w:p>
      <w:pPr>
        <w:widowControl/>
      </w:pPr>
      <w:r>
        <w:t>Akış metadata rezervasyonu, bounded binary POST ve scoped durum sorgusundan oluşur. POST collection Idempotency-Key UUID ile rezervasyon oluşturur. POST /{id}/content, rezervasyondaki tam Content-Type, Idempotency-Key ve If-Match ister. RESERVED → RECEIVING niyeti dosya oluşturulmadan önce commit edilir; bu kayıt başarı receipt’i değildir.</w:t>
      </w:r>
    </w:p>
    <w:p>
      <w:pPr>
        <w:widowControl/>
      </w:pPr>
      <w:r>
        <w:t>Binary akış tek denemeliktir. Aynı anahtar veya digest ile de retransmission kabul edilmez; eşit dosya adı, boyut ya da isteğe bağlı istemci hash’i başka içeriğin aynı olduğunu kanıtlamaz. Metadata rezervasyonunun başarılı key replay’i, yetki yeniden denetlendikten sonra güncel receipt’i çift kota yükü olmadan döndürebilir. Bu davranış binary yeniden yükleme desteği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60"/>
      </w:tblGrid>
      <w:tr>
        <w:trPr>
          <w:cantSplit/>
          <w:tblHeader/>
        </w:trPr>
        <w:tc>
          <w:tcPr>
            <w:tcW w:type="dxa" w:w="2664"/>
            <w:vAlign w:val="center"/>
            <w:shd w:fill="E8EDF2"/>
            <w:tcMar>
              <w:top w:w="90" w:type="dxa"/>
              <w:bottom w:w="90" w:type="dxa"/>
              <w:left w:w="90" w:type="dxa"/>
              <w:right w:w="90" w:type="dxa"/>
            </w:tcMar>
          </w:tcPr>
          <w:p>
            <w:pPr>
              <w:widowControl/>
              <w:spacing w:after="40" w:line="247" w:lineRule="auto"/>
            </w:pPr>
            <w:r>
              <w:rPr>
                <w:rFonts w:ascii="Calibri" w:hAnsi="Calibri"/>
                <w:b/>
                <w:sz w:val="20"/>
              </w:rPr>
              <w:t>Gözlenen durum</w:t>
            </w:r>
          </w:p>
        </w:tc>
        <w:tc>
          <w:tcPr>
            <w:tcW w:type="dxa" w:w="7560"/>
            <w:vAlign w:val="center"/>
            <w:shd w:fill="E8EDF2"/>
            <w:tcMar>
              <w:top w:w="90" w:type="dxa"/>
              <w:bottom w:w="90" w:type="dxa"/>
              <w:left w:w="90" w:type="dxa"/>
              <w:right w:w="90" w:type="dxa"/>
            </w:tcMar>
          </w:tcPr>
          <w:p>
            <w:pPr>
              <w:widowControl/>
              <w:spacing w:after="40" w:line="247" w:lineRule="auto"/>
            </w:pPr>
            <w:r>
              <w:rPr>
                <w:rFonts w:ascii="Calibri" w:hAnsi="Calibri"/>
                <w:b/>
                <w:sz w:val="20"/>
              </w:rPr>
              <w:t>Davranış ve kurtarma sınırı</w:t>
            </w:r>
          </w:p>
        </w:tc>
      </w:tr>
      <w:tr>
        <w:trPr>
          <w:cantSplit/>
        </w:trPr>
        <w:tc>
          <w:tcPr>
            <w:tcW w:type="dxa" w:w="2664"/>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RESERVED</w:t>
            </w:r>
          </w:p>
        </w:tc>
        <w:tc>
          <w:tcPr>
            <w:tcW w:type="dxa" w:w="75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Akış başlamadan 15 dakika geçerse yükleme denemesi EXPIRED’a geçirir. Arka plan timer veya temizleyici yoktur.</w:t>
            </w:r>
          </w:p>
        </w:tc>
      </w:tr>
      <w:tr>
        <w:trPr>
          <w:cantSplit/>
        </w:trPr>
        <w:tc>
          <w:tcPr>
            <w:tcW w:type="dxa" w:w="2664"/>
            <w:vAlign w:val="center"/>
            <w:shd w:fill="F6F7F9"/>
            <w:tcMar>
              <w:top w:w="90" w:type="dxa"/>
              <w:bottom w:w="90" w:type="dxa"/>
              <w:left w:w="90" w:type="dxa"/>
              <w:right w:w="90" w:type="dxa"/>
            </w:tcMar>
          </w:tcPr>
          <w:p>
            <w:pPr>
              <w:widowControl/>
              <w:spacing w:after="40" w:line="247" w:lineRule="auto"/>
            </w:pPr>
            <w:r>
              <w:rPr>
                <w:rFonts w:ascii="Calibri" w:hAnsi="Calibri"/>
                <w:b w:val="0"/>
                <w:sz w:val="20"/>
              </w:rPr>
              <w:t>RECEIVING</w:t>
            </w:r>
          </w:p>
        </w:tc>
        <w:tc>
          <w:tcPr>
            <w:tcW w:type="dxa" w:w="75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Kesinti, iptal veya DB hatası alımı belirsiz bırakabilir. Dosya ve kota korunur; otomatik ikinci akış, commit tahmini veya devam yoktur.</w:t>
            </w:r>
          </w:p>
        </w:tc>
      </w:tr>
      <w:tr>
        <w:trPr>
          <w:cantSplit/>
        </w:trPr>
        <w:tc>
          <w:tcPr>
            <w:tcW w:type="dxa" w:w="2664"/>
            <w:vAlign w:val="center"/>
            <w:shd w:fill="FFFFFF"/>
            <w:tcMar>
              <w:top w:w="90" w:type="dxa"/>
              <w:bottom w:w="90" w:type="dxa"/>
              <w:left w:w="90" w:type="dxa"/>
              <w:right w:w="90" w:type="dxa"/>
            </w:tcMar>
          </w:tcPr>
          <w:p>
            <w:pPr>
              <w:widowControl/>
              <w:spacing w:after="40" w:line="247" w:lineRule="auto"/>
            </w:pPr>
            <w:r>
              <w:rPr>
                <w:rFonts w:ascii="Calibri" w:hAnsi="Calibri"/>
                <w:b w:val="0"/>
                <w:sz w:val="20"/>
              </w:rPr>
              <w:t>STORED_QUARANTINED</w:t>
            </w:r>
          </w:p>
        </w:tc>
        <w:tc>
          <w:tcPr>
            <w:tcW w:type="dxa" w:w="75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İçerik alınmış ve pointer/audit commit edilmiştir; scanner yoktur, içerik kullanımı kapalıdır.</w:t>
            </w:r>
          </w:p>
        </w:tc>
      </w:tr>
      <w:tr>
        <w:trPr>
          <w:cantSplit/>
        </w:trPr>
        <w:tc>
          <w:tcPr>
            <w:tcW w:type="dxa" w:w="2664"/>
            <w:vAlign w:val="center"/>
            <w:shd w:fill="F6F7F9"/>
            <w:tcMar>
              <w:top w:w="90" w:type="dxa"/>
              <w:bottom w:w="90" w:type="dxa"/>
              <w:left w:w="90" w:type="dxa"/>
              <w:right w:w="90" w:type="dxa"/>
            </w:tcMar>
          </w:tcPr>
          <w:p>
            <w:pPr>
              <w:widowControl/>
              <w:spacing w:after="40" w:line="247" w:lineRule="auto"/>
            </w:pPr>
            <w:r>
              <w:rPr>
                <w:rFonts w:ascii="Calibri" w:hAnsi="Calibri"/>
                <w:b w:val="0"/>
                <w:sz w:val="20"/>
              </w:rPr>
              <w:t>REJECTED veya EXPIRED</w:t>
            </w:r>
          </w:p>
        </w:tc>
        <w:tc>
          <w:tcPr>
            <w:tcW w:type="dxa" w:w="75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Kayıt ve yüklenen/kalmış baytlar silinmez, kota serbest kalmaz. Uygun durumda yeni düzeltme rezervasyonu mümkündür.</w:t>
            </w:r>
          </w:p>
        </w:tc>
      </w:tr>
      <w:tr>
        <w:trPr>
          <w:cantSplit/>
        </w:trPr>
        <w:tc>
          <w:tcPr>
            <w:tcW w:type="dxa" w:w="266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Commit sonrası kayıp yanıt</w:t>
            </w:r>
          </w:p>
        </w:tc>
        <w:tc>
          <w:tcPr>
            <w:tcW w:type="dxa" w:w="75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Aynı alım kimliğiyle GET durum sorgusu yapılır; yeni upload başlatılmaz. Sonuç hâlâ RECEIVING ise otomatik çözüm uygulanmaz.</w:t>
            </w:r>
          </w:p>
        </w:tc>
      </w:tr>
    </w:tbl>
    <w:p>
      <w:pPr>
        <w:widowControl/>
        <w:spacing w:line="240" w:lineRule="auto" w:after="80"/>
      </w:pPr>
      <w:r>
        <w:rPr>
          <w:sz w:val="2"/>
        </w:rPr>
        <w:t xml:space="preserve"> </w:t>
      </w:r>
    </w:p>
    <w:p>
      <w:pPr>
        <w:widowControl/>
      </w:pPr>
      <w:r>
        <w:t>Belirsiz yerel alımı uyarıyı onaylayarak bırakmak native dosya input’unu temizler. Aynı dosyayı yeniden seçmek yalnız yerel seçimdir; otomatik POST başlatmaz, önceki sunucu alımını silmez ve başarısız ilan etmez. Önceki commit edilmiş nesne karantinada kalır; başka dosya seçimi ile durum sorgusu aynı işlem değildir.</w:t>
      </w:r>
    </w:p>
    <w:p>
      <w:pPr>
        <w:widowControl/>
      </w:pPr>
      <w:r>
        <w:t>Tanınan içerik reddi önce rejection commit edip HTTP 422 dönebilir; receipt GET ile okunur. ABORTED ve ERROR teknik vocabulary içinde ayrılmıştır, ancak istemciye açık abort, scan veya release komutu uygulanmadı. Ağ hatası veya bilinmeyen DB sonucu sahte başarıya dönüştürülmez.</w:t>
      </w:r>
    </w:p>
    <w:p>
      <w:pPr>
        <w:widowControl/>
      </w:pPr>
      <w:r>
        <w:t>DB ile dosya sistemi ortak transaction değildir. Rezervasyon ve niyet sonrası dosya doğrudan karantina kökünde oluşturulur; staging→rename yapılmaz. Commit edilene kadar DB object pointer NULL’dur. Binary ölçümü ve dosya/dizin fsync sonrasında pointer, link, durum, audit ve receipt transaction’ı gelir. Belirsizlikte erişilemeyen dosya bırakılması, kabul edilmiş dosyayı silen bir yarışa tercih edilir; otomatik final-object cleanup DISABLED’dır.</w:t>
      </w:r>
    </w:p>
    <w:p>
      <w:pPr>
        <w:pStyle w:val="Heading1"/>
        <w:widowControl/>
      </w:pPr>
      <w:r>
        <w:t>6 Yerel storage ve başlangıç mutabakatı</w:t>
      </w:r>
    </w:p>
    <w:p>
      <w:pPr>
        <w:widowControl/>
      </w:pPr>
      <w:r>
        <w:t>Adaptör yalnız Linux x64 özel yerel dosya sistemi içindir. Mevcut özel kök operatör tarafından sağlanmalıdır; uygulama dizin oluşturmaz, chmod yapmaz ve OS/ağ ayarını değiştirmez. Uygulama, source veya web/static kökü storage olarak kullanılamaz. Development/Testing dışı ortamda etkinleştirme reddedilir; güvenli ortam doğrulanamazsa daha zayıf pathname kontrolüne düşülmez.</w:t>
      </w:r>
    </w:p>
    <w:p>
      <w:pPr>
        <w:widowControl/>
      </w:pPr>
      <w:r>
        <w:t>Nesne adı sunucunun ürettiği tek bileşenli UUID’dir. Özel directory descriptor’a bağlı O_EXCL/O_NOFOLLOW açma ve link izlemeden açılan üst dizinler kullanılır. Dosya exclusive oluşturulur, diske flush edilir; kapatılıp dizin fsync edildikten sonra metadata commit edilir. Bunlar uygulama adaptörünün teknik sınırıdır; OS sahibi veya root yöneticisine karşı WORM/immutable filesystem garantisi değildir.</w:t>
      </w:r>
    </w:p>
    <w:p>
      <w:pPr>
        <w:widowControl/>
      </w:pPr>
      <w:r>
        <w:t>Bir evidence DB/şeması tek yerel kökle eşleşir. Başlangıçta kökteki her dosya no-follow/nonblocking açılır; üretilmiş ad, regular file, sahiplik, izin, tek hard link ve kota kaydı kontrol edilir. DB’deki her STORED_QUARANTINED pointer için boyut ve SHA256 eşleşmelidir. Bilinmeyen dosya, eksik kabul edilmiş dosya, değişmiş içerik veya güvenli olmayan girdi başlangıcı durdurur; otomatik silme yapılmaz.</w:t>
      </w:r>
    </w:p>
    <w:p>
      <w:pPr>
        <w:widowControl/>
      </w:pPr>
      <w:r>
        <w:t>Uygulama/API ve DB trigger sınırında dosya üzerine yazma veya silme yoktur. OS yöneticisinin fiziksel silmesini önleyen bir altyapı ayarı yapılmadı. Eksik veya değişmiş kabul edilmiş dosya sonraki başlangıç mutabakatını durdurur. Multi-process root paylaşımı, manuel kurtarma, farklı OS/ağ dosya sistemi ve üretim object store işletimi ayrı tasarım ve yayın kapılarıdır.</w:t>
      </w:r>
    </w:p>
    <w:p>
      <w:pPr>
        <w:pStyle w:val="Heading2"/>
        <w:widowControl/>
      </w:pPr>
      <w:r>
        <w:t>Hata enjeksiyonu ile gerçek arıza ayrımı</w:t>
      </w:r>
    </w:p>
    <w:p>
      <w:pPr>
        <w:widowControl/>
      </w:pPr>
      <w:r>
        <w:t>Kontrollü test noktaları before_file, after_file, before_commit, after_commit, commit sonrası cancellation ve audit failure’dır. Aynı anahtar concurrency, eşit boyutlu farklı içerik replay reddi, exclusive/no-follow ve FIFO davranışı, aktör/tenant kotası ile dosya/DB mutabakatı PASS kaydedildi. Test adaptöründeki exception veya iptal fiziksel disk dolması, elektrik kesintisi, OS çökmesi ya da process kill değildir; bunlar NOT_RUN’dır.</w:t>
      </w:r>
    </w:p>
    <w:p>
      <w:pPr>
        <w:widowControl/>
      </w:pPr>
      <w:r>
        <w:t>Yerel kopya/restore ve yeniden mutabakat yalnız izole yerel testte PASS verdi. Üretim backup/DR, çok düğümlü dayanıklılık, object-store şifreleme/anahtar/izleme veya fiziksel arıza kabulü değildir. Beklenen kota altında bile disk dolması ve disk arızası mümkün olduğundan üretim kapasite izleme ve DR kapısı açık kalır. Otomatik RECEIVING recovery NOT_IMPLEMENTED’dır.</w:t>
      </w:r>
    </w:p>
    <w:p>
      <w:pPr>
        <w:pStyle w:val="Heading1"/>
        <w:widowControl/>
      </w:pPr>
      <w:r>
        <w:t>7 Yeni dosyayla düzeltme güvenli tarihçe ve migration</w:t>
      </w:r>
    </w:p>
    <w:p>
      <w:pPr>
        <w:widowControl/>
      </w:pPr>
      <w:r>
        <w:t>POST /{id}/supersede, eski If-Match ve yeni key ile kapalı {metadata,reason} gövdesini kabul eder. Reason boş olmayan en çok 500 karakterdir; yeni child rezervasyonu aynı hedefte oluşturulur. Yalnız mevcut STORED_QUARANTINED kayıt düzeltilebilir. Child başarılı commit olduğunda eski alımda supersededBy projeksiyonu ve append-only bağlantı olayı oluşur; eski dosya, metadata, hash ve sürüm değişmez.</w:t>
      </w:r>
    </w:p>
    <w:p>
      <w:pPr>
        <w:widowControl/>
      </w:pPr>
      <w:r>
        <w:t>Aynı eski kayıt için RESERVED, RECEIVING veya başarılı child’a partial unique koruma uygulanır. REJECTED/EXPIRED child korunur ve kotaya yüklü kalır, ancak yeni düzeltme rezervasyonunu engellemez. Belirsiz RECEIVING child çözülmeden paralel düzeltme açılamaz; otomatik devam yoktur. Bu bağlantı hukuki iptal, controlled publication veya insan doğrulaması değildir.</w:t>
      </w:r>
    </w:p>
    <w:p>
      <w:pPr>
        <w:widowControl/>
      </w:pPr>
      <w:r>
        <w:t>Public history yalnız eventId, occurredAt, version, action, changedFields ve actorRelation SELF/OTHER alanlarını verir. İzinli state/link alan adları sabittir; unknown action genel tarihsel metadata etiketi olur. Notes, dosya adı, source, reason, actor hash, ham kimlik ve audit değerleri serialize edilmez. Aynı eski sürümdeki bağlantı olayları eventId tie-breaker ile sıralanır. Her history sayfası güncel hedef erişimiyle okunur.</w:t>
      </w:r>
    </w:p>
    <w:p>
      <w:pPr>
        <w:widowControl/>
      </w:pPr>
      <w:r>
        <w:t>Liste varsayılan 50, en çok 100 kayıtla UUID artan keyset sayfalama kullanır. Cursor hedef ve scope’a bağlıdır; yetki veya snapshot değildir. Unknown ve duplicate filtreler reddedilir. Receipt; ETag, nested metadata, teknik state/scan/integrity, hash/boyut ve previousId/supersededBy bağlarını taşır; içerik yolu veya indirme yetkisi vermez.</w:t>
      </w:r>
    </w:p>
    <w:p>
      <w:pPr>
        <w:widowControl/>
      </w:pPr>
      <w:r>
        <w:t>Yeni 004_evidence_intake.sql evidence_intakes tablosunu, hedef/previous ilişkilerini, retention guard trigger’ını ve aktif düzeltme için unique index’i ekler. Trigger silmeyi, rezervasyon metadata’sının değiştirilmesini ve terminal alımın yeniden yazılmasını reddeder; izinli geçişte version +1 ve tam karantina pointer’ı ister. Eski migration sayaç testleri 004’e uyarlandı. Bu teknik şema, gerçek retention/legal hold/purge politikasını veya üretim migration/rollback planını tamamlamaz.</w:t>
      </w:r>
    </w:p>
    <w:p>
      <w:pPr>
        <w:pStyle w:val="Heading1"/>
        <w:widowControl/>
      </w:pPr>
      <w:r>
        <w:t>8 Bağımsız kaynak incelemesi</w:t>
      </w:r>
    </w:p>
    <w:p>
      <w:pPr>
        <w:widowControl/>
      </w:pPr>
      <w:r>
        <w:t>Üretici result.json, incelenen alanlarda açık somut bulgu kalmadığını ve entegrasyon düzeltmelerini kaydeder. Bu üretici teslim kaydı, son yerel incelemenin yerine geçmez. Yukarıdaki çalışma zamanı sonuçları uygulama sahibinin fiilen yürüttüğü son koşulardır.</w:t>
      </w:r>
    </w:p>
    <w:p>
      <w:pPr>
        <w:widowControl/>
      </w:pPr>
      <w:r>
        <w:t>Bağımsız yerel kaynak incelemesi ilk pakette P2 düzeyinde evidence ID varlığı ve hedef türünün farklı 404 metinleriyle sızmasını saptadı. Düzeltme, mevcut hedef yetkisini metadata okunmadan önce SQL lookup’ına taşır. Bearer ve BFF detail/history/content regresyonları olmayan alım ile aynı tenant içindeki gizli Vessel/Certificate alımının status, code ve body eşitliğini birebir denetler.</w:t>
      </w:r>
    </w:p>
    <w:p>
      <w:pPr>
        <w:widowControl/>
      </w:pPr>
      <w:r>
        <w:t>P3 native dosya seçimi düzeltmesi de incelendi. Yerel alımı açıkça bırakınca input temizlenir; aynı dosya tekrar seçilebilir ancak otomatik POST oluşmaz ve önceki commit edilmiş karantina nesnesi korunur. Gerçek Chromium regresyonu bu sınırı doğrular; bu çalışma üreticinin test koşusudur.</w:t>
      </w:r>
    </w:p>
    <w:p>
      <w:pPr>
        <w:widowControl/>
      </w:pPr>
      <w:r>
        <w:t>Son bağımsız yeniden inceleme CLEAR ile kapandı; P2 ve P3 düzeltmeleri ile ilgili regresyonlar incelendi, incelenen alanda ek somut engel kalmadı. 112 kaynak dosyasının hash ve uzunluğu, tam dosya envanteri, 127 archive-manifest kaydı ve ters yamanın temel kaynağa dönüşü doğrulandı. Bu sonuç yalnız teknik adayın kaynak ve kanıt bütünlüğü incelemesidir; production veya kullanıcı kabulü değildir.</w:t>
      </w:r>
    </w:p>
    <w:p>
      <w:pPr>
        <w:widowControl/>
      </w:pPr>
      <w:r>
        <w:t>161 backend, 103 frontend ve iki ayrı 6 koşuluk tarayıcı matrisi üretici kanıtıdır. Yerel bağımsız inceleme runtime testlerini yeniden çalıştırmadı; native TLS, gerçek IdP, özel kullanıcı erişimi veya Esra UAT’si için yeni PASS üretmedi.</w:t>
      </w:r>
    </w:p>
    <w:p>
      <w:pPr>
        <w:widowControl/>
      </w:pPr>
      <w:r>
        <w:t>Kaynak/hash incelemesi penetrasyon testi, scanner kabulü, production storage/DR güvenlik onayı, mevzuat veya Esra kullanıcı kabulü değildir. Teknik alımın doğrulanması, içeriğin güvenli veya geçerli olduğu anlamına gelmez.</w:t>
      </w:r>
    </w:p>
    <w:p>
      <w:pPr>
        <w:pStyle w:val="Heading1"/>
        <w:widowControl/>
      </w:pPr>
      <w:r>
        <w:t>9 Kullanıcı testi ve açık ürün kapıları</w:t>
      </w:r>
    </w:p>
    <w:p>
      <w:pPr>
        <w:widowControl/>
      </w:pPr>
      <w:r>
        <w:t>Kullanıcının açabildiği owner-authenticated özel uygulama URL’si NOT_ESTABLISHED ve Esra UAT’si PENDING durumundadır. Localhost, görev veya Library bağlantısı çalışan uygulama erişim kanıtı değildir. Exact build, özel erişim ve yetkili sentetik roller hazır olmadan kullanıcıya hazır veya USER_ACCEPTED denmez.</w:t>
      </w:r>
    </w:p>
    <w:p>
      <w:pPr>
        <w:widowControl/>
      </w:pPr>
      <w:r>
        <w:t>evidence-uat.cjs yalnız önceden mevcut özel Development servisi üzerinde kendi ürettiği PDF imzalı sentetik baytlarla bir gemi ve bir alım oluşturacak yardımcıdır; gerçek dosya okumaz, token yazdırmaz. Bu standalone helper son teslim koşusunda çalıştırılmadı. Önceki modüllerin çalıştırılmış seeder kanıtı bu yeni helper’a taşınmaz. Yeni altyapı veya gerçek dosya yükleme yetkisi verilmez.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shd w:fill="E8EDF2"/>
            <w:tcMar>
              <w:top w:w="90" w:type="dxa"/>
              <w:bottom w:w="90" w:type="dxa"/>
              <w:left w:w="90" w:type="dxa"/>
              <w:right w:w="90" w:type="dxa"/>
            </w:tcMar>
          </w:tcPr>
          <w:p>
            <w:pPr>
              <w:widowControl/>
              <w:spacing w:after="40" w:line="247" w:lineRule="auto"/>
            </w:pPr>
            <w:r>
              <w:rPr>
                <w:rFonts w:ascii="Calibri" w:hAnsi="Calibri"/>
                <w:b/>
                <w:sz w:val="20"/>
              </w:rPr>
              <w:t>Bekleyen kullanıcı adımı</w:t>
            </w:r>
          </w:p>
        </w:tc>
        <w:tc>
          <w:tcPr>
            <w:tcW w:type="dxa" w:w="7632"/>
            <w:vAlign w:val="center"/>
            <w:shd w:fill="E8EDF2"/>
            <w:tcMar>
              <w:top w:w="90" w:type="dxa"/>
              <w:bottom w:w="90" w:type="dxa"/>
              <w:left w:w="90" w:type="dxa"/>
              <w:right w:w="90" w:type="dxa"/>
            </w:tcMar>
          </w:tcPr>
          <w:p>
            <w:pPr>
              <w:widowControl/>
              <w:spacing w:after="40" w:line="247" w:lineRule="auto"/>
            </w:pPr>
            <w:r>
              <w:rPr>
                <w:rFonts w:ascii="Calibri" w:hAnsi="Calibri"/>
                <w:b/>
                <w:sz w:val="20"/>
              </w:rPr>
              <w:t>Beklenen sonuç</w:t>
            </w:r>
          </w:p>
        </w:tc>
      </w:tr>
      <w:tr>
        <w:trPr>
          <w:cantSplit/>
        </w:trPr>
        <w:tc>
          <w:tcPr>
            <w:tcW w:type="dxa" w:w="25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Sentetik hedef ve yetki</w:t>
            </w:r>
          </w:p>
        </w:tc>
        <w:tc>
          <w:tcPr>
            <w:tcW w:type="dxa" w:w="76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Doğru gemi/belge; bağımsız capture ve hedef manage izinleri; sıradan draft yazarı yönetici olmaz.</w:t>
            </w:r>
          </w:p>
        </w:tc>
      </w:tr>
      <w:tr>
        <w:trPr>
          <w:cantSplit/>
        </w:trPr>
        <w:tc>
          <w:tcPr>
            <w:tcW w:type="dxa" w:w="25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Sentetik dosya ve karantina</w:t>
            </w:r>
          </w:p>
        </w:tc>
        <w:tc>
          <w:tcPr>
            <w:tcW w:type="dxa" w:w="76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Yalnız üretilmiş zararsız PDF/PNG/JPEG; dosya adı plain text, preview yok. STORED_QUARANTINED ve scanner unavailable; download engelli.</w:t>
            </w:r>
          </w:p>
        </w:tc>
      </w:tr>
      <w:tr>
        <w:trPr>
          <w:cantSplit/>
        </w:trPr>
        <w:tc>
          <w:tcPr>
            <w:tcW w:type="dxa" w:w="25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Liste geçmiş ve düzeltme</w:t>
            </w:r>
          </w:p>
        </w:tc>
        <w:tc>
          <w:tcPr>
            <w:tcW w:type="dxa" w:w="76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Yetkili hedef listesi; değer/aktör/gerekçe göstermeyen history; yeni kimlikli gerekçeli child, eski dosya/hash korunur.</w:t>
            </w:r>
          </w:p>
        </w:tc>
      </w:tr>
      <w:tr>
        <w:trPr>
          <w:cantSplit/>
        </w:trPr>
        <w:tc>
          <w:tcPr>
            <w:tcW w:type="dxa" w:w="25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Kayıp yanıt ve görünüm</w:t>
            </w:r>
          </w:p>
        </w:tc>
        <w:tc>
          <w:tcPr>
            <w:tcW w:type="dxa" w:w="76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Aynı kimlikle durum kontrolü; farklı içerik replay reddedilir. Yerel alımı bırakınca picker boşalır; aynı dosyayı seçmek POST yapmaz. TR/EN ve üç viewport; gerçek cihaz/ekran okuyucu kabulü ayrıdır.</w:t>
            </w:r>
          </w:p>
        </w:tc>
      </w:tr>
    </w:tbl>
    <w:p>
      <w:pPr>
        <w:widowControl/>
        <w:spacing w:line="240" w:lineRule="auto" w:after="80"/>
      </w:pPr>
      <w:r>
        <w:rPr>
          <w:sz w:val="2"/>
        </w:rPr>
        <w:t xml:space="preserve">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shd w:fill="E8EDF2"/>
            <w:tcMar>
              <w:top w:w="90" w:type="dxa"/>
              <w:bottom w:w="90" w:type="dxa"/>
              <w:left w:w="90" w:type="dxa"/>
              <w:right w:w="90" w:type="dxa"/>
            </w:tcMar>
          </w:tcPr>
          <w:p>
            <w:pPr>
              <w:widowControl/>
              <w:spacing w:after="40" w:line="247" w:lineRule="auto"/>
            </w:pPr>
            <w:r>
              <w:rPr>
                <w:rFonts w:ascii="Calibri" w:hAnsi="Calibri"/>
                <w:b/>
                <w:sz w:val="20"/>
              </w:rPr>
              <w:t>Açık kapı</w:t>
            </w:r>
          </w:p>
        </w:tc>
        <w:tc>
          <w:tcPr>
            <w:tcW w:type="dxa" w:w="7632"/>
            <w:vAlign w:val="center"/>
            <w:shd w:fill="E8EDF2"/>
            <w:tcMar>
              <w:top w:w="90" w:type="dxa"/>
              <w:bottom w:w="90" w:type="dxa"/>
              <w:left w:w="90" w:type="dxa"/>
              <w:right w:w="90" w:type="dxa"/>
            </w:tcMar>
          </w:tcPr>
          <w:p>
            <w:pPr>
              <w:widowControl/>
              <w:spacing w:after="40" w:line="247" w:lineRule="auto"/>
            </w:pPr>
            <w:r>
              <w:rPr>
                <w:rFonts w:ascii="Calibri" w:hAnsi="Calibri"/>
                <w:b/>
                <w:sz w:val="20"/>
              </w:rPr>
              <w:t>Tamamlanmamış kapsam</w:t>
            </w:r>
          </w:p>
        </w:tc>
      </w:tr>
      <w:tr>
        <w:trPr>
          <w:cantSplit/>
        </w:trPr>
        <w:tc>
          <w:tcPr>
            <w:tcW w:type="dxa" w:w="25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Gerçek scanner</w:t>
            </w:r>
          </w:p>
        </w:tc>
        <w:tc>
          <w:tcPr>
            <w:tcW w:type="dxa" w:w="76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Sağlayıcı ve güvenilir sonuç kanalı, tarama tazeliği ve kontrollü içerik serbest bırakma.</w:t>
            </w:r>
          </w:p>
        </w:tc>
      </w:tr>
      <w:tr>
        <w:trPr>
          <w:cantSplit/>
        </w:trPr>
        <w:tc>
          <w:tcPr>
            <w:tcW w:type="dxa" w:w="25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Veri ve saklama politikası</w:t>
            </w:r>
          </w:p>
        </w:tc>
        <w:tc>
          <w:tcPr>
            <w:tcW w:type="dxa" w:w="76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Gerçek veri sınıflandırması, retention, legal hold, purge ve yetkili kapasite temizliği.</w:t>
            </w:r>
          </w:p>
        </w:tc>
      </w:tr>
      <w:tr>
        <w:trPr>
          <w:cantSplit/>
        </w:trPr>
        <w:tc>
          <w:tcPr>
            <w:tcW w:type="dxa" w:w="25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Üretim storage ve kurtarma</w:t>
            </w:r>
          </w:p>
        </w:tc>
        <w:tc>
          <w:tcPr>
            <w:tcW w:type="dxa" w:w="76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Object store, şifreleme/anahtar, kapasite/izleme, fiziksel arıza ve production DR; otomatik kesinti devamı/cleanup.</w:t>
            </w:r>
          </w:p>
        </w:tc>
      </w:tr>
      <w:tr>
        <w:trPr>
          <w:cantSplit/>
        </w:trPr>
        <w:tc>
          <w:tcPr>
            <w:tcW w:type="dxa" w:w="25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Kontrollü içerik kullanımı</w:t>
            </w:r>
          </w:p>
        </w:tc>
        <w:tc>
          <w:tcPr>
            <w:tcW w:type="dxa" w:w="76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Download/preview/export, OCR/AI tüketimi, DocumentVersion yayını, sahip/verifier yetkileri ve insan doğrulama.</w:t>
            </w:r>
          </w:p>
        </w:tc>
      </w:tr>
      <w:tr>
        <w:trPr>
          <w:cantSplit/>
        </w:trPr>
        <w:tc>
          <w:tcPr>
            <w:tcW w:type="dxa" w:w="25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Kimlik ağ ve kabul</w:t>
            </w:r>
          </w:p>
        </w:tc>
        <w:tc>
          <w:tcPr>
            <w:tcW w:type="dxa" w:w="76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Native TLS, gerçek IdP, özel kullanıcı browser erişimi ve Esra kabulü; dört ekranlı tam modül ve v46.3 ürün kabulü.</w:t>
            </w:r>
          </w:p>
        </w:tc>
      </w:tr>
    </w:tbl>
    <w:p>
      <w:pPr>
        <w:widowControl/>
        <w:spacing w:line="240" w:lineRule="auto" w:after="80"/>
      </w:pPr>
      <w:r>
        <w:rPr>
          <w:sz w:val="2"/>
        </w:rPr>
        <w:t xml:space="preserve"> </w:t>
      </w:r>
    </w:p>
    <w:p>
      <w:pPr>
        <w:widowControl/>
      </w:pPr>
      <w:r>
        <w:t>14.02’deki 41 ilgili ekran alanı ve DEC-DATA kararları açıktır. Dosya hash’i, karantina receipt’i veya yeni sürüm bağı bu açık işlevlerin tamamlandığını göstermez. Kullanıcı bulgusu build/arşiv SHA, adım, dil/viewport, sentetik kimlik ve beklenen/görülen davranışla kaydedilir; gerçek veri, token veya ekran görüntüsü eklenmez. Açık kullanıcı onayı olmadan USER_ACCEPTED yazılmaz.</w:t>
      </w:r>
    </w:p>
    <w:p>
      <w:pPr>
        <w:pStyle w:val="Heading1"/>
        <w:widowControl/>
      </w:pPr>
      <w:r>
        <w:t>10 Kanıt paketi ve tarihsel kayıt</w:t>
      </w:r>
    </w:p>
    <w:p>
      <w:pPr>
        <w:widowControl/>
      </w:pPr>
      <w:r/>
      <w:hyperlink r:id="rId12">
        <w:r>
          <w:rPr>
            <w:color w:val="000000"/>
            <w:u w:val="single"/>
          </w:rPr>
          <w:t>34.02 Karantinalı ek alımı kanıtları</w:t>
        </w:r>
      </w:hyperlink>
    </w:p>
    <w:p>
      <w:pPr>
        <w:widowControl/>
      </w:pPr>
      <w:r>
        <w:t>Kanıt ZIP SHA256</w:t>
        <w:br/>
        <w:t>aba2ca590378de3ca33135018afee5fdd0192fcf93c1e853cd6e0e2c1d559a7d</w:t>
      </w:r>
    </w:p>
    <w:p>
      <w:pPr>
        <w:widowControl/>
      </w:pPr>
      <w:r>
        <w:t>Arşiv 128 girdi içerir: 112 dosyalık source/ anlık görüntüsü, evidence-intake.patch, SHA256 manifestleri, RAPOR_TR.md, result.json ve sanitize test kanıtları. archive-manifest.json kendisi dışındaki 127 dosyayı listeler. Güncel kararlar source/docs/ADR_EVIDENCE_INTAKE.md, sentetik kullanıcı adımları source/docs/EVIDENCE_INTAKE_UAT.md ve API eki source/src/Backend/docs/API_CONTRACT.md içindedir.</w:t>
      </w:r>
    </w:p>
    <w:p>
      <w:pPr>
        <w:widowControl/>
      </w:pPr>
      <w:r>
        <w:t>patch-verification.json, temiz temele uygulanan yamanın byte eşitliği için üretici PASS kaydıdır. Arşivde screenshot, gerçek kullanıcı dosyası, DB, sır, node_modules veya bin/obj yoktur. Gerektiğinde ham günlük yerine test adı/sonuç/duration korunur. Eski test özetleri tarihseldir; güncel sonuç bu kaynak anlık görüntüsüne aittir.</w:t>
      </w:r>
    </w:p>
    <w:p>
      <w:pPr>
        <w:widowControl/>
      </w:pPr>
      <w:r>
        <w:t>30.01 yol haritası ve önceki rapor/kanıtlar değiştirilmeden korunur. 33.01’in idari belge ve tarih takibi kanıtları geriye dönük değişmez. Bu rapor tam modül, içerik kullanımı veya production GO değildir.</w:t>
      </w:r>
    </w:p>
    <w:p>
      <w:pPr>
        <w:widowControl/>
      </w:pPr>
      <w:r/>
      <w:r>
        <w:t xml:space="preserve">İlgili kayıtlar: </w:t>
      </w:r>
      <w:hyperlink r:id="rId13">
        <w:r>
          <w:rPr>
            <w:color w:val="000000"/>
            <w:u w:val="single"/>
          </w:rPr>
          <w:t>33.01 İdari belge kayıtları doğrulama raporu</w:t>
        </w:r>
      </w:hyperlink>
      <w:r>
        <w:t xml:space="preserve">  |  </w:t>
      </w:r>
      <w:hyperlink r:id="rId14">
        <w:r>
          <w:rPr>
            <w:color w:val="000000"/>
            <w:u w:val="single"/>
          </w:rPr>
          <w:t>30.01 Tam ürün yol haritası</w:t>
        </w:r>
      </w:hyperlink>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Core v0.1  |  34.01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mgt41/Poseidon/commit/253a5d3a96542cfde65118898abfe90b358c1943" TargetMode="External"/><Relationship Id="rId11" Type="http://schemas.openxmlformats.org/officeDocument/2006/relationships/hyperlink" Target="https://github.com/emgt41/Poseidon/pull/3" TargetMode="External"/><Relationship Id="rId12" Type="http://schemas.openxmlformats.org/officeDocument/2006/relationships/hyperlink" Target="34.02_POSEIDON_Core_v0.1_Karantinali_Ek_Alimi_Kanitlari_2026-10-27.zip" TargetMode="External"/><Relationship Id="rId13" Type="http://schemas.openxmlformats.org/officeDocument/2006/relationships/hyperlink" Target="33.01_POSEIDON_Core_v0.1_Idari_Belge_Kayitlari_ve_Tarih_Takibi_Dogrulama_Raporu_2026-10-27_TR.docx" TargetMode="External"/><Relationship Id="rId14" Type="http://schemas.openxmlformats.org/officeDocument/2006/relationships/hyperlink" Target="../08_MANAGEMENT_CONTROL/30.01_POSEIDON_v46.3_Tam_Urun_2027_Q3_Q4_Teslim_Yol_Haritasi_T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karantinalı ek alımı doğrulama raporu</dc:title>
  <dc:subject>Karantinalı sentetik ek alımının teknik kanıtı ve açık üretim kabul sınırları</dc:subject>
  <dc:creator>POSEIDON</dc:creator>
  <cp:keywords>POSEIDON, Core v0.1, envanter, sayfalama, kanıt, UAT</cp:keywords>
  <dc:description>generated by python-docx</dc:description>
  <cp:lastModifiedBy/>
  <cp:revision>1</cp:revision>
  <dcterms:created xsi:type="dcterms:W3CDTF">2013-12-23T23:15:00Z</dcterms:created>
  <dcterms:modified xsi:type="dcterms:W3CDTF">2013-12-23T23:15:00Z</dcterms:modified>
  <cp:category/>
</cp:coreProperties>
</file>