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tam ürün teslim yol haritası</w:t>
      </w:r>
    </w:p>
    <w:p>
      <w:pPr>
        <w:pStyle w:val="Subtitle"/>
        <w:widowControl/>
      </w:pPr>
      <w:r>
        <w:t>27 Ekim 2026  Hedef dönem 2027 Q3 ve Q4</w:t>
      </w:r>
    </w:p>
    <w:p>
      <w:pPr>
        <w:widowControl/>
      </w:pPr>
      <w:r>
        <w:t>v46.3  |  Doküman 30.01  |  Kontrollü planlama temeli  |  Kaynak commit d0640b27</w:t>
      </w:r>
    </w:p>
    <w:p>
      <w:pPr>
        <w:widowControl/>
      </w:pPr>
      <w:r>
        <w:rPr>
          <w:b/>
        </w:rPr>
        <w:t>Karar:</w:t>
      </w:r>
      <w:r>
        <w:t xml:space="preserve"> POSEIDON, mutabık kalınan gemi ve römorkör ürün kapsamının tamamı için geliştirilir. 2027 Q4 çalışma hedef penceresidir; Q3 daha erken ve zorlayıcı senaryodur. İki pencere de teslim garantisi değildir. Kasım sonundaki yazılımcı incelemesi, gerçek kapasite ve ölçülen teslim çevrimi görülmeden güvenilir bitiş tahmini verilemez.</w:t>
      </w:r>
    </w:p>
    <w:p>
      <w:pPr>
        <w:widowControl/>
      </w:pPr>
      <w:r>
        <w:t>Bu plan Esra, katılacak yazılımcı, ürün ve denizcilik uzmanları ile test ve yayın sorumlularına yöneliktir. Kapsamı, uygulama sırasını, her modülün kabulünü ve müşteri öncesi kanıtı bir araya getirir. Aşamalı geliştirme, kapsamı MVP ile sınırlandırmaz; kabul edilmiş P0 ve P1 kabiliyetler ticari genel kullanıma açılışın tamamına dahildir.</w:t>
      </w:r>
    </w:p>
    <w:p>
      <w:pPr>
        <w:pStyle w:val="Heading1"/>
        <w:widowControl/>
      </w:pPr>
      <w:r>
        <w:t>1 Teslim sırası ve değişmeyen koşullar</w:t>
      </w:r>
    </w:p>
    <w:p>
      <w:pPr>
        <w:pStyle w:val="ListBullet"/>
        <w:widowControl/>
      </w:pPr>
      <w:r>
        <w:t>Her modül gerçek çalışan test sürümüyle önce teknik doğrulamaya, sonra Esra testine çıkar. Esra açıkça kabul etmeden USER_ACCEPTED durumuna geçmez. Diğer bağımsız işler bu sırada ilerler.</w:t>
      </w:r>
    </w:p>
    <w:p>
      <w:pPr>
        <w:pStyle w:val="ListBullet"/>
        <w:widowControl/>
      </w:pPr>
      <w:r>
        <w:t>Pilot adayları dışındaki kaptan ve çarkçılarla erken görev testleri yapılabilir. Katılımcı, müsaitlik ve gemi veya römorkör tipi henüz teyit edilmemiştir; bu testler hukuki, bayrak veya klas onayı değildir.</w:t>
      </w:r>
    </w:p>
    <w:p>
      <w:pPr>
        <w:pStyle w:val="ListBullet"/>
        <w:widowControl/>
      </w:pPr>
      <w:r>
        <w:t>Üç müşteri adayı ürünü ancak tam ürün hazır olduğunda görmek istiyor. Bu nedenle önce bütün mutabık işlevler tamamlanır ve iç sürüm adayı kabul edilir; sonra müşteri pilotları, düzeltme ve ticari yayın gelir. Erken müşteri demosu veya dar MVP pilotu varsayılmaz.</w:t>
      </w:r>
    </w:p>
    <w:p>
      <w:pPr>
        <w:pStyle w:val="ListBullet"/>
        <w:widowControl/>
      </w:pPr>
      <w:r>
        <w:t>Üç aday, sözleşme, gelir, satın alma niyeti, veri izni veya takvim taahhüdü sayılmaz. Gerçek gemi ve römorkör saha kapsamı ayrıca doğrulanır.</w:t>
      </w:r>
    </w:p>
    <w:p>
      <w:pPr>
        <w:widowControl/>
      </w:pPr>
      <w:r>
        <w:t>Bilinen kapasite Esra ile AI destekli çalışma ve yaklaşık bir ay içinde katılması beklenen bir yazılımcıdır. İlk teknik inceleme ve devir için Kasım 2026 sonu hedeflenir; kesin katılım tarihi, süre, deneyim ve haftalık kapasite bilinmiyor. Bu plan atanmış ekip veya işe alım bütçesi tanımlamaz.</w:t>
      </w:r>
    </w:p>
    <w:p>
      <w:pPr>
        <w:widowControl/>
      </w:pPr>
      <w:r>
        <w:t>Hemen başlanacak ilk kullanıcı testli modül Gemi/Römorkör Envanteri, sonraki modül Sertifika’dır. Kasım takvimi başlangıcı beklemek anlamına gelmez. Mevcut dar taslak, tam envanter veya tam sertifika modülü değildir; eksik gereksinimler kapatılarak çalışan test sürümü ve Esra kabulü sağlanır.</w:t>
      </w:r>
    </w:p>
    <w:p>
      <w:pPr>
        <w:pStyle w:val="Heading2"/>
        <w:widowControl/>
      </w:pPr>
      <w:r>
        <w:t>Kapsamın sınırı</w:t>
      </w:r>
    </w:p>
    <w:p>
      <w:pPr>
        <w:widowControl/>
      </w:pPr>
      <w:r>
        <w:t>Ship ve Tug eşit birinci sınıf çalışma modlarıdır. Company ve fleet, tenant yönetimi ile karma filonun toplulaştırılması içindir. Gemi ve römorkörün kendi görevleri, atamaları, faaliyetleri ve operasyon kayıtları kapsamdadır. Liman veya terminal yönetimi, berth tahsisi, VTS ve liman geneli dispatch; tam finans, bordro, RFQ/PO, satınalma, depo ve chartering ERP; ECDIS veya seyir sisteminin yerine geçme kapsam dışıdır. Teknik talep, stok ve dış sistem entegrasyonları kendi kontrollü sınırında kalır. [K02–K03]</w:t>
      </w:r>
    </w:p>
    <w:p>
      <w:pPr>
        <w:pStyle w:val="Heading1"/>
        <w:widowControl/>
      </w:pPr>
      <w:r>
        <w:t>2 Başlangıç durumu ve kayıtların önceliği</w:t>
      </w:r>
    </w:p>
    <w:p>
      <w:pPr>
        <w:widowControl/>
      </w:pPr>
      <w:r>
        <w:t>11 ana menü, 39 navigasyon modülü, 196 ekran ve 2.316 ekran alanı sözleşmesi ürün envanteridir; çalışan ürün oranı değildir. Aynı domain alanı farklı ekranlarda bulunabilir. Bu sayı 2.316 ayrı veritabanı kolonu anlamına gelmez. Ekran yerleşimi iyileştirilebilir, fakat gereksinim ve kabul izi kaybolamaz. [K01–K05]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92"/>
        <w:gridCol w:w="4176"/>
      </w:tblGrid>
      <w:tr>
        <w:trPr>
          <w:cantSplit/>
          <w:tblHeader/>
        </w:trPr>
        <w:tc>
          <w:tcPr>
            <w:tcW w:type="dxa" w:w="1656"/>
            <w:vAlign w:val="center"/>
            <w:shd w:fill="E8EDF2"/>
            <w:tcMar>
              <w:top w:w="90" w:type="dxa"/>
              <w:bottom w:w="90" w:type="dxa"/>
              <w:left w:w="90" w:type="dxa"/>
              <w:right w:w="90" w:type="dxa"/>
            </w:tcMar>
          </w:tcPr>
          <w:p>
            <w:pPr>
              <w:widowControl/>
              <w:spacing w:after="40" w:line="247" w:lineRule="auto"/>
            </w:pPr>
            <w:r>
              <w:rPr>
                <w:rFonts w:ascii="Calibri" w:hAnsi="Calibri"/>
                <w:b/>
                <w:sz w:val="20"/>
              </w:rPr>
              <w:t>Konu</w:t>
            </w:r>
          </w:p>
        </w:tc>
        <w:tc>
          <w:tcPr>
            <w:tcW w:type="dxa" w:w="4392"/>
            <w:vAlign w:val="center"/>
            <w:shd w:fill="E8EDF2"/>
            <w:tcMar>
              <w:top w:w="90" w:type="dxa"/>
              <w:bottom w:w="90" w:type="dxa"/>
              <w:left w:w="90" w:type="dxa"/>
              <w:right w:w="90" w:type="dxa"/>
            </w:tcMar>
          </w:tcPr>
          <w:p>
            <w:pPr>
              <w:widowControl/>
              <w:spacing w:after="40" w:line="247" w:lineRule="auto"/>
            </w:pPr>
            <w:r>
              <w:rPr>
                <w:rFonts w:ascii="Calibri" w:hAnsi="Calibri"/>
                <w:b/>
                <w:sz w:val="20"/>
              </w:rPr>
              <w:t>27 Ekim 2026 itibarıyla doğru okuma</w:t>
            </w:r>
          </w:p>
        </w:tc>
        <w:tc>
          <w:tcPr>
            <w:tcW w:type="dxa" w:w="4176"/>
            <w:vAlign w:val="center"/>
            <w:shd w:fill="E8EDF2"/>
            <w:tcMar>
              <w:top w:w="90" w:type="dxa"/>
              <w:bottom w:w="90" w:type="dxa"/>
              <w:left w:w="90" w:type="dxa"/>
              <w:right w:w="90" w:type="dxa"/>
            </w:tcMar>
          </w:tcPr>
          <w:p>
            <w:pPr>
              <w:widowControl/>
              <w:spacing w:after="40" w:line="247" w:lineRule="auto"/>
            </w:pPr>
            <w:r>
              <w:rPr>
                <w:rFonts w:ascii="Calibri" w:hAnsi="Calibri"/>
                <w:b/>
                <w:sz w:val="20"/>
              </w:rPr>
              <w:t>Planın eylemi</w:t>
            </w:r>
          </w:p>
        </w:tc>
      </w:tr>
      <w:tr>
        <w:trPr>
          <w:cantSplit/>
        </w:trPr>
        <w:tc>
          <w:tcPr>
            <w:tcW w:type="dxa" w:w="16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Çalışan kaynak</w:t>
            </w:r>
          </w:p>
        </w:tc>
        <w:tc>
          <w:tcPr>
            <w:tcW w:type="dxa" w:w="43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d0640b27 üzerinde 62 dosyalı dar vessel/certificate taslak ve isteğe bağlı BFF UI dilimi. Üretici kanıtı backend 92/92 ve frontend 47/47; 0 FAIL ve 0 SKIP.</w:t>
            </w:r>
          </w:p>
        </w:tc>
        <w:tc>
          <w:tcPr>
            <w:tcW w:type="dxa" w:w="41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Aynı revizyonu yeniden üretilebilir CI temeline al. Tam ürün için ayrı kanıt topla.</w:t>
            </w:r>
          </w:p>
        </w:tc>
      </w:tr>
      <w:tr>
        <w:trPr>
          <w:cantSplit/>
        </w:trPr>
        <w:tc>
          <w:tcPr>
            <w:tcW w:type="dxa" w:w="1656"/>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Kanıt sınırı</w:t>
            </w:r>
          </w:p>
        </w:tc>
        <w:tc>
          <w:tcPr>
            <w:tcW w:type="dxa" w:w="43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Altı viewport/dil koşusu ve TR/EN BFF akışı dar kapsamda geçti. TestServer ve kontrollü relay; native TLS/proxy veya canlı IdP kabulü değildir.</w:t>
            </w:r>
          </w:p>
        </w:tc>
        <w:tc>
          <w:tcPr>
            <w:tcW w:type="dxa" w:w="41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Canlı test IdP, gerçek HTTPS/proxy, üretim desenindeki store/key ve oturum yaşam döngüsünü ayrı doğrula.</w:t>
            </w:r>
          </w:p>
        </w:tc>
      </w:tr>
      <w:tr>
        <w:trPr>
          <w:cantSplit/>
        </w:trPr>
        <w:tc>
          <w:tcPr>
            <w:tcW w:type="dxa" w:w="16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Düzeltilmiş kayıtlar</w:t>
            </w:r>
          </w:p>
        </w:tc>
        <w:tc>
          <w:tcPr>
            <w:tcW w:type="dxa" w:w="43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1.660 default için genel politika/temizlik; 116 prototip anahtarı ve 11 aksiyon sayımı düzeltildi.</w:t>
            </w:r>
          </w:p>
        </w:tc>
        <w:tc>
          <w:tcPr>
            <w:tcW w:type="dxa" w:w="41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Bunları yeniden açık hata olarak sayma. Alan bazlı koşul, nullability, state ve lookup kararlarını ayrı izle.</w:t>
            </w:r>
          </w:p>
        </w:tc>
      </w:tr>
      <w:tr>
        <w:trPr>
          <w:cantSplit/>
        </w:trPr>
        <w:tc>
          <w:tcPr>
            <w:tcW w:type="dxa" w:w="1656"/>
            <w:vAlign w:val="center"/>
            <w:shd w:fill="F6F7F9"/>
            <w:tcMar>
              <w:top w:w="90" w:type="dxa"/>
              <w:bottom w:w="90" w:type="dxa"/>
              <w:left w:w="90" w:type="dxa"/>
              <w:right w:w="90" w:type="dxa"/>
            </w:tcMar>
          </w:tcPr>
          <w:p>
            <w:pPr>
              <w:widowControl/>
              <w:spacing w:after="40" w:line="247" w:lineRule="auto"/>
            </w:pPr>
            <w:r>
              <w:rPr>
                <w:rFonts w:ascii="Calibri" w:hAnsi="Calibri"/>
                <w:b w:val="0"/>
                <w:sz w:val="20"/>
              </w:rPr>
              <w:t>Lookup ve projection</w:t>
            </w:r>
          </w:p>
        </w:tc>
        <w:tc>
          <w:tcPr>
            <w:tcW w:type="dxa" w:w="43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518 lookup incelemesi: 3 UI listesi, 107 entity+GET adayı, 119 entity-only adayı, 98 anlam çatışması, 191 çözülmemiş kaynak. Üretim onaylı tam lookup 0. 61 projection ekranının 45’i aksiyonlu.</w:t>
            </w:r>
          </w:p>
        </w:tc>
        <w:tc>
          <w:tcPr>
            <w:tcW w:type="dxa" w:w="41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Sınıflandırmayı koru. Response/command, lookup sahibi ve üretim eşlemesini dalga bazında onayla; DEC-DATA-07 açık.</w:t>
            </w:r>
          </w:p>
        </w:tc>
      </w:tr>
      <w:tr>
        <w:trPr>
          <w:cantSplit/>
        </w:trPr>
        <w:tc>
          <w:tcPr>
            <w:tcW w:type="dxa" w:w="16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Süreç ve backlog</w:t>
            </w:r>
          </w:p>
        </w:tc>
        <w:tc>
          <w:tcPr>
            <w:tcW w:type="dxa" w:w="43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P-16…P-24 dokuz süreç önerisi REVIEW_REQUIRED. 121 DEV satırı tarihsel olarak Not Started. 372 P0 alan boşluğu eski baseline KPI’sıdır.</w:t>
            </w:r>
          </w:p>
        </w:tc>
        <w:tc>
          <w:tcPr>
            <w:tcW w:type="dxa" w:w="41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Güncel kaynakla yeniden say. Yinelenen römorkör satırlarını iki kez sayma; SP veya satır sayısından bitiş yüzdesi üretme.</w:t>
            </w:r>
          </w:p>
        </w:tc>
      </w:tr>
    </w:tbl>
    <w:p>
      <w:pPr>
        <w:widowControl/>
        <w:spacing w:line="240" w:lineRule="auto" w:after="80"/>
      </w:pPr>
      <w:r>
        <w:rPr>
          <w:sz w:val="2"/>
        </w:rPr>
        <w:t xml:space="preserve"> </w:t>
      </w:r>
    </w:p>
    <w:p>
      <w:pPr>
        <w:widowControl/>
      </w:pPr>
      <w:r>
        <w:t>Dar dilimin geçmiş test sonuçları, yeni plan yazıldığı için yeniden çalıştırılmış veya tam ürün kabulüne genişletilmiş olmaz. Kaynak, kanıt, test senaryosu, boş onay alanı ve gerçek kabul birbirinden ayrılır. Yeni kanıt olmadığında OPEN, REVIEW_REQUIRED veya NOT_RUN korunur. [K01, K05, K06, K16, K17]</w:t>
      </w:r>
    </w:p>
    <w:p>
      <w:pPr>
        <w:pStyle w:val="Heading2"/>
        <w:widowControl/>
      </w:pPr>
      <w:r>
        <w:t>27 Ekim 2026 tarihli planlama önceliği</w:t>
      </w:r>
    </w:p>
    <w:p>
      <w:pPr>
        <w:widowControl/>
      </w:pPr>
      <w:r>
        <w:t>Bu doküman gelecek teslim sırası için tam kapsam ve müşteri öncesi iç RC ilkesini esas alır. Eski MVP ve Phase 2 etiketleri uygulama sırasıdır; kabul edilmiş kabiliyetleri GA dışına atmaz. 22.01 içindeki 90 günlük örnek sıra tam ürün efor tahmini değildir. 23.01 içindeki eski repo/runtime yokluğu ve 18.01 içindeki Not Started kayıtları tarihsel kalır; 26–29 kanıtı yalnız dar dilimde yeni durumu gösterir. Eski kayıtlar sessizce PASS olarak yeniden yazılmaz.</w:t>
      </w:r>
    </w:p>
    <w:p>
      <w:pPr>
        <w:widowControl/>
      </w:pPr>
      <w:r>
        <w:t>23.03 içindeki etkin cloud-primary ifadesi ayrı kontrollü düzeltmeyle kurum içi/self-hosted tarayıcı hedefiyle uzlaştırılmıştır. Üretim yönü müşteri kurum içi kurulumudur; bulut geliştirme ve test içindir. 30.01 geçmiş kanıtı değiştirmez. İlk hafta yapılacak rebaseline, eski ve yeni durumu, tarihini, karar gerekçesini ve tam kanıt referansını birlikte kaydeder. [K06, K12–K14]</w:t>
      </w:r>
    </w:p>
    <w:p>
      <w:pPr>
        <w:widowControl/>
      </w:pPr>
      <w:r/>
      <w:r>
        <w:rPr>
          <w:b/>
        </w:rPr>
        <w:t xml:space="preserve">Canlı takip: </w:t>
      </w:r>
      <w:hyperlink r:id="rId10">
        <w:r>
          <w:rPr>
            <w:color w:val="000000"/>
            <w:u w:val="single"/>
          </w:rPr>
          <w:t>POSEIDON Tam Ürün Planı ve İlerleme Takibi</w:t>
        </w:r>
      </w:hyperlink>
      <w:r>
        <w:t xml:space="preserve"> özel Page’i, doğrulanmış kilometre taşları ve zaman damgalarıyla asistan tarafından güncellenir. Otomatik gerçek zamanlı senkronizasyon değildir. ZIP kontrollü teslim anının sabit görüntüsü olarak kalır.</w:t>
      </w:r>
    </w:p>
    <w:p>
      <w:pPr>
        <w:pStyle w:val="Heading1"/>
        <w:pageBreakBefore/>
        <w:widowControl/>
      </w:pPr>
      <w:r>
        <w:t>3 Tam kapsamın 39 modüle dağılımı</w:t>
      </w:r>
    </w:p>
    <w:p>
      <w:pPr>
        <w:widowControl/>
      </w:pPr>
      <w:r>
        <w:t>Aşağıdaki dağılım uygulama bağımlılığı içindir; yeni menü ağacı veya daraltılmış kapsam değildir. A 7, B 7, C 20 ve D 5 modül olmak üzere 39 modülün tamamı yer alır. Her satır, 13.06 ve bağlı gereksinimlerin tamamına izlenir; kısa sonuç tanımı ayrıntılı kabul koşullarının yerine geçmez. E kalite hattı bütün modülleri keser. [K03–K05]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
        <w:gridCol w:w="3283"/>
        <w:gridCol w:w="6394"/>
      </w:tblGrid>
      <w:tr>
        <w:trPr>
          <w:cantSplit/>
          <w:tblHeader/>
        </w:trPr>
        <w:tc>
          <w:tcPr>
            <w:tcW w:type="dxa" w:w="547"/>
            <w:vAlign w:val="center"/>
            <w:shd w:fill="E8EDF2"/>
            <w:tcMar>
              <w:top w:w="90" w:type="dxa"/>
              <w:bottom w:w="90" w:type="dxa"/>
              <w:left w:w="90" w:type="dxa"/>
              <w:right w:w="90" w:type="dxa"/>
            </w:tcMar>
          </w:tcPr>
          <w:p>
            <w:pPr>
              <w:widowControl/>
              <w:spacing w:after="40" w:line="247" w:lineRule="auto"/>
              <w:jc w:val="center"/>
            </w:pPr>
            <w:r>
              <w:rPr>
                <w:rFonts w:ascii="Calibri" w:hAnsi="Calibri"/>
                <w:b/>
                <w:sz w:val="20"/>
              </w:rPr>
              <w:t>No</w:t>
            </w:r>
          </w:p>
        </w:tc>
        <w:tc>
          <w:tcPr>
            <w:tcW w:type="dxa" w:w="3283"/>
            <w:vAlign w:val="center"/>
            <w:shd w:fill="E8EDF2"/>
            <w:tcMar>
              <w:top w:w="90" w:type="dxa"/>
              <w:bottom w:w="90" w:type="dxa"/>
              <w:left w:w="90" w:type="dxa"/>
              <w:right w:w="90" w:type="dxa"/>
            </w:tcMar>
          </w:tcPr>
          <w:p>
            <w:pPr>
              <w:widowControl/>
              <w:spacing w:after="40" w:line="247" w:lineRule="auto"/>
            </w:pPr>
            <w:r>
              <w:rPr>
                <w:rFonts w:ascii="Calibri" w:hAnsi="Calibri"/>
                <w:b/>
                <w:sz w:val="20"/>
              </w:rPr>
              <w:t>Modül</w:t>
            </w:r>
          </w:p>
        </w:tc>
        <w:tc>
          <w:tcPr>
            <w:tcW w:type="dxa" w:w="6394"/>
            <w:vAlign w:val="center"/>
            <w:shd w:fill="E8EDF2"/>
            <w:tcMar>
              <w:top w:w="90" w:type="dxa"/>
              <w:bottom w:w="90" w:type="dxa"/>
              <w:left w:w="90" w:type="dxa"/>
              <w:right w:w="90" w:type="dxa"/>
            </w:tcMar>
          </w:tcPr>
          <w:p>
            <w:pPr>
              <w:widowControl/>
              <w:spacing w:after="40" w:line="247" w:lineRule="auto"/>
            </w:pPr>
            <w:r>
              <w:rPr>
                <w:rFonts w:ascii="Calibri" w:hAnsi="Calibri"/>
                <w:b/>
                <w:sz w:val="20"/>
              </w:rPr>
              <w:t>İş hattı ve teslim sonucu</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01</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Filo ve Gemi/Römorkör Kartları</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A  Tenant, varlık kimliği, profile bağlı veriler, sürümlü değişiklik ve iki modda tutarlı temel kayıt.</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02</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Kontrollü Bilgi ve Kanıt</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A  Sürüm, sahiplik, doğrulama, ek dosya bütünlüğü, erişim ve değişmez denetim izi.</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03</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Entegrasyon Merkezi</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A  Kaynak sistem, sözleşme, retry, idempotency, hata kuyruğu ve mutabakat; seçilen connector kapsamı açık.</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04</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Mobil ve Çevrimdışı</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A  Desteklenen cihaz/tarayıcı matrisi, kalıcı kuyruk, çatışma, reconnect ve erişim kaybı davranışı.</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05</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Platform Yönetimi</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A  Kurulum, tenant ve rol yönetimi, yapılandırma, gözlenebilirlik, yükseltme ve destek araçları.</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06</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Siber Güvenlik</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A  Kimlik, izolasyon, olay kaydı, güvenli konfigürasyon, zafiyet ve erişim yaşam döngüsü.</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07</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Yapay Zekâ ve Karar Desteği</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A  On use case için izinli veri, kaynak izi, değerlendirme, insan kararı ve kill switch; otonom onay yok.</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08</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Gemi Tipi ve Profil Yönetimi</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B  Tip, flag/class, tonaj, tarih, operasyon ve ekipman gerçeklerinden sürümlü profil.</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09</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Gemi/Römorkör Tipi Çalışma Alanları</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B  Aynı çekirdek üzerinde moda, profile ve role göre görev yüzeyleri; bağlam karışması yok.</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10</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Gemi Operasyonları</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B  Departure, voyage, arrival, noon, deck/engine, fuel/BDN, SOF ve downtime zinciri.</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11</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Römorkör Operasyonları</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B  Intake, assignment, conflict, readiness, plan, risk, briefing, release, execution ve history.</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12</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Mürettebat Yönetimi</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B  Kişi ve görev kaydı, belge, atama ve gemi/römorkör ilişkisinin yetkili yönetimi.</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13</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Yetkinlik ve Eğitim</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B  Yetkinlik, eğitim, değerlendirme ve göreve uygunluk girdileri için izlenebilir kanıt.</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14</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Göreve Uygunluk ve Manning</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B  Manning, work/rest ve eligibility kontrolleri; eksik kritik bilgiyle olumlu sonuç yok.</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15</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Teknik Hazırlık</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Teknik gerçeklerden readiness ve Why; kritik arıza veya doğrulanmamış kanıt görünür.</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16</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Varlık ve Ekipman</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  Ekipman hiyerarşisi, kritik sınıfı, özellikleri ve bakım/ölçüm geçmişi.</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17</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PMS</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İş emri, ölçüm, erteleme, kusur, servis, pre-survey ve drydock bağlantıları.</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18</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Teknik Tedarik ve Stok</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  Teknik talep, kritik yedek ve stok görünümü; tam RFQ/PO/depo ERP yerine kontrollü entegrasyon.</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19</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Emniyet Yönetimi</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Operasyonla bağlı emniyet görevleri, kontroller, izinler ve yetkili karar kanıtı.</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20</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Olay/Öğrenme/Emniyet Kültürü</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  Olay, korumalı bildirim, inceleme, aksiyon ve öğrenme; erişim ayrımı korunur.</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21</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Risk/Bariyer/Değişiklik</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Risk, bariyer, değişiklik yönetimi ve effectiveness; author/verifier ayrımı.</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22</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Acil Durum</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  Plan, rol, tatbikat ve olay kayıtları; bağlantı kısıtında kritik bilgiye erişim.</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23</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Filo Emniyet Zekâsı</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Filo düzeyinde kaynaklı eğilim ve aksiyon görünümü; erişim ve anonimlik sınırı.</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24</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Emniyet Zekâsı</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  Yerel emniyet sinyalleri, açıklama ve takip; tahmin kesin operasyon onayı sayılmaz.</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25</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Uyum Merkezi</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Uygulanabilir yükümlülük, kontrol, görev, kanıt, sahip ve açık istisnalar.</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26</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Uygulanabilirlik ve Kontrol Motoru</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  Sürüm/tarih/profil girdileriyle uygulanır, uygulanmaz veya uzman incelemesi sonucu.</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27</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Mevzuat Kaynak ve Değişiklik</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Yetkili kaynak, sürüm, effective date, değişiklik etkisi ve reviewer iş akışı.</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28</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ISM/SMS</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  Desteklenen profil için SMS kontrolleri, süreçler, kanıt ve değişiklik takibi.</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29</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SOLAS/Gemi Emniyet</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Desteklenen vessel ve operasyon bağlamında kontrol ve kanıt eşlemesi.</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30</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STCW/MLC</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  Mürettebat yeterlik, çalışma ve yaşam koşulu gereksinimlerinin bağlama göre izlenmesi.</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31</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MARPOL/Çevre</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Çevre yükümlülükleri ve kayıtlar; elektronik defter için gereken idare kabulü ayrı.</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32</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Kargo/Tehlikeli Yük</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  Mutabık tip/profil paketleri ve kargo kontrolleri; kapsam dışı bağlama olumlu sonuç yok.</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33</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Sertifika/Sörvey</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Geçerlilik, sörvey, doğrulama, bulgu ve readiness ilişkisi; taslak gerçek belge sayılmaz.</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34</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Denetim/Assurance</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  Plan, denetim, bulgu, düzeltme, doğrulama ve kanıt paketi; kapanış izi korunur.</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35</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Ortak Komuta</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D  Role ve moda göre Today, istisna, sahip, sıradaki iş ve gerekçe; gerçek domain verisi.</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36</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Gösterge Panoları</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D  Tanımlı hesaplama, zaman, filtre, veri kaynağı ve drill-down ile güvenilir projection.</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37</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Rol Bazlı Panolar</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D  Master, Tug Master, teknik, mürettebat ve kıyı rollerinin yetkili görev görünümü.</w:t>
            </w:r>
          </w:p>
        </w:tc>
      </w:tr>
      <w:tr>
        <w:trPr>
          <w:cantSplit/>
        </w:trPr>
        <w:tc>
          <w:tcPr>
            <w:tcW w:type="dxa" w:w="547"/>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38</w:t>
            </w:r>
          </w:p>
        </w:tc>
        <w:tc>
          <w:tcPr>
            <w:tcW w:type="dxa" w:w="3283"/>
            <w:vAlign w:val="center"/>
            <w:shd w:fill="F6F7F9"/>
            <w:tcMar>
              <w:top w:w="90" w:type="dxa"/>
              <w:bottom w:w="90" w:type="dxa"/>
              <w:left w:w="90" w:type="dxa"/>
              <w:right w:w="90" w:type="dxa"/>
            </w:tcMar>
          </w:tcPr>
          <w:p>
            <w:pPr>
              <w:widowControl/>
              <w:spacing w:after="40" w:line="247" w:lineRule="auto"/>
            </w:pPr>
            <w:r>
              <w:rPr>
                <w:rFonts w:ascii="Calibri" w:hAnsi="Calibri"/>
                <w:b w:val="0"/>
                <w:sz w:val="20"/>
              </w:rPr>
              <w:t>Yönetim Yönetişimi</w:t>
            </w:r>
          </w:p>
        </w:tc>
        <w:tc>
          <w:tcPr>
            <w:tcW w:type="dxa" w:w="6394"/>
            <w:vAlign w:val="center"/>
            <w:shd w:fill="F6F7F9"/>
            <w:tcMar>
              <w:top w:w="90" w:type="dxa"/>
              <w:bottom w:w="90" w:type="dxa"/>
              <w:left w:w="90" w:type="dxa"/>
              <w:right w:w="90" w:type="dxa"/>
            </w:tcMar>
          </w:tcPr>
          <w:p>
            <w:pPr>
              <w:widowControl/>
              <w:spacing w:after="40" w:line="247" w:lineRule="auto"/>
            </w:pPr>
            <w:r>
              <w:rPr>
                <w:rFonts w:ascii="Calibri" w:hAnsi="Calibri"/>
                <w:b w:val="0"/>
                <w:sz w:val="20"/>
              </w:rPr>
              <w:t>D  Kararlar, sorumluluk, performans ve release yönetişimi; karar yetkisi aşılmaz.</w:t>
            </w:r>
          </w:p>
        </w:tc>
      </w:tr>
      <w:tr>
        <w:trPr>
          <w:cantSplit/>
        </w:trPr>
        <w:tc>
          <w:tcPr>
            <w:tcW w:type="dxa" w:w="547"/>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39</w:t>
            </w:r>
          </w:p>
        </w:tc>
        <w:tc>
          <w:tcPr>
            <w:tcW w:type="dxa" w:w="3283"/>
            <w:vAlign w:val="center"/>
            <w:shd w:fill="FFFFFF"/>
            <w:tcMar>
              <w:top w:w="90" w:type="dxa"/>
              <w:bottom w:w="90" w:type="dxa"/>
              <w:left w:w="90" w:type="dxa"/>
              <w:right w:w="90" w:type="dxa"/>
            </w:tcMar>
          </w:tcPr>
          <w:p>
            <w:pPr>
              <w:widowControl/>
              <w:spacing w:after="40" w:line="247" w:lineRule="auto"/>
            </w:pPr>
            <w:r>
              <w:rPr>
                <w:rFonts w:ascii="Calibri" w:hAnsi="Calibri"/>
                <w:b w:val="0"/>
                <w:sz w:val="20"/>
              </w:rPr>
              <w:t>Müşteri Değeri ve Ürün Yönetimi</w:t>
            </w:r>
          </w:p>
        </w:tc>
        <w:tc>
          <w:tcPr>
            <w:tcW w:type="dxa" w:w="6394"/>
            <w:vAlign w:val="center"/>
            <w:shd w:fill="FFFFFF"/>
            <w:tcMar>
              <w:top w:w="90" w:type="dxa"/>
              <w:bottom w:w="90" w:type="dxa"/>
              <w:left w:w="90" w:type="dxa"/>
              <w:right w:w="90" w:type="dxa"/>
            </w:tcMar>
          </w:tcPr>
          <w:p>
            <w:pPr>
              <w:widowControl/>
              <w:spacing w:after="40" w:line="247" w:lineRule="auto"/>
            </w:pPr>
            <w:r>
              <w:rPr>
                <w:rFonts w:ascii="Calibri" w:hAnsi="Calibri"/>
                <w:b w:val="0"/>
                <w:sz w:val="20"/>
              </w:rPr>
              <w:t>D  Kullanım/değer ölçümü, geri bildirim, kapsam değişikliği ve ürün kabulü kayıtları.</w:t>
            </w:r>
          </w:p>
        </w:tc>
      </w:tr>
    </w:tbl>
    <w:p>
      <w:pPr>
        <w:widowControl/>
        <w:spacing w:line="240" w:lineRule="auto" w:after="80"/>
      </w:pPr>
      <w:r>
        <w:rPr>
          <w:sz w:val="2"/>
        </w:rPr>
        <w:t xml:space="preserve"> </w:t>
      </w:r>
    </w:p>
    <w:p>
      <w:pPr>
        <w:pStyle w:val="Heading2"/>
        <w:widowControl/>
      </w:pPr>
      <w:r>
        <w:t>Bütün modüllerde ortak bitiş tanımı</w:t>
      </w:r>
    </w:p>
    <w:p>
      <w:pPr>
        <w:widowControl/>
      </w:pPr>
      <w:r>
        <w:t>Bir modül için kabul edilmiş gereksinimler gerçek UI, API ve veritabanında çalışır; fiziksel eşleme ve migration bulunur. Sunucu yetkisi, state geçişleri, hatalar, TR/EN, desteklenen responsive ve erişilebilirlik davranışı, uygulanabilir offline senaryoları, audit/evidence, test, dokümantasyon ve telemetry birlikte doğrulanır. Sadece CRUD, mock veri veya görünür ekran bitiş değildir. Teknik doğrulama ve Esra kabulü ayrı tutulur.</w:t>
      </w:r>
    </w:p>
    <w:p>
      <w:pPr>
        <w:widowControl/>
      </w:pPr>
      <w:r>
        <w:t>Kapsam defterindeki her capability satırı şu bağı taşır: modül → kaynak gereksinim → P0/P1 → görev/journey → UI/API/veri → state/actor → offline ve mevzuat etkisi → test → kanıt → sorumlu → Esra kararı. Tüm kabul edilmiş kapsam içi P1 kabiliyetler de GA öncesi uygulanır. Yeni kapsam önerileri ile mevcut gereksinim kusurları birbirine karıştırılmaz.</w:t>
      </w:r>
    </w:p>
    <w:p>
      <w:pPr>
        <w:pStyle w:val="Heading1"/>
        <w:widowControl/>
      </w:pPr>
      <w:r>
        <w:t>4 Uygulama sırası ve kritik bağımlılıklar</w:t>
      </w:r>
    </w:p>
    <w:p>
      <w:pPr>
        <w:widowControl/>
      </w:pPr>
      <w:r>
        <w:t>Ortak kimlik, veri ve yetki kararları domain geliştirmesinden önce yeterince netleşmelidir; tüm 2.316 alanın kusursuz tanımlanmasını bekleyerek kodu aylarca ertelemek gerekmez. Dalga bazlı sözleşme dondurma yapılır. Her dikey dilim UI, servis, kalıcılık ve testle birlikte tamamlanır; frontend ve backend aylar sonra birleştirilmez.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4104"/>
        <w:gridCol w:w="4277"/>
      </w:tblGrid>
      <w:tr>
        <w:trPr>
          <w:cantSplit/>
          <w:tblHeader/>
        </w:trPr>
        <w:tc>
          <w:tcPr>
            <w:tcW w:type="dxa" w:w="1843"/>
            <w:vAlign w:val="center"/>
            <w:shd w:fill="E8EDF2"/>
            <w:tcMar>
              <w:top w:w="90" w:type="dxa"/>
              <w:bottom w:w="90" w:type="dxa"/>
              <w:left w:w="90" w:type="dxa"/>
              <w:right w:w="90" w:type="dxa"/>
            </w:tcMar>
          </w:tcPr>
          <w:p>
            <w:pPr>
              <w:widowControl/>
              <w:spacing w:after="40" w:line="247" w:lineRule="auto"/>
            </w:pPr>
            <w:r>
              <w:rPr>
                <w:rFonts w:ascii="Calibri" w:hAnsi="Calibri"/>
                <w:b/>
                <w:sz w:val="20"/>
              </w:rPr>
              <w:t>İş hattı</w:t>
            </w:r>
          </w:p>
        </w:tc>
        <w:tc>
          <w:tcPr>
            <w:tcW w:type="dxa" w:w="4104"/>
            <w:vAlign w:val="center"/>
            <w:shd w:fill="E8EDF2"/>
            <w:tcMar>
              <w:top w:w="90" w:type="dxa"/>
              <w:bottom w:w="90" w:type="dxa"/>
              <w:left w:w="90" w:type="dxa"/>
              <w:right w:w="90" w:type="dxa"/>
            </w:tcMar>
          </w:tcPr>
          <w:p>
            <w:pPr>
              <w:widowControl/>
              <w:spacing w:after="40" w:line="247" w:lineRule="auto"/>
            </w:pPr>
            <w:r>
              <w:rPr>
                <w:rFonts w:ascii="Calibri" w:hAnsi="Calibri"/>
                <w:b/>
                <w:sz w:val="20"/>
              </w:rPr>
              <w:t>Öncelikli çıktı</w:t>
            </w:r>
          </w:p>
        </w:tc>
        <w:tc>
          <w:tcPr>
            <w:tcW w:type="dxa" w:w="4277"/>
            <w:vAlign w:val="center"/>
            <w:shd w:fill="E8EDF2"/>
            <w:tcMar>
              <w:top w:w="90" w:type="dxa"/>
              <w:bottom w:w="90" w:type="dxa"/>
              <w:left w:w="90" w:type="dxa"/>
              <w:right w:w="90" w:type="dxa"/>
            </w:tcMar>
          </w:tcPr>
          <w:p>
            <w:pPr>
              <w:widowControl/>
              <w:spacing w:after="40" w:line="247" w:lineRule="auto"/>
            </w:pPr>
            <w:r>
              <w:rPr>
                <w:rFonts w:ascii="Calibri" w:hAnsi="Calibri"/>
                <w:b/>
                <w:sz w:val="20"/>
              </w:rPr>
              <w:t>Bağımlılık ve doğrulama</w:t>
            </w:r>
          </w:p>
        </w:tc>
      </w:tr>
      <w:tr>
        <w:trPr>
          <w:cantSplit/>
        </w:trPr>
        <w:tc>
          <w:tcPr>
            <w:tcW w:type="dxa" w:w="1843"/>
            <w:vAlign w:val="center"/>
            <w:shd w:fill="FFFFFF"/>
            <w:tcMar>
              <w:top w:w="90" w:type="dxa"/>
              <w:bottom w:w="90" w:type="dxa"/>
              <w:left w:w="90" w:type="dxa"/>
              <w:right w:w="90" w:type="dxa"/>
            </w:tcMar>
          </w:tcPr>
          <w:p>
            <w:pPr>
              <w:widowControl/>
              <w:spacing w:after="40" w:line="247" w:lineRule="auto"/>
            </w:pPr>
            <w:r>
              <w:rPr>
                <w:rFonts w:ascii="Calibri" w:hAnsi="Calibri"/>
                <w:b w:val="0"/>
                <w:sz w:val="20"/>
              </w:rPr>
              <w:t>A Platform ve veri</w:t>
            </w:r>
          </w:p>
        </w:tc>
        <w:tc>
          <w:tcPr>
            <w:tcW w:type="dxa" w:w="41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Kimlik/session, tenant/asset/job yetkisi, canonical state/command, physical schema, audit/evidence, offline, deployment ve AI gateway.</w:t>
            </w:r>
          </w:p>
        </w:tc>
        <w:tc>
          <w:tcPr>
            <w:tcW w:type="dxa" w:w="4277"/>
            <w:vAlign w:val="center"/>
            <w:shd w:fill="FFFFFF"/>
            <w:tcMar>
              <w:top w:w="90" w:type="dxa"/>
              <w:bottom w:w="90" w:type="dxa"/>
              <w:left w:w="90" w:type="dxa"/>
              <w:right w:w="90" w:type="dxa"/>
            </w:tcMar>
          </w:tcPr>
          <w:p>
            <w:pPr>
              <w:widowControl/>
              <w:spacing w:after="40" w:line="247" w:lineRule="auto"/>
            </w:pPr>
            <w:r>
              <w:rPr>
                <w:rFonts w:ascii="Calibri" w:hAnsi="Calibri"/>
                <w:b w:val="0"/>
                <w:sz w:val="20"/>
              </w:rPr>
              <w:t>B ve C için ortak omurga. Gerçek DB, concurrency, idempotency, security ve recovery testleri gerekir.</w:t>
            </w:r>
          </w:p>
        </w:tc>
      </w:tr>
      <w:tr>
        <w:trPr>
          <w:cantSplit/>
        </w:trPr>
        <w:tc>
          <w:tcPr>
            <w:tcW w:type="dxa" w:w="1843"/>
            <w:vAlign w:val="center"/>
            <w:shd w:fill="F6F7F9"/>
            <w:tcMar>
              <w:top w:w="90" w:type="dxa"/>
              <w:bottom w:w="90" w:type="dxa"/>
              <w:left w:w="90" w:type="dxa"/>
              <w:right w:w="90" w:type="dxa"/>
            </w:tcMar>
          </w:tcPr>
          <w:p>
            <w:pPr>
              <w:widowControl/>
              <w:spacing w:after="40" w:line="247" w:lineRule="auto"/>
            </w:pPr>
            <w:r>
              <w:rPr>
                <w:rFonts w:ascii="Calibri" w:hAnsi="Calibri"/>
                <w:b w:val="0"/>
                <w:sz w:val="20"/>
              </w:rPr>
              <w:t>B Operasyon ve insanlar</w:t>
            </w:r>
          </w:p>
        </w:tc>
        <w:tc>
          <w:tcPr>
            <w:tcW w:type="dxa" w:w="41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Ship/tug lifecycle, crew/competence/manning ve profile bağlı çalışma alanları.</w:t>
            </w:r>
          </w:p>
        </w:tc>
        <w:tc>
          <w:tcPr>
            <w:tcW w:type="dxa" w:w="4277"/>
            <w:vAlign w:val="center"/>
            <w:shd w:fill="F6F7F9"/>
            <w:tcMar>
              <w:top w:w="90" w:type="dxa"/>
              <w:bottom w:w="90" w:type="dxa"/>
              <w:left w:w="90" w:type="dxa"/>
              <w:right w:w="90" w:type="dxa"/>
            </w:tcMar>
          </w:tcPr>
          <w:p>
            <w:pPr>
              <w:widowControl/>
              <w:spacing w:after="40" w:line="247" w:lineRule="auto"/>
            </w:pPr>
            <w:r>
              <w:rPr>
                <w:rFonts w:ascii="Calibri" w:hAnsi="Calibri"/>
                <w:b w:val="0"/>
                <w:sz w:val="20"/>
              </w:rPr>
              <w:t>A omurgası ile C’nin teknik, sertifika ve safety gerçeklerini kullanır. Master/Tug Master kararı ayrı ve korunmuş olmalı.</w:t>
            </w:r>
          </w:p>
        </w:tc>
      </w:tr>
      <w:tr>
        <w:trPr>
          <w:cantSplit/>
        </w:trPr>
        <w:tc>
          <w:tcPr>
            <w:tcW w:type="dxa" w:w="1843"/>
            <w:vAlign w:val="center"/>
            <w:shd w:fill="FFFFFF"/>
            <w:tcMar>
              <w:top w:w="90" w:type="dxa"/>
              <w:bottom w:w="90" w:type="dxa"/>
              <w:left w:w="90" w:type="dxa"/>
              <w:right w:w="90" w:type="dxa"/>
            </w:tcMar>
          </w:tcPr>
          <w:p>
            <w:pPr>
              <w:widowControl/>
              <w:spacing w:after="40" w:line="247" w:lineRule="auto"/>
            </w:pPr>
            <w:r>
              <w:rPr>
                <w:rFonts w:ascii="Calibri" w:hAnsi="Calibri"/>
                <w:b w:val="0"/>
                <w:sz w:val="20"/>
              </w:rPr>
              <w:t>C Teknik ve assurance</w:t>
            </w:r>
          </w:p>
        </w:tc>
        <w:tc>
          <w:tcPr>
            <w:tcW w:type="dxa" w:w="41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PMS ve teknik hazırlık; safety/risk/learning; source/applicability; regulatory, cert/survey ve audit.</w:t>
            </w:r>
          </w:p>
        </w:tc>
        <w:tc>
          <w:tcPr>
            <w:tcW w:type="dxa" w:w="4277"/>
            <w:vAlign w:val="center"/>
            <w:shd w:fill="FFFFFF"/>
            <w:tcMar>
              <w:top w:w="90" w:type="dxa"/>
              <w:bottom w:w="90" w:type="dxa"/>
              <w:left w:w="90" w:type="dxa"/>
              <w:right w:w="90" w:type="dxa"/>
            </w:tcMar>
          </w:tcPr>
          <w:p>
            <w:pPr>
              <w:widowControl/>
              <w:spacing w:after="40" w:line="247" w:lineRule="auto"/>
            </w:pPr>
            <w:r>
              <w:rPr>
                <w:rFonts w:ascii="Calibri" w:hAnsi="Calibri"/>
                <w:b w:val="0"/>
                <w:sz w:val="20"/>
              </w:rPr>
              <w:t>20 modüllük geniş hat küçük domain dilimlerine ayrılır. Aynı kişi veya tek ajan bütün uzmanlığı sağlıyor varsayılmaz.</w:t>
            </w:r>
          </w:p>
        </w:tc>
      </w:tr>
      <w:tr>
        <w:trPr>
          <w:cantSplit/>
        </w:trPr>
        <w:tc>
          <w:tcPr>
            <w:tcW w:type="dxa" w:w="1843"/>
            <w:vAlign w:val="center"/>
            <w:shd w:fill="F6F7F9"/>
            <w:tcMar>
              <w:top w:w="90" w:type="dxa"/>
              <w:bottom w:w="90" w:type="dxa"/>
              <w:left w:w="90" w:type="dxa"/>
              <w:right w:w="90" w:type="dxa"/>
            </w:tcMar>
          </w:tcPr>
          <w:p>
            <w:pPr>
              <w:widowControl/>
              <w:spacing w:after="40" w:line="247" w:lineRule="auto"/>
            </w:pPr>
            <w:r>
              <w:rPr>
                <w:rFonts w:ascii="Calibri" w:hAnsi="Calibri"/>
                <w:b w:val="0"/>
                <w:sz w:val="20"/>
              </w:rPr>
              <w:t>D Deneyim ve değer</w:t>
            </w:r>
          </w:p>
        </w:tc>
        <w:tc>
          <w:tcPr>
            <w:tcW w:type="dxa" w:w="41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Ortak ve rol bazlı panolar, fleet projection, yönetim, müşteri değeri ve kullanım ölçümü.</w:t>
            </w:r>
          </w:p>
        </w:tc>
        <w:tc>
          <w:tcPr>
            <w:tcW w:type="dxa" w:w="4277"/>
            <w:vAlign w:val="center"/>
            <w:shd w:fill="F6F7F9"/>
            <w:tcMar>
              <w:top w:w="90" w:type="dxa"/>
              <w:bottom w:w="90" w:type="dxa"/>
              <w:left w:w="90" w:type="dxa"/>
              <w:right w:w="90" w:type="dxa"/>
            </w:tcMar>
          </w:tcPr>
          <w:p>
            <w:pPr>
              <w:widowControl/>
              <w:spacing w:after="40" w:line="247" w:lineRule="auto"/>
            </w:pPr>
            <w:r>
              <w:rPr>
                <w:rFonts w:ascii="Calibri" w:hAnsi="Calibri"/>
                <w:b w:val="0"/>
                <w:sz w:val="20"/>
              </w:rPr>
              <w:t>A/B/C gerçek verisinden beslenir. Mock dashboard veya sadece görsel prototiple kabul verilmez.</w:t>
            </w:r>
          </w:p>
        </w:tc>
      </w:tr>
      <w:tr>
        <w:trPr>
          <w:cantSplit/>
        </w:trPr>
        <w:tc>
          <w:tcPr>
            <w:tcW w:type="dxa" w:w="1843"/>
            <w:vAlign w:val="center"/>
            <w:shd w:fill="FFFFFF"/>
            <w:tcMar>
              <w:top w:w="90" w:type="dxa"/>
              <w:bottom w:w="90" w:type="dxa"/>
              <w:left w:w="90" w:type="dxa"/>
              <w:right w:w="90" w:type="dxa"/>
            </w:tcMar>
          </w:tcPr>
          <w:p>
            <w:pPr>
              <w:widowControl/>
              <w:spacing w:after="40" w:line="247" w:lineRule="auto"/>
            </w:pPr>
            <w:r>
              <w:rPr>
                <w:rFonts w:ascii="Calibri" w:hAnsi="Calibri"/>
                <w:b w:val="0"/>
                <w:sz w:val="20"/>
              </w:rPr>
              <w:t>E Bağımsız kabul</w:t>
            </w:r>
          </w:p>
        </w:tc>
        <w:tc>
          <w:tcPr>
            <w:tcW w:type="dxa" w:w="41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QA otomasyonu, güvenlik, denizcilik/mevzuat incelemesi, işletim ve release kanıtı.</w:t>
            </w:r>
          </w:p>
        </w:tc>
        <w:tc>
          <w:tcPr>
            <w:tcW w:type="dxa" w:w="4277"/>
            <w:vAlign w:val="center"/>
            <w:shd w:fill="FFFFFF"/>
            <w:tcMar>
              <w:top w:w="90" w:type="dxa"/>
              <w:bottom w:w="90" w:type="dxa"/>
              <w:left w:w="90" w:type="dxa"/>
              <w:right w:w="90" w:type="dxa"/>
            </w:tcMar>
          </w:tcPr>
          <w:p>
            <w:pPr>
              <w:widowControl/>
              <w:spacing w:after="40" w:line="247" w:lineRule="auto"/>
            </w:pPr>
            <w:r>
              <w:rPr>
                <w:rFonts w:ascii="Calibri" w:hAnsi="Calibri"/>
                <w:b w:val="0"/>
                <w:sz w:val="20"/>
              </w:rPr>
              <w:t>Tüm 39 modülü keser. Kod üreten tarafın öz beyanı tek başına yayın kabulü değildir.</w:t>
            </w:r>
          </w:p>
        </w:tc>
      </w:tr>
    </w:tbl>
    <w:p>
      <w:pPr>
        <w:widowControl/>
        <w:spacing w:line="240" w:lineRule="auto" w:after="80"/>
      </w:pPr>
      <w:r>
        <w:rPr>
          <w:sz w:val="2"/>
        </w:rPr>
        <w:t xml:space="preserve"> </w:t>
      </w:r>
    </w:p>
    <w:p>
      <w:pPr>
        <w:pStyle w:val="Heading2"/>
        <w:widowControl/>
      </w:pPr>
      <w:r>
        <w:t>Kritik yol</w:t>
      </w:r>
    </w:p>
    <w:p>
      <w:pPr>
        <w:widowControl/>
      </w:pPr>
      <w:r>
        <w:t>Canonical state ve kimlik/veri/yetki sözleşmeleri → kalıcı işlem, audit, evidence ve offline → sürümlü applicability ve readiness → ship ve tug uçtan uca zincirleri → tam kapsam entegrasyonu → bağımsız güvenlik ve uzman incelemesiyle on-prem iç RC → üç müşteri pilotu → düzeltme ve yeniden test → ticari GA.</w:t>
      </w:r>
    </w:p>
    <w:p>
      <w:pPr>
        <w:widowControl/>
      </w:pPr>
      <w:r>
        <w:t>Dış bağımlılıklar aynı yolu uzatabilir: vessel/flag/class profili ve kaynak yorumu; gerçek IdP/proxy/storage; seçilen connector ve API erişimi; müşteri veri izni, veri kalitesi ve pilot takvimi. Bir iç geliştirme işi bitse bile bu bağımlılık kapanmadan ilgili kabul verilmez.</w:t>
      </w:r>
    </w:p>
    <w:p>
      <w:pPr>
        <w:pStyle w:val="Heading2"/>
        <w:widowControl/>
      </w:pPr>
      <w:r>
        <w:t>Hızlandırma ilkeleri</w:t>
      </w:r>
    </w:p>
    <w:p>
      <w:pPr>
        <w:pStyle w:val="ListBullet"/>
        <w:widowControl/>
      </w:pPr>
      <w:r>
        <w:t>Ortak domain bileşenleri ve modüler monolith yaklaşımı başlangıç ADR’sinde değerlendirilir. 196 ekran, 196 bağımsız servis olarak ele alınmaz.</w:t>
      </w:r>
    </w:p>
    <w:p>
      <w:pPr>
        <w:pStyle w:val="ListBullet"/>
        <w:widowControl/>
      </w:pPr>
      <w:r>
        <w:t>Onaylı sözleşmelerden typed client, validator ve test iskeleti üretilir. Form, tablo, Why, evidence, izin ve offline bileşenleri yeniden kullanılır.</w:t>
      </w:r>
    </w:p>
    <w:p>
      <w:pPr>
        <w:pStyle w:val="ListBullet"/>
        <w:widowControl/>
      </w:pPr>
      <w:r>
        <w:t>Küçük, incelenebilir değişiklikler ve paralel ajanlar kullanılır; kritik auth, offline ve domain kodu insan veya bağımsız uzman incelemesinden geçer.</w:t>
      </w:r>
    </w:p>
    <w:p>
      <w:pPr>
        <w:pStyle w:val="ListBullet"/>
        <w:widowControl/>
      </w:pPr>
      <w:r>
        <w:t>CI, golden ve adversarial veri setleriyle state/permission/trace sapmasını erken yakalar. Güvenlik ve offline en sona bırakılmaz; AI kodu testsiz birleştirilmez.</w:t>
      </w:r>
    </w:p>
    <w:p>
      <w:pPr>
        <w:widowControl/>
      </w:pPr>
      <w:r>
        <w:t>İlerleme ekran sayısıyla değil kabul edilmiş capability, test sonucu, yeniden işleme ve bloke süreyle ölçülür. Story point toplamından güne dönüşüm, kanıtsız tamamlanma yüzdesi ve AI için sabit hız katsayısı kullanılmaz.</w:t>
      </w:r>
    </w:p>
    <w:p>
      <w:pPr>
        <w:pStyle w:val="Heading1"/>
        <w:widowControl/>
      </w:pPr>
      <w:r>
        <w:t>5 Hedef takvim ve yeniden tahmin kararları</w:t>
      </w:r>
    </w:p>
    <w:p>
      <w:pPr>
        <w:widowControl/>
      </w:pPr>
      <w:r>
        <w:t>Aşağıdaki sıra çalışma planıdır; bilinmeyen kapasiteye dayanan süre taahhüdü değildir. Q4 2027 hedef penceresi kapsamı azaltmadan korunmaya çalışılır. Q3 ancak aşağıdaki erken RC koşulu ve pilotların kısa uçta tamamlanmasıyla değerlendirilir. 2028’e taşma riski saklanmaz.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795"/>
        <w:gridCol w:w="3672"/>
      </w:tblGrid>
      <w:tr>
        <w:trPr>
          <w:cantSplit/>
          <w:tblHeader/>
        </w:trPr>
        <w:tc>
          <w:tcPr>
            <w:tcW w:type="dxa" w:w="1757"/>
            <w:vAlign w:val="center"/>
            <w:shd w:fill="E8EDF2"/>
            <w:tcMar>
              <w:top w:w="90" w:type="dxa"/>
              <w:bottom w:w="90" w:type="dxa"/>
              <w:left w:w="90" w:type="dxa"/>
              <w:right w:w="90" w:type="dxa"/>
            </w:tcMar>
          </w:tcPr>
          <w:p>
            <w:pPr>
              <w:widowControl/>
              <w:spacing w:after="40" w:line="247" w:lineRule="auto"/>
            </w:pPr>
            <w:r>
              <w:rPr>
                <w:rFonts w:ascii="Calibri" w:hAnsi="Calibri"/>
                <w:b/>
                <w:sz w:val="20"/>
              </w:rPr>
              <w:t>Dönem</w:t>
            </w:r>
          </w:p>
        </w:tc>
        <w:tc>
          <w:tcPr>
            <w:tcW w:type="dxa" w:w="4795"/>
            <w:vAlign w:val="center"/>
            <w:shd w:fill="E8EDF2"/>
            <w:tcMar>
              <w:top w:w="90" w:type="dxa"/>
              <w:bottom w:w="90" w:type="dxa"/>
              <w:left w:w="90" w:type="dxa"/>
              <w:right w:w="90" w:type="dxa"/>
            </w:tcMar>
          </w:tcPr>
          <w:p>
            <w:pPr>
              <w:widowControl/>
              <w:spacing w:after="40" w:line="247" w:lineRule="auto"/>
            </w:pPr>
            <w:r>
              <w:rPr>
                <w:rFonts w:ascii="Calibri" w:hAnsi="Calibri"/>
                <w:b/>
                <w:sz w:val="20"/>
              </w:rPr>
              <w:t>Hedef iş ve kanıt</w:t>
            </w:r>
          </w:p>
        </w:tc>
        <w:tc>
          <w:tcPr>
            <w:tcW w:type="dxa" w:w="3672"/>
            <w:vAlign w:val="center"/>
            <w:shd w:fill="E8EDF2"/>
            <w:tcMar>
              <w:top w:w="90" w:type="dxa"/>
              <w:bottom w:w="90" w:type="dxa"/>
              <w:left w:w="90" w:type="dxa"/>
              <w:right w:w="90" w:type="dxa"/>
            </w:tcMar>
          </w:tcPr>
          <w:p>
            <w:pPr>
              <w:widowControl/>
              <w:spacing w:after="40" w:line="247" w:lineRule="auto"/>
            </w:pPr>
            <w:r>
              <w:rPr>
                <w:rFonts w:ascii="Calibri" w:hAnsi="Calibri"/>
                <w:b/>
                <w:sz w:val="20"/>
              </w:rPr>
              <w:t>Karar noktası</w:t>
            </w:r>
          </w:p>
        </w:tc>
      </w:tr>
      <w:tr>
        <w:trPr>
          <w:cantSplit/>
        </w:trPr>
        <w:tc>
          <w:tcPr>
            <w:tcW w:type="dxa" w:w="1757"/>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Kasım 2026</w:t>
            </w:r>
          </w:p>
        </w:tc>
        <w:tc>
          <w:tcPr>
            <w:tcW w:type="dxa" w:w="4795"/>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Kaynak/backlog rebaseline, scope ledger, ilk state/command/permission kararları, on-prem/auth ve gerçek kalıcı offline risk denemeleri; modül UAT erişim tasarımı.</w:t>
            </w:r>
          </w:p>
        </w:tc>
        <w:tc>
          <w:tcPr>
            <w:tcW w:type="dxa" w:w="36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Kasım sonu yazılımcı teknik incelemesi ve ilk kapasite/throughput tahmini. Kalan alan kararları açık görünür.</w:t>
            </w:r>
          </w:p>
        </w:tc>
      </w:tr>
      <w:tr>
        <w:trPr>
          <w:cantSplit/>
        </w:trPr>
        <w:tc>
          <w:tcPr>
            <w:tcW w:type="dxa" w:w="1757"/>
            <w:vAlign w:val="center"/>
            <w:shd w:fill="F6F7F9"/>
            <w:tcMar>
              <w:top w:w="90" w:type="dxa"/>
              <w:bottom w:w="90" w:type="dxa"/>
              <w:left w:w="90" w:type="dxa"/>
              <w:right w:w="90" w:type="dxa"/>
            </w:tcMar>
          </w:tcPr>
          <w:p>
            <w:pPr>
              <w:widowControl/>
              <w:spacing w:after="40" w:line="247" w:lineRule="auto"/>
            </w:pPr>
            <w:r>
              <w:rPr>
                <w:rFonts w:ascii="Calibri" w:hAnsi="Calibri"/>
                <w:b w:val="0"/>
                <w:sz w:val="20"/>
              </w:rPr>
              <w:t>Aralık 2026 ve Ocak 2027</w:t>
            </w:r>
          </w:p>
        </w:tc>
        <w:tc>
          <w:tcPr>
            <w:tcW w:type="dxa" w:w="4795"/>
            <w:vAlign w:val="center"/>
            <w:shd w:fill="F6F7F9"/>
            <w:tcMar>
              <w:top w:w="90" w:type="dxa"/>
              <w:bottom w:w="90" w:type="dxa"/>
              <w:left w:w="90" w:type="dxa"/>
              <w:right w:w="90" w:type="dxa"/>
            </w:tcMar>
          </w:tcPr>
          <w:p>
            <w:pPr>
              <w:widowControl/>
              <w:spacing w:after="40" w:line="247" w:lineRule="auto"/>
            </w:pPr>
            <w:r>
              <w:rPr>
                <w:rFonts w:ascii="Calibri" w:hAnsi="Calibri"/>
                <w:b w:val="0"/>
                <w:sz w:val="20"/>
              </w:rPr>
              <w:t>Ortak kimlik, audit/evidence, versioned commands, crew/vessel/equipment temel kayıtları, rule/readiness ve offline omurgası; TR/EN shell, import şablonları.</w:t>
            </w:r>
          </w:p>
        </w:tc>
        <w:tc>
          <w:tcPr>
            <w:tcW w:type="dxa" w:w="36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Sentetik veya izinli veriyle bir ship ve bir tug kritik zinciri gerçek DB/API üzerinde çalışır. Müşteri MVP’si değildir.</w:t>
            </w:r>
          </w:p>
        </w:tc>
      </w:tr>
      <w:tr>
        <w:trPr>
          <w:cantSplit/>
        </w:trPr>
        <w:tc>
          <w:tcPr>
            <w:tcW w:type="dxa" w:w="1757"/>
            <w:vAlign w:val="center"/>
            <w:shd w:fill="FFFFFF"/>
            <w:tcMar>
              <w:top w:w="90" w:type="dxa"/>
              <w:bottom w:w="90" w:type="dxa"/>
              <w:left w:w="90" w:type="dxa"/>
              <w:right w:w="90" w:type="dxa"/>
            </w:tcMar>
          </w:tcPr>
          <w:p>
            <w:pPr>
              <w:widowControl/>
              <w:spacing w:after="40" w:line="247" w:lineRule="auto"/>
            </w:pPr>
            <w:r>
              <w:rPr>
                <w:rFonts w:ascii="Calibri" w:hAnsi="Calibri"/>
                <w:b w:val="0"/>
                <w:sz w:val="20"/>
              </w:rPr>
              <w:t>Şubat ve Mart 2027</w:t>
            </w:r>
          </w:p>
        </w:tc>
        <w:tc>
          <w:tcPr>
            <w:tcW w:type="dxa" w:w="4795"/>
            <w:vAlign w:val="center"/>
            <w:shd w:fill="FFFFFF"/>
            <w:tcMar>
              <w:top w:w="90" w:type="dxa"/>
              <w:bottom w:w="90" w:type="dxa"/>
              <w:left w:w="90" w:type="dxa"/>
              <w:right w:w="90" w:type="dxa"/>
            </w:tcMar>
          </w:tcPr>
          <w:p>
            <w:pPr>
              <w:widowControl/>
              <w:spacing w:after="40" w:line="247" w:lineRule="auto"/>
            </w:pPr>
            <w:r>
              <w:rPr>
                <w:rFonts w:ascii="Calibri" w:hAnsi="Calibri"/>
                <w:b w:val="0"/>
                <w:sz w:val="20"/>
              </w:rPr>
              <w:t>Gemi ve römorkör operasyonları, crew/work-rest, PMS/critical spare, safety/risk/barrier/MOC, learning ve emergency paralel derinleşir.</w:t>
            </w:r>
          </w:p>
        </w:tc>
        <w:tc>
          <w:tcPr>
            <w:tcW w:type="dxa" w:w="36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Martta kalan kapsam, gerçek çevrim ve yeniden işleme oranıyla tekrar tahmin edilir. Q4 veya daha geç risk erken açıklanır.</w:t>
            </w:r>
          </w:p>
        </w:tc>
      </w:tr>
      <w:tr>
        <w:trPr>
          <w:cantSplit/>
        </w:trPr>
        <w:tc>
          <w:tcPr>
            <w:tcW w:type="dxa" w:w="1757"/>
            <w:vAlign w:val="center"/>
            <w:shd w:fill="F6F7F9"/>
            <w:tcMar>
              <w:top w:w="90" w:type="dxa"/>
              <w:bottom w:w="90" w:type="dxa"/>
              <w:left w:w="90" w:type="dxa"/>
              <w:right w:w="90" w:type="dxa"/>
            </w:tcMar>
          </w:tcPr>
          <w:p>
            <w:pPr>
              <w:widowControl/>
              <w:spacing w:after="40" w:line="247" w:lineRule="auto"/>
            </w:pPr>
            <w:r>
              <w:rPr>
                <w:rFonts w:ascii="Calibri" w:hAnsi="Calibri"/>
                <w:b w:val="0"/>
                <w:sz w:val="20"/>
              </w:rPr>
              <w:t>Nisan ile Haziran 2027 arası</w:t>
            </w:r>
          </w:p>
        </w:tc>
        <w:tc>
          <w:tcPr>
            <w:tcW w:type="dxa" w:w="4795"/>
            <w:vAlign w:val="center"/>
            <w:shd w:fill="F6F7F9"/>
            <w:tcMar>
              <w:top w:w="90" w:type="dxa"/>
              <w:bottom w:w="90" w:type="dxa"/>
              <w:left w:w="90" w:type="dxa"/>
              <w:right w:w="90" w:type="dxa"/>
            </w:tcMar>
          </w:tcPr>
          <w:p>
            <w:pPr>
              <w:widowControl/>
              <w:spacing w:after="40" w:line="247" w:lineRule="auto"/>
            </w:pPr>
            <w:r>
              <w:rPr>
                <w:rFonts w:ascii="Calibri" w:hAnsi="Calibri"/>
                <w:b w:val="0"/>
                <w:sz w:val="20"/>
              </w:rPr>
              <w:t>Mutabık özel profil/kargo paketleri, assurance ve regulatory değişiklik, protected reports, projections, integrations, AI kabulü, admin/cyber/support ve eğitim tamamlanmaya çalışılır.</w:t>
            </w:r>
          </w:p>
        </w:tc>
        <w:tc>
          <w:tcPr>
            <w:tcW w:type="dxa" w:w="36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Q3 senaryosu için koşul: Haziran ortasında tüm işlevler; Haziran sonunda iç full-product RC. Bunlar kanıtlanmış teslim tarihleri değildir.</w:t>
            </w:r>
          </w:p>
        </w:tc>
      </w:tr>
      <w:tr>
        <w:trPr>
          <w:cantSplit/>
        </w:trPr>
        <w:tc>
          <w:tcPr>
            <w:tcW w:type="dxa" w:w="1757"/>
            <w:vAlign w:val="center"/>
            <w:shd w:fill="FFFFFF"/>
            <w:tcMar>
              <w:top w:w="90" w:type="dxa"/>
              <w:bottom w:w="90" w:type="dxa"/>
              <w:left w:w="90" w:type="dxa"/>
              <w:right w:w="90" w:type="dxa"/>
            </w:tcMar>
          </w:tcPr>
          <w:p>
            <w:pPr>
              <w:widowControl/>
              <w:spacing w:after="40" w:line="247" w:lineRule="auto"/>
            </w:pPr>
            <w:r>
              <w:rPr>
                <w:rFonts w:ascii="Calibri" w:hAnsi="Calibri"/>
                <w:b w:val="0"/>
                <w:sz w:val="20"/>
              </w:rPr>
              <w:t>İç RC sonrası</w:t>
            </w:r>
          </w:p>
        </w:tc>
        <w:tc>
          <w:tcPr>
            <w:tcW w:type="dxa" w:w="4795"/>
            <w:vAlign w:val="center"/>
            <w:shd w:fill="FFFFFF"/>
            <w:tcMar>
              <w:top w:w="90" w:type="dxa"/>
              <w:bottom w:w="90" w:type="dxa"/>
              <w:left w:w="90" w:type="dxa"/>
              <w:right w:w="90" w:type="dxa"/>
            </w:tcMar>
          </w:tcPr>
          <w:p>
            <w:pPr>
              <w:widowControl/>
              <w:spacing w:after="40" w:line="247" w:lineRule="auto"/>
            </w:pPr>
            <w:r>
              <w:rPr>
                <w:rFonts w:ascii="Calibri" w:hAnsi="Calibri"/>
                <w:b w:val="0"/>
                <w:sz w:val="20"/>
              </w:rPr>
              <w:t>Üç müşteriyle ayrı izin, ortam ve ölçüm planı; baseline, canlı pilot, bulgu kapatma ve yeniden test.</w:t>
            </w:r>
          </w:p>
        </w:tc>
        <w:tc>
          <w:tcPr>
            <w:tcW w:type="dxa" w:w="36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Her adayın erişimi, gerçek ship/tug kapsamı ve takvimi teyit edilmeden pilot başlamış sayılmaz.</w:t>
            </w:r>
          </w:p>
        </w:tc>
      </w:tr>
      <w:tr>
        <w:trPr>
          <w:cantSplit/>
        </w:trPr>
        <w:tc>
          <w:tcPr>
            <w:tcW w:type="dxa" w:w="1757"/>
            <w:vAlign w:val="center"/>
            <w:shd w:fill="F6F7F9"/>
            <w:tcMar>
              <w:top w:w="90" w:type="dxa"/>
              <w:bottom w:w="90" w:type="dxa"/>
              <w:left w:w="90" w:type="dxa"/>
              <w:right w:w="90" w:type="dxa"/>
            </w:tcMar>
          </w:tcPr>
          <w:p>
            <w:pPr>
              <w:widowControl/>
              <w:spacing w:after="40" w:line="247" w:lineRule="auto"/>
            </w:pPr>
            <w:r>
              <w:rPr>
                <w:rFonts w:ascii="Calibri" w:hAnsi="Calibri"/>
                <w:b w:val="0"/>
                <w:sz w:val="20"/>
              </w:rPr>
              <w:t>2027 Q4 çalışma penceresi</w:t>
            </w:r>
          </w:p>
        </w:tc>
        <w:tc>
          <w:tcPr>
            <w:tcW w:type="dxa" w:w="4795"/>
            <w:vAlign w:val="center"/>
            <w:shd w:fill="F6F7F9"/>
            <w:tcMar>
              <w:top w:w="90" w:type="dxa"/>
              <w:bottom w:w="90" w:type="dxa"/>
              <w:left w:w="90" w:type="dxa"/>
              <w:right w:w="90" w:type="dxa"/>
            </w:tcMar>
          </w:tcPr>
          <w:p>
            <w:pPr>
              <w:widowControl/>
              <w:spacing w:after="40" w:line="247" w:lineRule="auto"/>
            </w:pPr>
            <w:r>
              <w:rPr>
                <w:rFonts w:ascii="Calibri" w:hAnsi="Calibri"/>
                <w:b w:val="0"/>
                <w:sz w:val="20"/>
              </w:rPr>
              <w:t>Tam kapsamın gerekli saha kanıtı, düzeltmeleri, migration/support ve ticari yayın kabulü.</w:t>
            </w:r>
          </w:p>
        </w:tc>
        <w:tc>
          <w:tcPr>
            <w:tcW w:type="dxa" w:w="36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Tüm zorunlu kapılar kapanırsa GA. Kapı açıkken takvime yetişmek için kapsam veya güvenlik kısılmaz.</w:t>
            </w:r>
          </w:p>
        </w:tc>
      </w:tr>
    </w:tbl>
    <w:p>
      <w:pPr>
        <w:widowControl/>
        <w:spacing w:line="240" w:lineRule="auto" w:after="80"/>
      </w:pPr>
      <w:r>
        <w:rPr>
          <w:sz w:val="2"/>
        </w:rPr>
        <w:t xml:space="preserve"> </w:t>
      </w:r>
    </w:p>
    <w:p>
      <w:pPr>
        <w:pStyle w:val="Heading2"/>
        <w:widowControl/>
      </w:pPr>
      <w:r>
        <w:t>Q3 ve Q4 senaryolarının farkı</w:t>
      </w:r>
    </w:p>
    <w:p>
      <w:pPr>
        <w:widowControl/>
      </w:pPr>
      <w:r>
        <w:t>Q3 için geriye doğru planlama koşulu Haziran sonunda tam iç RC’dir. Bu durumda Temmuz başında yaklaşık iki haftalık baseline, ardından sekiz haftalık canlı değerlendirme ve Eylül içinde düzeltme/retest için alan kalabilir. Üç pilotun mümkün olduğunca paralel yürütülmesi gerekir. Bu en erken senaryo müşteriyle mutabık değildir; Haziran hedefi tek yazılımcıya verilmiş söz değildir.</w:t>
      </w:r>
    </w:p>
    <w:p>
      <w:pPr>
        <w:widowControl/>
      </w:pPr>
      <w:r>
        <w:t>Bu planın önerdiği daha ihtiyatlı saha tasarımı iki haftalık baseline ve 8–12 haftalık canlı değerlendirmedir; üretici kaynaklarından türetilmiş bir süre standardı değildir. On iki hafta veya daha uzun düzeltme Q4’e taşar. RC ancak Eylül sonunda hazır olursa baseline, pilot ve yeniden test Q4 sonunu aşabilir. Pilot, takvim dolduğu için değil planlı gerçek operasyon ve senaryo kanıtı oluştuğunda kapanır. 19.01’deki dört haftalık örnek pilot bu önerinin yerine geçmez. [K09]</w:t>
      </w:r>
    </w:p>
    <w:p>
      <w:pPr>
        <w:widowControl/>
      </w:pPr>
      <w:r>
        <w:t>Kasım ve Mart incelemelerinde kalan capability sayısı ve bağımlılıkları, ölçülen teslim çevrimi, review yükü, defect/rework, gerçek kişi kapasitesi, uzman ve ortam erişimi birlikte değerlendirilir. Tahmin aralığı, varsayımlar, güven düzeyi ve tetikleyiciler kaydedilir; yalnız iyimser tarih yayımlanmaz.</w:t>
      </w:r>
    </w:p>
    <w:p>
      <w:pPr>
        <w:pStyle w:val="Heading1"/>
        <w:widowControl/>
      </w:pPr>
      <w:r>
        <w:t>6 Roller ve yazılımcıya devir</w:t>
      </w:r>
    </w:p>
    <w:p>
      <w:pPr>
        <w:widowControl/>
      </w:pPr>
      <w:r>
        <w:t>Şu anda atanmış çok kişili ekip yoktur. Gereken yetkinlikler aşağıda tanımlıdır; bunlar kadro sayısı veya harcama önerisi değildir. Bazı roller bir kişide birleşebilir, ancak kritik uygulama ile bağımsız kabulün ayrılığı korunur. Kasım incelemesi, hangi kapasitenin gerçekten mevcut olduğunu ve hangi işlerin dış katkı gerektirdiğini belirler.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464"/>
        <w:gridCol w:w="3672"/>
      </w:tblGrid>
      <w:tr>
        <w:trPr>
          <w:cantSplit/>
          <w:tblHeader/>
        </w:trPr>
        <w:tc>
          <w:tcPr>
            <w:tcW w:type="dxa" w:w="2088"/>
            <w:vAlign w:val="center"/>
            <w:shd w:fill="E8EDF2"/>
            <w:tcMar>
              <w:top w:w="90" w:type="dxa"/>
              <w:bottom w:w="90" w:type="dxa"/>
              <w:left w:w="90" w:type="dxa"/>
              <w:right w:w="90" w:type="dxa"/>
            </w:tcMar>
          </w:tcPr>
          <w:p>
            <w:pPr>
              <w:widowControl/>
              <w:spacing w:after="40" w:line="247" w:lineRule="auto"/>
            </w:pPr>
            <w:r>
              <w:rPr>
                <w:rFonts w:ascii="Calibri" w:hAnsi="Calibri"/>
                <w:b/>
                <w:sz w:val="20"/>
              </w:rPr>
              <w:t>Yetkinlik veya rol</w:t>
            </w:r>
          </w:p>
        </w:tc>
        <w:tc>
          <w:tcPr>
            <w:tcW w:type="dxa" w:w="4464"/>
            <w:vAlign w:val="center"/>
            <w:shd w:fill="E8EDF2"/>
            <w:tcMar>
              <w:top w:w="90" w:type="dxa"/>
              <w:bottom w:w="90" w:type="dxa"/>
              <w:left w:w="90" w:type="dxa"/>
              <w:right w:w="90" w:type="dxa"/>
            </w:tcMar>
          </w:tcPr>
          <w:p>
            <w:pPr>
              <w:widowControl/>
              <w:spacing w:after="40" w:line="247" w:lineRule="auto"/>
            </w:pPr>
            <w:r>
              <w:rPr>
                <w:rFonts w:ascii="Calibri" w:hAnsi="Calibri"/>
                <w:b/>
                <w:sz w:val="20"/>
              </w:rPr>
              <w:t>Beklenen sorumluluk</w:t>
            </w:r>
          </w:p>
        </w:tc>
        <w:tc>
          <w:tcPr>
            <w:tcW w:type="dxa" w:w="3672"/>
            <w:vAlign w:val="center"/>
            <w:shd w:fill="E8EDF2"/>
            <w:tcMar>
              <w:top w:w="90" w:type="dxa"/>
              <w:bottom w:w="90" w:type="dxa"/>
              <w:left w:w="90" w:type="dxa"/>
              <w:right w:w="90" w:type="dxa"/>
            </w:tcMar>
          </w:tcPr>
          <w:p>
            <w:pPr>
              <w:widowControl/>
              <w:spacing w:after="40" w:line="247" w:lineRule="auto"/>
            </w:pPr>
            <w:r>
              <w:rPr>
                <w:rFonts w:ascii="Calibri" w:hAnsi="Calibri"/>
                <w:b/>
                <w:sz w:val="20"/>
              </w:rPr>
              <w:t>Atama durumu</w:t>
            </w:r>
          </w:p>
        </w:tc>
      </w:tr>
      <w:tr>
        <w:trPr>
          <w:cantSplit/>
        </w:trPr>
        <w:tc>
          <w:tcPr>
            <w:tcW w:type="dxa" w:w="20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Esra</w:t>
            </w:r>
          </w:p>
        </w:tc>
        <w:tc>
          <w:tcPr>
            <w:tcW w:type="dxa" w:w="4464"/>
            <w:vAlign w:val="center"/>
            <w:shd w:fill="FFFFFF"/>
            <w:tcMar>
              <w:top w:w="90" w:type="dxa"/>
              <w:bottom w:w="90" w:type="dxa"/>
              <w:left w:w="90" w:type="dxa"/>
              <w:right w:w="90" w:type="dxa"/>
            </w:tcMar>
          </w:tcPr>
          <w:p>
            <w:pPr>
              <w:widowControl/>
              <w:spacing w:after="40" w:line="247" w:lineRule="auto"/>
            </w:pPr>
            <w:r>
              <w:rPr>
                <w:rFonts w:ascii="Calibri" w:hAnsi="Calibri"/>
                <w:b w:val="0"/>
                <w:sz w:val="20"/>
              </w:rPr>
              <w:t>Ürün yönü, her modülün kullanıcı testi ve açık kabulü; ücretli/dış yetki gerektiren kararlar.</w:t>
            </w:r>
          </w:p>
        </w:tc>
        <w:tc>
          <w:tcPr>
            <w:tcW w:type="dxa" w:w="36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Ürün ve kullanıcı kabul rolü biliniyor; test takvimi her teslimde netleşir.</w:t>
            </w:r>
          </w:p>
        </w:tc>
      </w:tr>
      <w:tr>
        <w:trPr>
          <w:cantSplit/>
        </w:trPr>
        <w:tc>
          <w:tcPr>
            <w:tcW w:type="dxa" w:w="2088"/>
            <w:vAlign w:val="center"/>
            <w:shd w:fill="F6F7F9"/>
            <w:tcMar>
              <w:top w:w="90" w:type="dxa"/>
              <w:bottom w:w="90" w:type="dxa"/>
              <w:left w:w="90" w:type="dxa"/>
              <w:right w:w="90" w:type="dxa"/>
            </w:tcMar>
          </w:tcPr>
          <w:p>
            <w:pPr>
              <w:widowControl/>
              <w:spacing w:after="40" w:line="247" w:lineRule="auto"/>
            </w:pPr>
            <w:r>
              <w:rPr>
                <w:rFonts w:ascii="Calibri" w:hAnsi="Calibri"/>
                <w:b w:val="0"/>
                <w:sz w:val="20"/>
              </w:rPr>
              <w:t>AI destekli çalışma</w:t>
            </w:r>
          </w:p>
        </w:tc>
        <w:tc>
          <w:tcPr>
            <w:tcW w:type="dxa" w:w="4464"/>
            <w:vAlign w:val="center"/>
            <w:shd w:fill="F6F7F9"/>
            <w:tcMar>
              <w:top w:w="90" w:type="dxa"/>
              <w:bottom w:w="90" w:type="dxa"/>
              <w:left w:w="90" w:type="dxa"/>
              <w:right w:w="90" w:type="dxa"/>
            </w:tcMar>
          </w:tcPr>
          <w:p>
            <w:pPr>
              <w:widowControl/>
              <w:spacing w:after="40" w:line="247" w:lineRule="auto"/>
            </w:pPr>
            <w:r>
              <w:rPr>
                <w:rFonts w:ascii="Calibri" w:hAnsi="Calibri"/>
                <w:b w:val="0"/>
                <w:sz w:val="20"/>
              </w:rPr>
              <w:t>Analiz, kod/test üretimi, dokümantasyon, izlenebilirlik, araştırma ve regresyon işleri.</w:t>
            </w:r>
          </w:p>
        </w:tc>
        <w:tc>
          <w:tcPr>
            <w:tcW w:type="dxa" w:w="36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Mevcut; insan kabulü, uzman görüşü veya resmi imza yerine geçmez.</w:t>
            </w:r>
          </w:p>
        </w:tc>
      </w:tr>
      <w:tr>
        <w:trPr>
          <w:cantSplit/>
        </w:trPr>
        <w:tc>
          <w:tcPr>
            <w:tcW w:type="dxa" w:w="20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Yazılımcı ve teknik liderlik</w:t>
            </w:r>
          </w:p>
        </w:tc>
        <w:tc>
          <w:tcPr>
            <w:tcW w:type="dxa" w:w="4464"/>
            <w:vAlign w:val="center"/>
            <w:shd w:fill="FFFFFF"/>
            <w:tcMar>
              <w:top w:w="90" w:type="dxa"/>
              <w:bottom w:w="90" w:type="dxa"/>
              <w:left w:w="90" w:type="dxa"/>
              <w:right w:w="90" w:type="dxa"/>
            </w:tcMar>
          </w:tcPr>
          <w:p>
            <w:pPr>
              <w:widowControl/>
              <w:spacing w:after="40" w:line="247" w:lineRule="auto"/>
            </w:pPr>
            <w:r>
              <w:rPr>
                <w:rFonts w:ascii="Calibri" w:hAnsi="Calibri"/>
                <w:b w:val="0"/>
                <w:sz w:val="20"/>
              </w:rPr>
              <w:t>Kod/mimari review, auth/offline/data kararları, kurulum, test, bakım ve sürdürülebilirlik.</w:t>
            </w:r>
          </w:p>
        </w:tc>
        <w:tc>
          <w:tcPr>
            <w:tcW w:type="dxa" w:w="36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Yaklaşık Kasım sonu katılım beklentisi; tarih ve kapasite teyitsiz.</w:t>
            </w:r>
          </w:p>
        </w:tc>
      </w:tr>
      <w:tr>
        <w:trPr>
          <w:cantSplit/>
        </w:trPr>
        <w:tc>
          <w:tcPr>
            <w:tcW w:type="dxa" w:w="2088"/>
            <w:vAlign w:val="center"/>
            <w:shd w:fill="F6F7F9"/>
            <w:tcMar>
              <w:top w:w="90" w:type="dxa"/>
              <w:bottom w:w="90" w:type="dxa"/>
              <w:left w:w="90" w:type="dxa"/>
              <w:right w:w="90" w:type="dxa"/>
            </w:tcMar>
          </w:tcPr>
          <w:p>
            <w:pPr>
              <w:widowControl/>
              <w:spacing w:after="40" w:line="247" w:lineRule="auto"/>
            </w:pPr>
            <w:r>
              <w:rPr>
                <w:rFonts w:ascii="Calibri" w:hAnsi="Calibri"/>
                <w:b w:val="0"/>
                <w:sz w:val="20"/>
              </w:rPr>
              <w:t>Ürün/domain uygulama</w:t>
            </w:r>
          </w:p>
        </w:tc>
        <w:tc>
          <w:tcPr>
            <w:tcW w:type="dxa" w:w="4464"/>
            <w:vAlign w:val="center"/>
            <w:shd w:fill="F6F7F9"/>
            <w:tcMar>
              <w:top w:w="90" w:type="dxa"/>
              <w:bottom w:w="90" w:type="dxa"/>
              <w:left w:w="90" w:type="dxa"/>
              <w:right w:w="90" w:type="dxa"/>
            </w:tcMar>
          </w:tcPr>
          <w:p>
            <w:pPr>
              <w:widowControl/>
              <w:spacing w:after="40" w:line="247" w:lineRule="auto"/>
            </w:pPr>
            <w:r>
              <w:rPr>
                <w:rFonts w:ascii="Calibri" w:hAnsi="Calibri"/>
                <w:b w:val="0"/>
                <w:sz w:val="20"/>
              </w:rPr>
              <w:t>A/B/C/D capability dilimlerini UI/API/DB ve testle geliştirme.</w:t>
            </w:r>
          </w:p>
        </w:tc>
        <w:tc>
          <w:tcPr>
            <w:tcW w:type="dxa" w:w="36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Kapasite Kasımda gerçek işler üzerinden değerlendirilir.</w:t>
            </w:r>
          </w:p>
        </w:tc>
      </w:tr>
      <w:tr>
        <w:trPr>
          <w:cantSplit/>
        </w:trPr>
        <w:tc>
          <w:tcPr>
            <w:tcW w:type="dxa" w:w="20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QA ve güvenlik</w:t>
            </w:r>
          </w:p>
        </w:tc>
        <w:tc>
          <w:tcPr>
            <w:tcW w:type="dxa" w:w="4464"/>
            <w:vAlign w:val="center"/>
            <w:shd w:fill="FFFFFF"/>
            <w:tcMar>
              <w:top w:w="90" w:type="dxa"/>
              <w:bottom w:w="90" w:type="dxa"/>
              <w:left w:w="90" w:type="dxa"/>
              <w:right w:w="90" w:type="dxa"/>
            </w:tcMar>
          </w:tcPr>
          <w:p>
            <w:pPr>
              <w:widowControl/>
              <w:spacing w:after="40" w:line="247" w:lineRule="auto"/>
            </w:pPr>
            <w:r>
              <w:rPr>
                <w:rFonts w:ascii="Calibri" w:hAnsi="Calibri"/>
                <w:b w:val="0"/>
                <w:sz w:val="20"/>
              </w:rPr>
              <w:t>Bağımsız negatif test, otomasyon, cihaz/performance, pentest ve release kanıtı.</w:t>
            </w:r>
          </w:p>
        </w:tc>
        <w:tc>
          <w:tcPr>
            <w:tcW w:type="dxa" w:w="36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Kişi veya sağlayıcı atanmadı; dış ücretli çalışma ayrı yetki ister.</w:t>
            </w:r>
          </w:p>
        </w:tc>
      </w:tr>
      <w:tr>
        <w:trPr>
          <w:cantSplit/>
        </w:trPr>
        <w:tc>
          <w:tcPr>
            <w:tcW w:type="dxa" w:w="2088"/>
            <w:vAlign w:val="center"/>
            <w:shd w:fill="F6F7F9"/>
            <w:tcMar>
              <w:top w:w="90" w:type="dxa"/>
              <w:bottom w:w="90" w:type="dxa"/>
              <w:left w:w="90" w:type="dxa"/>
              <w:right w:w="90" w:type="dxa"/>
            </w:tcMar>
          </w:tcPr>
          <w:p>
            <w:pPr>
              <w:widowControl/>
              <w:spacing w:after="40" w:line="247" w:lineRule="auto"/>
            </w:pPr>
            <w:r>
              <w:rPr>
                <w:rFonts w:ascii="Calibri" w:hAnsi="Calibri"/>
                <w:b w:val="0"/>
                <w:sz w:val="20"/>
              </w:rPr>
              <w:t>Platform ve operasyon</w:t>
            </w:r>
          </w:p>
        </w:tc>
        <w:tc>
          <w:tcPr>
            <w:tcW w:type="dxa" w:w="4464"/>
            <w:vAlign w:val="center"/>
            <w:shd w:fill="F6F7F9"/>
            <w:tcMar>
              <w:top w:w="90" w:type="dxa"/>
              <w:bottom w:w="90" w:type="dxa"/>
              <w:left w:w="90" w:type="dxa"/>
              <w:right w:w="90" w:type="dxa"/>
            </w:tcMar>
          </w:tcPr>
          <w:p>
            <w:pPr>
              <w:widowControl/>
              <w:spacing w:after="40" w:line="247" w:lineRule="auto"/>
            </w:pPr>
            <w:r>
              <w:rPr>
                <w:rFonts w:ascii="Calibri" w:hAnsi="Calibri"/>
                <w:b w:val="0"/>
                <w:sz w:val="20"/>
              </w:rPr>
              <w:t>On-prem kurulum, IdP/key/store, backup/restore, izleme, upgrade/rollback ve destek.</w:t>
            </w:r>
          </w:p>
        </w:tc>
        <w:tc>
          <w:tcPr>
            <w:tcW w:type="dxa" w:w="36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Gerçek ortam ve sorumlu henüz seçilmedi.</w:t>
            </w:r>
          </w:p>
        </w:tc>
      </w:tr>
      <w:tr>
        <w:trPr>
          <w:cantSplit/>
        </w:trPr>
        <w:tc>
          <w:tcPr>
            <w:tcW w:type="dxa" w:w="20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Denizcilik ve mevzuat</w:t>
            </w:r>
          </w:p>
        </w:tc>
        <w:tc>
          <w:tcPr>
            <w:tcW w:type="dxa" w:w="4464"/>
            <w:vAlign w:val="center"/>
            <w:shd w:fill="FFFFFF"/>
            <w:tcMar>
              <w:top w:w="90" w:type="dxa"/>
              <w:bottom w:w="90" w:type="dxa"/>
              <w:left w:w="90" w:type="dxa"/>
              <w:right w:w="90" w:type="dxa"/>
            </w:tcMar>
          </w:tcPr>
          <w:p>
            <w:pPr>
              <w:widowControl/>
              <w:spacing w:after="40" w:line="247" w:lineRule="auto"/>
            </w:pPr>
            <w:r>
              <w:rPr>
                <w:rFonts w:ascii="Calibri" w:hAnsi="Calibri"/>
                <w:b w:val="0"/>
                <w:sz w:val="20"/>
              </w:rPr>
              <w:t>Marine/Tug Master, chief engineer, crewing, DPA ve regulatory/flag/class yorumları.</w:t>
            </w:r>
          </w:p>
        </w:tc>
        <w:tc>
          <w:tcPr>
            <w:tcW w:type="dxa" w:w="3672"/>
            <w:vAlign w:val="center"/>
            <w:shd w:fill="FFFFFF"/>
            <w:tcMar>
              <w:top w:w="90" w:type="dxa"/>
              <w:bottom w:w="90" w:type="dxa"/>
              <w:left w:w="90" w:type="dxa"/>
              <w:right w:w="90" w:type="dxa"/>
            </w:tcMar>
          </w:tcPr>
          <w:p>
            <w:pPr>
              <w:widowControl/>
              <w:spacing w:after="40" w:line="247" w:lineRule="auto"/>
            </w:pPr>
            <w:r>
              <w:rPr>
                <w:rFonts w:ascii="Calibri" w:hAnsi="Calibri"/>
                <w:b w:val="0"/>
                <w:sz w:val="20"/>
              </w:rPr>
              <w:t>Erken kaptan/çarkçı imkânı var; isim, profil, müsaitlik ve resmi yetki yok.</w:t>
            </w:r>
          </w:p>
        </w:tc>
      </w:tr>
      <w:tr>
        <w:trPr>
          <w:cantSplit/>
        </w:trPr>
        <w:tc>
          <w:tcPr>
            <w:tcW w:type="dxa" w:w="2088"/>
            <w:vAlign w:val="center"/>
            <w:shd w:fill="F6F7F9"/>
            <w:tcMar>
              <w:top w:w="90" w:type="dxa"/>
              <w:bottom w:w="90" w:type="dxa"/>
              <w:left w:w="90" w:type="dxa"/>
              <w:right w:w="90" w:type="dxa"/>
            </w:tcMar>
          </w:tcPr>
          <w:p>
            <w:pPr>
              <w:widowControl/>
              <w:spacing w:after="40" w:line="247" w:lineRule="auto"/>
            </w:pPr>
            <w:r>
              <w:rPr>
                <w:rFonts w:ascii="Calibri" w:hAnsi="Calibri"/>
                <w:b w:val="0"/>
                <w:sz w:val="20"/>
              </w:rPr>
              <w:t>UX ve ticari hazırlık</w:t>
            </w:r>
          </w:p>
        </w:tc>
        <w:tc>
          <w:tcPr>
            <w:tcW w:type="dxa" w:w="4464"/>
            <w:vAlign w:val="center"/>
            <w:shd w:fill="F6F7F9"/>
            <w:tcMar>
              <w:top w:w="90" w:type="dxa"/>
              <w:bottom w:w="90" w:type="dxa"/>
              <w:left w:w="90" w:type="dxa"/>
              <w:right w:w="90" w:type="dxa"/>
            </w:tcMar>
          </w:tcPr>
          <w:p>
            <w:pPr>
              <w:widowControl/>
              <w:spacing w:after="40" w:line="247" w:lineRule="auto"/>
            </w:pPr>
            <w:r>
              <w:rPr>
                <w:rFonts w:ascii="Calibri" w:hAnsi="Calibri"/>
                <w:b w:val="0"/>
                <w:sz w:val="20"/>
              </w:rPr>
              <w:t>TR/EN görev deneyimi, eğitim, değer ölçümü, onboarding, support ve teklif sınırları.</w:t>
            </w:r>
          </w:p>
        </w:tc>
        <w:tc>
          <w:tcPr>
            <w:tcW w:type="dxa" w:w="3672"/>
            <w:vAlign w:val="center"/>
            <w:shd w:fill="F6F7F9"/>
            <w:tcMar>
              <w:top w:w="90" w:type="dxa"/>
              <w:bottom w:w="90" w:type="dxa"/>
              <w:left w:w="90" w:type="dxa"/>
              <w:right w:w="90" w:type="dxa"/>
            </w:tcMar>
          </w:tcPr>
          <w:p>
            <w:pPr>
              <w:widowControl/>
              <w:spacing w:after="40" w:line="247" w:lineRule="auto"/>
            </w:pPr>
            <w:r>
              <w:rPr>
                <w:rFonts w:ascii="Calibri" w:hAnsi="Calibri"/>
                <w:b w:val="0"/>
                <w:sz w:val="20"/>
              </w:rPr>
              <w:t>İş sorumluluğu gerekli; atanmış ekip veya satış sonucu varsayılmaz.</w:t>
            </w:r>
          </w:p>
        </w:tc>
      </w:tr>
    </w:tbl>
    <w:p>
      <w:pPr>
        <w:widowControl/>
        <w:spacing w:line="240" w:lineRule="auto" w:after="80"/>
      </w:pPr>
      <w:r>
        <w:rPr>
          <w:sz w:val="2"/>
        </w:rPr>
        <w:t xml:space="preserve"> </w:t>
      </w:r>
    </w:p>
    <w:p>
      <w:pPr>
        <w:pStyle w:val="Heading2"/>
        <w:widowControl/>
      </w:pPr>
      <w:r>
        <w:t>Kasım sonu teknik devir paketi</w:t>
      </w:r>
    </w:p>
    <w:p>
      <w:pPr>
        <w:widowControl/>
      </w:pPr>
      <w:r>
        <w:t>Devir, yalnız belge paylaşımı değildir. Yazılımcı temiz ortamda sistemi kurup testi çalıştırmalı, bir küçük değişikliği inceleyip uygulamalı ve recovery akışını anlayabilmelidir. Aşağıdaki kayıtların sahibi, sürümü ve doğrulama sonucu devir oturumunda işaretlenir.</w:t>
      </w:r>
    </w:p>
    <w:p>
      <w:pPr>
        <w:pStyle w:val="ListBullet"/>
        <w:widowControl/>
      </w:pPr>
      <w:r>
        <w:t>Canonical repo ve d0640b27 başlangıç referansı; sonraki değişiklikler için commit/build, 62 dosyalı temel kanıt ve bilinen sınırlar.</w:t>
      </w:r>
    </w:p>
    <w:p>
      <w:pPr>
        <w:pStyle w:val="ListBullet"/>
        <w:widowControl/>
      </w:pPr>
      <w:r>
        <w:t>Mimari ve ADR dizini; domain haritası; state/command/permission sözleşmeleri; schema, migration ve seed verisi.</w:t>
      </w:r>
    </w:p>
    <w:p>
      <w:pPr>
        <w:pStyle w:val="ListBullet"/>
        <w:widowControl/>
      </w:pPr>
      <w:r>
        <w:t>Setup, env değişkenleri ve secret yönetimi sözleşmesi. Gerçek secret değeri belgeye konmaz; erişim ayrı yetkilendirilir.</w:t>
      </w:r>
    </w:p>
    <w:p>
      <w:pPr>
        <w:pStyle w:val="ListBullet"/>
        <w:widowControl/>
      </w:pPr>
      <w:r>
        <w:t>Build, unit/integration/e2e ve negatif test komutları; dependency lock; CI sonuçları; golden veri ve test kapsamı.</w:t>
      </w:r>
    </w:p>
    <w:p>
      <w:pPr>
        <w:pStyle w:val="ListBullet"/>
        <w:widowControl/>
      </w:pPr>
      <w:r>
        <w:t>On-prem install/upgrade/rollback/restore runbook’ları; object storage, key/store, proxy/IdP ve destek sınırları.</w:t>
      </w:r>
    </w:p>
    <w:p>
      <w:pPr>
        <w:pStyle w:val="ListBullet"/>
        <w:widowControl/>
      </w:pPr>
      <w:r>
        <w:t>Açık kararlar, defect listesi, her modülün teknik ve Esra UAT durumu; tam evidence yolu/hash ve tekrar test tetikleyicisi.</w:t>
      </w:r>
    </w:p>
    <w:p>
      <w:pPr>
        <w:widowControl/>
      </w:pPr>
      <w:r>
        <w:t>İlk incelemede öncelik auth/session, tenant/asset/job izolasyonu, offline kalıcılık ve conflict, veri/state bütünlüğü ve recovery olur. Yazılımcı daha erken katılırsa inceleme bekletilmez. Bulgu varsa geçmiş başarı yeniden etiketlenmez; etkilenen scope ve forecast güncellenir.</w:t>
      </w:r>
    </w:p>
    <w:p>
      <w:pPr>
        <w:pStyle w:val="Heading2"/>
        <w:widowControl/>
      </w:pPr>
      <w:r>
        <w:t>Devredilen karar yetkisinin sınırı</w:t>
      </w:r>
    </w:p>
    <w:p>
      <w:pPr>
        <w:widowControl/>
      </w:pPr>
      <w:r>
        <w:t>Mevcut kapsam içindeki olağan ve geri alınabilir ürün, UX, mimari, uygulama, test, doküman ve öncelik kararları için her adımda Esra onayı beklenmez; ADR ve regresyon kanıtı bırakılır. Bu özerklik Esra’nın modül kabulünü ikame etmez. Ücretli taahhüt, işe alım, sözleşme, gerçek credential, kişisel veri paylaşımı, dış iletişim, üretim veya müşteri ortamı değişikliği ve sertifika başvurusu için ilgili özel yetki gerekir. Master/Tug Master operasyon kararı kıyı, admin veya AI tarafından üstlenilemez.</w:t>
      </w:r>
    </w:p>
    <w:p>
      <w:pPr>
        <w:pStyle w:val="Heading1"/>
        <w:widowControl/>
      </w:pPr>
      <w:r>
        <w:t>7 Tam ürün kabul kapıları</w:t>
      </w:r>
    </w:p>
    <w:p>
      <w:pPr>
        <w:widowControl/>
      </w:pPr>
      <w:r>
        <w:t>FP-G kodları yalnız bu yol haritasının kapılarıdır. 20.01 içindeki G01–G10, 25.02 içindeki G01–G08, ENG-01…14 ve LEG-G01…07 ile karıştırılmaz. Kaynak kapıların ayrıntıları korunur; bu plan onları gevşetmez. Aşağıdaki kapıların hiçbiri bu dokümanla PASS yapılmış değildir. [K10–K17]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6293"/>
        <w:gridCol w:w="2304"/>
      </w:tblGrid>
      <w:tr>
        <w:trPr>
          <w:cantSplit/>
          <w:tblHeader/>
        </w:trPr>
        <w:tc>
          <w:tcPr>
            <w:tcW w:type="dxa" w:w="1627"/>
            <w:vAlign w:val="center"/>
            <w:shd w:fill="E8EDF2"/>
            <w:tcMar>
              <w:top w:w="90" w:type="dxa"/>
              <w:bottom w:w="90" w:type="dxa"/>
              <w:left w:w="90" w:type="dxa"/>
              <w:right w:w="90" w:type="dxa"/>
            </w:tcMar>
          </w:tcPr>
          <w:p>
            <w:pPr>
              <w:widowControl/>
              <w:spacing w:after="40" w:line="247" w:lineRule="auto"/>
            </w:pPr>
            <w:r>
              <w:rPr>
                <w:rFonts w:ascii="Calibri" w:hAnsi="Calibri"/>
                <w:b/>
                <w:sz w:val="20"/>
              </w:rPr>
              <w:t>Kapı</w:t>
            </w:r>
          </w:p>
        </w:tc>
        <w:tc>
          <w:tcPr>
            <w:tcW w:type="dxa" w:w="6293"/>
            <w:vAlign w:val="center"/>
            <w:shd w:fill="E8EDF2"/>
            <w:tcMar>
              <w:top w:w="90" w:type="dxa"/>
              <w:bottom w:w="90" w:type="dxa"/>
              <w:left w:w="90" w:type="dxa"/>
              <w:right w:w="90" w:type="dxa"/>
            </w:tcMar>
          </w:tcPr>
          <w:p>
            <w:pPr>
              <w:widowControl/>
              <w:spacing w:after="40" w:line="247" w:lineRule="auto"/>
            </w:pPr>
            <w:r>
              <w:rPr>
                <w:rFonts w:ascii="Calibri" w:hAnsi="Calibri"/>
                <w:b/>
                <w:sz w:val="20"/>
              </w:rPr>
              <w:t>Kapanış için zorunlu kanıt</w:t>
            </w:r>
          </w:p>
        </w:tc>
        <w:tc>
          <w:tcPr>
            <w:tcW w:type="dxa" w:w="2304"/>
            <w:vAlign w:val="center"/>
            <w:shd w:fill="E8EDF2"/>
            <w:tcMar>
              <w:top w:w="90" w:type="dxa"/>
              <w:bottom w:w="90" w:type="dxa"/>
              <w:left w:w="90" w:type="dxa"/>
              <w:right w:w="90" w:type="dxa"/>
            </w:tcMar>
          </w:tcPr>
          <w:p>
            <w:pPr>
              <w:widowControl/>
              <w:spacing w:after="40" w:line="247" w:lineRule="auto"/>
            </w:pPr>
            <w:r>
              <w:rPr>
                <w:rFonts w:ascii="Calibri" w:hAnsi="Calibri"/>
                <w:b/>
                <w:sz w:val="20"/>
              </w:rPr>
              <w:t>Kararı verecek yetkinlik</w:t>
            </w:r>
          </w:p>
        </w:tc>
      </w:tr>
      <w:tr>
        <w:trPr>
          <w:cantSplit/>
        </w:trPr>
        <w:tc>
          <w:tcPr>
            <w:tcW w:type="dxa" w:w="1627"/>
            <w:vAlign w:val="center"/>
            <w:shd w:fill="FFFFFF"/>
            <w:tcMar>
              <w:top w:w="90" w:type="dxa"/>
              <w:bottom w:w="90" w:type="dxa"/>
              <w:left w:w="90" w:type="dxa"/>
              <w:right w:w="90" w:type="dxa"/>
            </w:tcMar>
          </w:tcPr>
          <w:p>
            <w:pPr>
              <w:widowControl/>
              <w:spacing w:after="40" w:line="247" w:lineRule="auto"/>
            </w:pPr>
            <w:r>
              <w:rPr>
                <w:rFonts w:ascii="Calibri" w:hAnsi="Calibri"/>
                <w:b w:val="0"/>
                <w:sz w:val="20"/>
              </w:rPr>
              <w:t>FP-G01</w:t>
              <w:br/>
              <w:t>Kapsam ve sözleşme</w:t>
            </w:r>
          </w:p>
        </w:tc>
        <w:tc>
          <w:tcPr>
            <w:tcW w:type="dxa" w:w="6293"/>
            <w:vAlign w:val="center"/>
            <w:shd w:fill="FFFFFF"/>
            <w:tcMar>
              <w:top w:w="90" w:type="dxa"/>
              <w:bottom w:w="90" w:type="dxa"/>
              <w:left w:w="90" w:type="dxa"/>
              <w:right w:w="90" w:type="dxa"/>
            </w:tcMar>
          </w:tcPr>
          <w:p>
            <w:pPr>
              <w:widowControl/>
              <w:spacing w:after="40" w:line="247" w:lineRule="auto"/>
            </w:pPr>
            <w:r>
              <w:rPr>
                <w:rFonts w:ascii="Calibri" w:hAnsi="Calibri"/>
                <w:b w:val="0"/>
                <w:sz w:val="20"/>
              </w:rPr>
              <w:t>39 modülün bütün kabul edilmiş P0/P1 capability izleri; 196 ekran gereksinim karşılığı; field/lookup/projection/command/state trace; P0 orphan 0. Değişen ekran tasarımı gereksinim kaybı doğurmaz.</w:t>
            </w:r>
          </w:p>
        </w:tc>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Ürün/domain, mimari ve QA; açık karar ve tarihli kayıt.</w:t>
            </w:r>
          </w:p>
        </w:tc>
      </w:tr>
      <w:tr>
        <w:trPr>
          <w:cantSplit/>
        </w:trPr>
        <w:tc>
          <w:tcPr>
            <w:tcW w:type="dxa" w:w="1627"/>
            <w:vAlign w:val="center"/>
            <w:shd w:fill="F6F7F9"/>
            <w:tcMar>
              <w:top w:w="90" w:type="dxa"/>
              <w:bottom w:w="90" w:type="dxa"/>
              <w:left w:w="90" w:type="dxa"/>
              <w:right w:w="90" w:type="dxa"/>
            </w:tcMar>
          </w:tcPr>
          <w:p>
            <w:pPr>
              <w:widowControl/>
              <w:spacing w:after="40" w:line="247" w:lineRule="auto"/>
            </w:pPr>
            <w:r>
              <w:rPr>
                <w:rFonts w:ascii="Calibri" w:hAnsi="Calibri"/>
                <w:b w:val="0"/>
                <w:sz w:val="20"/>
              </w:rPr>
              <w:t>FP-G02</w:t>
              <w:br/>
              <w:t>Engineering</w:t>
            </w:r>
          </w:p>
        </w:tc>
        <w:tc>
          <w:tcPr>
            <w:tcW w:type="dxa" w:w="6293"/>
            <w:vAlign w:val="center"/>
            <w:shd w:fill="F6F7F9"/>
            <w:tcMar>
              <w:top w:w="90" w:type="dxa"/>
              <w:bottom w:w="90" w:type="dxa"/>
              <w:left w:w="90" w:type="dxa"/>
              <w:right w:w="90" w:type="dxa"/>
            </w:tcMar>
          </w:tcPr>
          <w:p>
            <w:pPr>
              <w:widowControl/>
              <w:spacing w:after="40" w:line="247" w:lineRule="auto"/>
            </w:pPr>
            <w:r>
              <w:rPr>
                <w:rFonts w:ascii="Calibri" w:hAnsi="Calibri"/>
                <w:b w:val="0"/>
                <w:sz w:val="20"/>
              </w:rPr>
              <w:t>Tam ürün commit/build/schema/ruleset ve dependency lock; temiz kurulum/migration/build/test; ENG-01…14 eşlemesi; concurrency, idempotency ve audit/lineage kanıtı. Dar dilim testleri tek başına yeterli değil.</w:t>
            </w:r>
          </w:p>
        </w:tc>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Engineering ve bağımsız QA.</w:t>
            </w:r>
          </w:p>
        </w:tc>
      </w:tr>
      <w:tr>
        <w:trPr>
          <w:cantSplit/>
        </w:trPr>
        <w:tc>
          <w:tcPr>
            <w:tcW w:type="dxa" w:w="1627"/>
            <w:vAlign w:val="center"/>
            <w:shd w:fill="FFFFFF"/>
            <w:tcMar>
              <w:top w:w="90" w:type="dxa"/>
              <w:bottom w:w="90" w:type="dxa"/>
              <w:left w:w="90" w:type="dxa"/>
              <w:right w:w="90" w:type="dxa"/>
            </w:tcMar>
          </w:tcPr>
          <w:p>
            <w:pPr>
              <w:widowControl/>
              <w:spacing w:after="40" w:line="247" w:lineRule="auto"/>
            </w:pPr>
            <w:r>
              <w:rPr>
                <w:rFonts w:ascii="Calibri" w:hAnsi="Calibri"/>
                <w:b w:val="0"/>
                <w:sz w:val="20"/>
              </w:rPr>
              <w:t>FP-G03</w:t>
              <w:br/>
              <w:t>Güvenlik ve yetki</w:t>
            </w:r>
          </w:p>
        </w:tc>
        <w:tc>
          <w:tcPr>
            <w:tcW w:type="dxa" w:w="6293"/>
            <w:vAlign w:val="center"/>
            <w:shd w:fill="FFFFFF"/>
            <w:tcMar>
              <w:top w:w="90" w:type="dxa"/>
              <w:bottom w:w="90" w:type="dxa"/>
              <w:left w:w="90" w:type="dxa"/>
              <w:right w:w="90" w:type="dxa"/>
            </w:tcMar>
          </w:tcPr>
          <w:p>
            <w:pPr>
              <w:widowControl/>
              <w:spacing w:after="40" w:line="247" w:lineRule="auto"/>
            </w:pPr>
            <w:r>
              <w:rPr>
                <w:rFonts w:ascii="Calibri" w:hAnsi="Calibri"/>
                <w:b w:val="0"/>
                <w:sz w:val="20"/>
              </w:rPr>
              <w:t>Cross-tenant/object sızıntısı 0; admin/shore/AI bypass 0; protected report izolasyonu; revoke/expire/delegation; canlı IdP ve native HTTPS/proxy; açık critical/high güvenlik bulgusu 0; privacy sınırı.</w:t>
            </w:r>
          </w:p>
        </w:tc>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Security, teknik sorumlu ve ilgili privacy/domain reviewer.</w:t>
            </w:r>
          </w:p>
        </w:tc>
      </w:tr>
      <w:tr>
        <w:trPr>
          <w:cantSplit/>
        </w:trPr>
        <w:tc>
          <w:tcPr>
            <w:tcW w:type="dxa" w:w="1627"/>
            <w:vAlign w:val="center"/>
            <w:shd w:fill="F6F7F9"/>
            <w:tcMar>
              <w:top w:w="90" w:type="dxa"/>
              <w:bottom w:w="90" w:type="dxa"/>
              <w:left w:w="90" w:type="dxa"/>
              <w:right w:w="90" w:type="dxa"/>
            </w:tcMar>
          </w:tcPr>
          <w:p>
            <w:pPr>
              <w:widowControl/>
              <w:spacing w:after="40" w:line="247" w:lineRule="auto"/>
            </w:pPr>
            <w:r>
              <w:rPr>
                <w:rFonts w:ascii="Calibri" w:hAnsi="Calibri"/>
                <w:b w:val="0"/>
                <w:sz w:val="20"/>
              </w:rPr>
              <w:t>FP-G04</w:t>
              <w:br/>
              <w:t>Offline ve kanıt</w:t>
            </w:r>
          </w:p>
        </w:tc>
        <w:tc>
          <w:tcPr>
            <w:tcW w:type="dxa" w:w="6293"/>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Gerçek kalıcı tarayıcı depolaması; restart, duplicate/reorder, iki cihaz, eski kural, yarım ek, reconnect ve logout/user-switch testleri. Kritik kayıp, çift kayıt ve sessiz maddi overwrite 0; hash/version/actor ve conflict audit izi.</w:t>
            </w:r>
          </w:p>
        </w:tc>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Platform, QA ve güvenlik.</w:t>
            </w:r>
          </w:p>
        </w:tc>
      </w:tr>
      <w:tr>
        <w:trPr>
          <w:cantSplit/>
        </w:trPr>
        <w:tc>
          <w:tcPr>
            <w:tcW w:type="dxa" w:w="1627"/>
            <w:vAlign w:val="center"/>
            <w:shd w:fill="FFFFFF"/>
            <w:tcMar>
              <w:top w:w="90" w:type="dxa"/>
              <w:bottom w:w="90" w:type="dxa"/>
              <w:left w:w="90" w:type="dxa"/>
              <w:right w:w="90" w:type="dxa"/>
            </w:tcMar>
          </w:tcPr>
          <w:p>
            <w:pPr>
              <w:widowControl/>
              <w:spacing w:after="40" w:line="247" w:lineRule="auto"/>
            </w:pPr>
            <w:r>
              <w:rPr>
                <w:rFonts w:ascii="Calibri" w:hAnsi="Calibri"/>
                <w:b w:val="0"/>
                <w:sz w:val="20"/>
              </w:rPr>
              <w:t>FP-G05</w:t>
              <w:br/>
              <w:t>Mevzuat kapsamı</w:t>
            </w:r>
          </w:p>
        </w:tc>
        <w:tc>
          <w:tcPr>
            <w:tcW w:type="dxa" w:w="6293"/>
            <w:vAlign w:val="center"/>
            <w:shd w:fill="FFFFFF"/>
            <w:tcMar>
              <w:top w:w="90" w:type="dxa"/>
              <w:bottom w:w="90" w:type="dxa"/>
              <w:left w:w="90" w:type="dxa"/>
              <w:right w:w="90" w:type="dxa"/>
            </w:tcMar>
          </w:tcPr>
          <w:p>
            <w:pPr>
              <w:widowControl/>
              <w:spacing w:after="40" w:line="247" w:lineRule="auto"/>
            </w:pPr>
            <w:r>
              <w:rPr>
                <w:rFonts w:ascii="Calibri" w:hAnsi="Calibri"/>
                <w:b w:val="0"/>
                <w:sz w:val="20"/>
              </w:rPr>
              <w:t>Desteklenen vessel/flag/class/operation/date çerçevesi; source/locator/version/effective date/reviewer; LEG-G01…07; future/superseded/UNKNOWN davranışı. Kritik UNKNOWN, READY/COMPLIANT üretemez.</w:t>
            </w:r>
          </w:p>
        </w:tc>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Regulatory ve gerekli legal/flag/class yetkilisi.</w:t>
            </w:r>
          </w:p>
        </w:tc>
      </w:tr>
      <w:tr>
        <w:trPr>
          <w:cantSplit/>
        </w:trPr>
        <w:tc>
          <w:tcPr>
            <w:tcW w:type="dxa" w:w="1627"/>
            <w:vAlign w:val="center"/>
            <w:shd w:fill="F6F7F9"/>
            <w:tcMar>
              <w:top w:w="90" w:type="dxa"/>
              <w:bottom w:w="90" w:type="dxa"/>
              <w:left w:w="90" w:type="dxa"/>
              <w:right w:w="90" w:type="dxa"/>
            </w:tcMar>
          </w:tcPr>
          <w:p>
            <w:pPr>
              <w:widowControl/>
              <w:spacing w:after="40" w:line="247" w:lineRule="auto"/>
            </w:pPr>
            <w:r>
              <w:rPr>
                <w:rFonts w:ascii="Calibri" w:hAnsi="Calibri"/>
                <w:b w:val="0"/>
                <w:sz w:val="20"/>
              </w:rPr>
              <w:t>FP-G06</w:t>
              <w:br/>
              <w:t>Müşteri öncesi tam RC</w:t>
            </w:r>
          </w:p>
        </w:tc>
        <w:tc>
          <w:tcPr>
            <w:tcW w:type="dxa" w:w="6293"/>
            <w:vAlign w:val="center"/>
            <w:shd w:fill="F6F7F9"/>
            <w:tcMar>
              <w:top w:w="90" w:type="dxa"/>
              <w:bottom w:w="90" w:type="dxa"/>
              <w:left w:w="90" w:type="dxa"/>
              <w:right w:w="90" w:type="dxa"/>
            </w:tcMar>
          </w:tcPr>
          <w:p>
            <w:pPr>
              <w:widowControl/>
              <w:spacing w:after="40" w:line="247" w:lineRule="auto"/>
            </w:pPr>
            <w:r>
              <w:rPr>
                <w:rFonts w:ascii="Calibri" w:hAnsi="Calibri"/>
                <w:b w:val="0"/>
                <w:sz w:val="20"/>
              </w:rPr>
              <w:t>Bütün mutabık capability uygulanmış; tüm modüllerin Esra UAT kayıtları kabul edilmiş; açık P0 kusur 0 ve iç P0 UAT örnekleri PASS; gerçek cihaz/browser/performance; install/upgrade/rollback/restore; ölçüm ve eğitim paketi hazır. Eksik işlev/mock yok.</w:t>
            </w:r>
          </w:p>
        </w:tc>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Esra kullanıcı kabulü; Engineering, QA, domain ve release kararı.</w:t>
            </w:r>
          </w:p>
        </w:tc>
      </w:tr>
      <w:tr>
        <w:trPr>
          <w:cantSplit/>
        </w:trPr>
        <w:tc>
          <w:tcPr>
            <w:tcW w:type="dxa" w:w="1627"/>
            <w:vAlign w:val="center"/>
            <w:shd w:fill="FFFFFF"/>
            <w:tcMar>
              <w:top w:w="90" w:type="dxa"/>
              <w:bottom w:w="90" w:type="dxa"/>
              <w:left w:w="90" w:type="dxa"/>
              <w:right w:w="90" w:type="dxa"/>
            </w:tcMar>
          </w:tcPr>
          <w:p>
            <w:pPr>
              <w:widowControl/>
              <w:spacing w:after="40" w:line="247" w:lineRule="auto"/>
            </w:pPr>
            <w:r>
              <w:rPr>
                <w:rFonts w:ascii="Calibri" w:hAnsi="Calibri"/>
                <w:b w:val="0"/>
                <w:sz w:val="20"/>
              </w:rPr>
              <w:t>FP-G07</w:t>
              <w:br/>
              <w:t>Üç müşteri ve saha</w:t>
            </w:r>
          </w:p>
        </w:tc>
        <w:tc>
          <w:tcPr>
            <w:tcW w:type="dxa" w:w="6293"/>
            <w:vAlign w:val="center"/>
            <w:shd w:fill="FFFFFF"/>
            <w:tcMar>
              <w:top w:w="90" w:type="dxa"/>
              <w:bottom w:w="90" w:type="dxa"/>
              <w:left w:w="90" w:type="dxa"/>
              <w:right w:w="90" w:type="dxa"/>
            </w:tcMar>
          </w:tcPr>
          <w:p>
            <w:pPr>
              <w:widowControl/>
              <w:spacing w:after="40" w:line="247" w:lineRule="auto"/>
            </w:pPr>
            <w:r>
              <w:rPr>
                <w:rFonts w:ascii="Calibri" w:hAnsi="Calibri"/>
                <w:b w:val="0"/>
                <w:sz w:val="20"/>
              </w:rPr>
              <w:t>Her müşteri için ayrı plan/izin/kanıt; toplamda gerçek ship ve tug. Mandatory P0 UAT %100 PASS ve P0 evidence %100; kritik authority/false-green/sync/tenant hatası 0. Journey success ≥%95 ve SME Why agreement ≥%95.</w:t>
            </w:r>
          </w:p>
        </w:tc>
        <w:tc>
          <w:tcPr>
            <w:tcW w:type="dxa" w:w="23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Müşteri yetkilisi, Master/Tug Master, pilot sahibi ve QA.</w:t>
            </w:r>
          </w:p>
        </w:tc>
      </w:tr>
      <w:tr>
        <w:trPr>
          <w:cantSplit/>
        </w:trPr>
        <w:tc>
          <w:tcPr>
            <w:tcW w:type="dxa" w:w="1627"/>
            <w:vAlign w:val="center"/>
            <w:shd w:fill="F6F7F9"/>
            <w:tcMar>
              <w:top w:w="90" w:type="dxa"/>
              <w:bottom w:w="90" w:type="dxa"/>
              <w:left w:w="90" w:type="dxa"/>
              <w:right w:w="90" w:type="dxa"/>
            </w:tcMar>
          </w:tcPr>
          <w:p>
            <w:pPr>
              <w:widowControl/>
              <w:spacing w:after="40" w:line="247" w:lineRule="auto"/>
            </w:pPr>
            <w:r>
              <w:rPr>
                <w:rFonts w:ascii="Calibri" w:hAnsi="Calibri"/>
                <w:b w:val="0"/>
                <w:sz w:val="20"/>
              </w:rPr>
              <w:t>FP-G08</w:t>
              <w:br/>
              <w:t>İşletim ve ticari GA</w:t>
            </w:r>
          </w:p>
        </w:tc>
        <w:tc>
          <w:tcPr>
            <w:tcW w:type="dxa" w:w="6293"/>
            <w:vAlign w:val="center"/>
            <w:shd w:fill="F6F7F9"/>
            <w:tcMar>
              <w:top w:w="90" w:type="dxa"/>
              <w:bottom w:w="90" w:type="dxa"/>
              <w:left w:w="90" w:type="dxa"/>
              <w:right w:w="90" w:type="dxa"/>
            </w:tcMar>
          </w:tcPr>
          <w:p>
            <w:pPr>
              <w:widowControl/>
              <w:spacing w:after="40" w:line="247" w:lineRule="auto"/>
            </w:pPr>
            <w:r>
              <w:rPr>
                <w:rFonts w:ascii="Calibri" w:hAnsi="Calibri"/>
                <w:b w:val="0"/>
                <w:sz w:val="20"/>
              </w:rPr>
              <w:t>Import ve business reconciliation/cutover; ölçülmüş restore/RPO/RTO; support/on-call/escalation; TR/EN eğitim; doğru claims/terms; unresolved P0 0; nonblocking defect için sahip/tarih/risk kararı; son manifest ve release onayı.</w:t>
            </w:r>
          </w:p>
        </w:tc>
        <w:tc>
          <w:tcPr>
            <w:tcW w:type="dxa" w:w="23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Ürün, Engineering, QA, domain, operasyon ve yetkili release sahibi.</w:t>
            </w:r>
          </w:p>
        </w:tc>
      </w:tr>
    </w:tbl>
    <w:p>
      <w:pPr>
        <w:widowControl/>
        <w:spacing w:line="240" w:lineRule="auto" w:after="80"/>
      </w:pPr>
      <w:r>
        <w:rPr>
          <w:sz w:val="2"/>
        </w:rPr>
        <w:t xml:space="preserve"> </w:t>
      </w:r>
    </w:p>
    <w:p>
      <w:pPr>
        <w:widowControl/>
      </w:pPr>
      <w:r>
        <w:t>P0 için %5 hata toleransı yoktur. ≥%95 journey ve SME Why ölçütleri, mandatory P0 UAT ve kanıtın %100 geçmesi zorunluluğuna eklenir. ≤2 saat role onboarding ve duplicate-entry azaltımı mevcut hedeflerdir; henüz gerçekleşmiş sonuç değildir. Kapsam içi işlev P1 diye uygulanmadan GA’ya bırakılmaz. Yalnız yayın engellemeyen kusur için sahip, tarih ve risk kararı tutulabilir.</w:t>
      </w:r>
    </w:p>
    <w:p>
      <w:pPr>
        <w:pStyle w:val="Heading2"/>
        <w:widowControl/>
      </w:pPr>
      <w:r>
        <w:t>Tek kanıt kaydının içeriği</w:t>
      </w:r>
    </w:p>
    <w:p>
      <w:pPr>
        <w:widowControl/>
      </w:pPr>
      <w:r>
        <w:t>Evidence ID; FP-G ve kaynak gate/test/requirement ID; artifact yolu ve SHA256; product/doc/commit/build/schema/ruleset sürümü; tenant/vessel/job/date bağlamı; ortam ve cihaz; beklenen/gerçekleşen; PASS/FAIL/NOT_RUN; ham log/rapor; defect; reviewer, rol, tarih ve karar referansı; yeniden test tetikleyicisi. Boş kutu veya rol adı gerçek reviewer onayı değildir.</w:t>
      </w:r>
    </w:p>
    <w:p>
      <w:pPr>
        <w:pStyle w:val="Heading2"/>
        <w:widowControl/>
      </w:pPr>
      <w:r>
        <w:t>WAN kesintisi ile gerçek tarayıcı offline farkı</w:t>
      </w:r>
    </w:p>
    <w:p>
      <w:pPr>
        <w:widowControl/>
      </w:pPr>
      <w:r>
        <w:t>WAN yokken kurum içi sunucu ve LAN erişilebilir olabilir; bu, internetten bağımsız yerel çalışma testidir. LAN veya sunucuya da ulaşılamayan tarayıcı ise kalıcı cihaz depolaması, kuyruk, güvenli cache, yeniden bağlantı ve çatışma davranışı gerektirir. İki durum ayrı test matrisiyle doğrulanır. Birinin geçmesi diğerinin geçtiği anlamına gelmez. Kritik işler için 72 saat WAN kesintisi önerilen değer deneyidir; kesin hacim, cihaz, ek boyutu ve sync SLO’su ayrıca kararlaştırılır.</w:t>
      </w:r>
    </w:p>
    <w:p>
      <w:pPr>
        <w:pStyle w:val="Heading1"/>
        <w:widowControl/>
      </w:pPr>
      <w:r>
        <w:t>8 Esra modül testi ve kullanıcı kabulü</w:t>
      </w:r>
    </w:p>
    <w:p>
      <w:pPr>
        <w:widowControl/>
      </w:pPr>
      <w:r>
        <w:t>Teknik olarak hazır modül Esra’ya test paketiyle verilir. Özel tarayıcı ortamı ve güvenli erişim henüz kurulmuş değildir. Kurulum, erişim ve gerekiyorsa ücretli hizmet yetkisi tamamlanmadan hazır URL veya hesap sözü verilmez. Sentetik veya açıkça izinli veri kullanılır.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219"/>
        <w:gridCol w:w="4565"/>
      </w:tblGrid>
      <w:tr>
        <w:trPr>
          <w:cantSplit/>
          <w:tblHeader/>
        </w:trPr>
        <w:tc>
          <w:tcPr>
            <w:tcW w:type="dxa" w:w="1440"/>
            <w:vAlign w:val="center"/>
            <w:shd w:fill="E8EDF2"/>
            <w:tcMar>
              <w:top w:w="90" w:type="dxa"/>
              <w:bottom w:w="90" w:type="dxa"/>
              <w:left w:w="90" w:type="dxa"/>
              <w:right w:w="90" w:type="dxa"/>
            </w:tcMar>
          </w:tcPr>
          <w:p>
            <w:pPr>
              <w:widowControl/>
              <w:spacing w:after="40" w:line="247" w:lineRule="auto"/>
            </w:pPr>
            <w:r>
              <w:rPr>
                <w:rFonts w:ascii="Calibri" w:hAnsi="Calibri"/>
                <w:b/>
                <w:sz w:val="20"/>
              </w:rPr>
              <w:t>Adım</w:t>
            </w:r>
          </w:p>
        </w:tc>
        <w:tc>
          <w:tcPr>
            <w:tcW w:type="dxa" w:w="4219"/>
            <w:vAlign w:val="center"/>
            <w:shd w:fill="E8EDF2"/>
            <w:tcMar>
              <w:top w:w="90" w:type="dxa"/>
              <w:bottom w:w="90" w:type="dxa"/>
              <w:left w:w="90" w:type="dxa"/>
              <w:right w:w="90" w:type="dxa"/>
            </w:tcMar>
          </w:tcPr>
          <w:p>
            <w:pPr>
              <w:widowControl/>
              <w:spacing w:after="40" w:line="247" w:lineRule="auto"/>
            </w:pPr>
            <w:r>
              <w:rPr>
                <w:rFonts w:ascii="Calibri" w:hAnsi="Calibri"/>
                <w:b/>
                <w:sz w:val="20"/>
              </w:rPr>
              <w:t>Teslim veya karar</w:t>
            </w:r>
          </w:p>
        </w:tc>
        <w:tc>
          <w:tcPr>
            <w:tcW w:type="dxa" w:w="4565"/>
            <w:vAlign w:val="center"/>
            <w:shd w:fill="E8EDF2"/>
            <w:tcMar>
              <w:top w:w="90" w:type="dxa"/>
              <w:bottom w:w="90" w:type="dxa"/>
              <w:left w:w="90" w:type="dxa"/>
              <w:right w:w="90" w:type="dxa"/>
            </w:tcMar>
          </w:tcPr>
          <w:p>
            <w:pPr>
              <w:widowControl/>
              <w:spacing w:after="40" w:line="247" w:lineRule="auto"/>
            </w:pPr>
            <w:r>
              <w:rPr>
                <w:rFonts w:ascii="Calibri" w:hAnsi="Calibri"/>
                <w:b/>
                <w:sz w:val="20"/>
              </w:rPr>
              <w:t>Kapanış koşulu</w:t>
            </w:r>
          </w:p>
        </w:tc>
      </w:tr>
      <w:tr>
        <w:trPr>
          <w:cantSplit/>
        </w:trPr>
        <w:tc>
          <w:tcPr>
            <w:tcW w:type="dxa" w:w="1440"/>
            <w:vAlign w:val="center"/>
            <w:shd w:fill="FFFFFF"/>
            <w:tcMar>
              <w:top w:w="90" w:type="dxa"/>
              <w:bottom w:w="90" w:type="dxa"/>
              <w:left w:w="90" w:type="dxa"/>
              <w:right w:w="90" w:type="dxa"/>
            </w:tcMar>
          </w:tcPr>
          <w:p>
            <w:pPr>
              <w:widowControl/>
              <w:spacing w:after="40" w:line="247" w:lineRule="auto"/>
            </w:pPr>
            <w:r>
              <w:rPr>
                <w:rFonts w:ascii="Calibri" w:hAnsi="Calibri"/>
                <w:b w:val="0"/>
                <w:sz w:val="20"/>
              </w:rPr>
              <w:t>1 Teknik hazır</w:t>
            </w:r>
          </w:p>
        </w:tc>
        <w:tc>
          <w:tcPr>
            <w:tcW w:type="dxa" w:w="4219"/>
            <w:vAlign w:val="center"/>
            <w:shd w:fill="FFFFFF"/>
            <w:tcMar>
              <w:top w:w="90" w:type="dxa"/>
              <w:bottom w:w="90" w:type="dxa"/>
              <w:left w:w="90" w:type="dxa"/>
              <w:right w:w="90" w:type="dxa"/>
            </w:tcMar>
          </w:tcPr>
          <w:p>
            <w:pPr>
              <w:widowControl/>
              <w:spacing w:after="40" w:line="247" w:lineRule="auto"/>
            </w:pPr>
            <w:r>
              <w:rPr>
                <w:rFonts w:ascii="Calibri" w:hAnsi="Calibri"/>
                <w:b w:val="0"/>
                <w:sz w:val="20"/>
              </w:rPr>
              <w:t>Çalışan sürüm; commit/build; kapsam listesi; teknik test sonuçları; known issues.</w:t>
            </w:r>
          </w:p>
        </w:tc>
        <w:tc>
          <w:tcPr>
            <w:tcW w:type="dxa" w:w="4565"/>
            <w:vAlign w:val="center"/>
            <w:shd w:fill="FFFFFF"/>
            <w:tcMar>
              <w:top w:w="90" w:type="dxa"/>
              <w:bottom w:w="90" w:type="dxa"/>
              <w:left w:w="90" w:type="dxa"/>
              <w:right w:w="90" w:type="dxa"/>
            </w:tcMar>
          </w:tcPr>
          <w:p>
            <w:pPr>
              <w:widowControl/>
              <w:spacing w:after="40" w:line="247" w:lineRule="auto"/>
            </w:pPr>
            <w:r>
              <w:rPr>
                <w:rFonts w:ascii="Calibri" w:hAnsi="Calibri"/>
                <w:b w:val="0"/>
                <w:sz w:val="20"/>
              </w:rPr>
              <w:t>IMPLEMENTED_AND_TECHNICALLY_VERIFIED veya READY_FOR_USER_UAT; henüz USER_ACCEPTED değil.</w:t>
            </w:r>
          </w:p>
        </w:tc>
      </w:tr>
      <w:tr>
        <w:trPr>
          <w:cantSplit/>
        </w:trPr>
        <w:tc>
          <w:tcPr>
            <w:tcW w:type="dxa" w:w="1440"/>
            <w:vAlign w:val="center"/>
            <w:shd w:fill="F6F7F9"/>
            <w:tcMar>
              <w:top w:w="90" w:type="dxa"/>
              <w:bottom w:w="90" w:type="dxa"/>
              <w:left w:w="90" w:type="dxa"/>
              <w:right w:w="90" w:type="dxa"/>
            </w:tcMar>
          </w:tcPr>
          <w:p>
            <w:pPr>
              <w:widowControl/>
              <w:spacing w:after="40" w:line="247" w:lineRule="auto"/>
            </w:pPr>
            <w:r>
              <w:rPr>
                <w:rFonts w:ascii="Calibri" w:hAnsi="Calibri"/>
                <w:b w:val="0"/>
                <w:sz w:val="20"/>
              </w:rPr>
              <w:t>2 Erişim ve test paketi</w:t>
            </w:r>
          </w:p>
        </w:tc>
        <w:tc>
          <w:tcPr>
            <w:tcW w:type="dxa" w:w="4219"/>
            <w:vAlign w:val="center"/>
            <w:shd w:fill="F6F7F9"/>
            <w:tcMar>
              <w:top w:w="90" w:type="dxa"/>
              <w:bottom w:w="90" w:type="dxa"/>
              <w:left w:w="90" w:type="dxa"/>
              <w:right w:w="90" w:type="dxa"/>
            </w:tcMar>
          </w:tcPr>
          <w:p>
            <w:pPr>
              <w:widowControl/>
              <w:spacing w:after="40" w:line="247" w:lineRule="auto"/>
            </w:pPr>
            <w:r>
              <w:rPr>
                <w:rFonts w:ascii="Calibri" w:hAnsi="Calibri"/>
                <w:b w:val="0"/>
                <w:sz w:val="20"/>
              </w:rPr>
              <w:t>Güvenli erişim/setup; rol ve veri; TR/EN test adımları; beklenen sonuç; offline/permission senaryoları; feedback kanalı.</w:t>
            </w:r>
          </w:p>
        </w:tc>
        <w:tc>
          <w:tcPr>
            <w:tcW w:type="dxa" w:w="4565"/>
            <w:vAlign w:val="center"/>
            <w:shd w:fill="F6F7F9"/>
            <w:tcMar>
              <w:top w:w="90" w:type="dxa"/>
              <w:bottom w:w="90" w:type="dxa"/>
              <w:left w:w="90" w:type="dxa"/>
              <w:right w:w="90" w:type="dxa"/>
            </w:tcMar>
          </w:tcPr>
          <w:p>
            <w:pPr>
              <w:widowControl/>
              <w:spacing w:after="40" w:line="247" w:lineRule="auto"/>
            </w:pPr>
            <w:r>
              <w:rPr>
                <w:rFonts w:ascii="Calibri" w:hAnsi="Calibri"/>
                <w:b w:val="0"/>
                <w:sz w:val="20"/>
              </w:rPr>
              <w:t>Esra erişebilir; yetkisiz veri/ortam yok. Erişim sorunu işlev kusurundan ayrı kaydedilir.</w:t>
            </w:r>
          </w:p>
        </w:tc>
      </w:tr>
      <w:tr>
        <w:trPr>
          <w:cantSplit/>
        </w:trPr>
        <w:tc>
          <w:tcPr>
            <w:tcW w:type="dxa" w:w="1440"/>
            <w:vAlign w:val="center"/>
            <w:shd w:fill="FFFFFF"/>
            <w:tcMar>
              <w:top w:w="90" w:type="dxa"/>
              <w:bottom w:w="90" w:type="dxa"/>
              <w:left w:w="90" w:type="dxa"/>
              <w:right w:w="90" w:type="dxa"/>
            </w:tcMar>
          </w:tcPr>
          <w:p>
            <w:pPr>
              <w:widowControl/>
              <w:spacing w:after="40" w:line="247" w:lineRule="auto"/>
            </w:pPr>
            <w:r>
              <w:rPr>
                <w:rFonts w:ascii="Calibri" w:hAnsi="Calibri"/>
                <w:b w:val="0"/>
                <w:sz w:val="20"/>
              </w:rPr>
              <w:t>3 Esra testi</w:t>
            </w:r>
          </w:p>
        </w:tc>
        <w:tc>
          <w:tcPr>
            <w:tcW w:type="dxa" w:w="4219"/>
            <w:vAlign w:val="center"/>
            <w:shd w:fill="FFFFFF"/>
            <w:tcMar>
              <w:top w:w="90" w:type="dxa"/>
              <w:bottom w:w="90" w:type="dxa"/>
              <w:left w:w="90" w:type="dxa"/>
              <w:right w:w="90" w:type="dxa"/>
            </w:tcMar>
          </w:tcPr>
          <w:p>
            <w:pPr>
              <w:widowControl/>
              <w:spacing w:after="40" w:line="247" w:lineRule="auto"/>
            </w:pPr>
            <w:r>
              <w:rPr>
                <w:rFonts w:ascii="Calibri" w:hAnsi="Calibri"/>
                <w:b w:val="0"/>
                <w:sz w:val="20"/>
              </w:rPr>
              <w:t>Normal, hata, eksik veri, yetki, kaydetme/devam ve kritik görev senaryoları.</w:t>
            </w:r>
          </w:p>
        </w:tc>
        <w:tc>
          <w:tcPr>
            <w:tcW w:type="dxa" w:w="4565"/>
            <w:vAlign w:val="center"/>
            <w:shd w:fill="FFFFFF"/>
            <w:tcMar>
              <w:top w:w="90" w:type="dxa"/>
              <w:bottom w:w="90" w:type="dxa"/>
              <w:left w:w="90" w:type="dxa"/>
              <w:right w:w="90" w:type="dxa"/>
            </w:tcMar>
          </w:tcPr>
          <w:p>
            <w:pPr>
              <w:widowControl/>
              <w:spacing w:after="40" w:line="247" w:lineRule="auto"/>
            </w:pPr>
            <w:r>
              <w:rPr>
                <w:rFonts w:ascii="Calibri" w:hAnsi="Calibri"/>
                <w:b w:val="0"/>
                <w:sz w:val="20"/>
              </w:rPr>
              <w:t>Her senaryo PASS/FAIL/NOT_RUN; gözlem, kanıt ve defect kaydı. Sessizlik kabul değildir.</w:t>
            </w:r>
          </w:p>
        </w:tc>
      </w:tr>
      <w:tr>
        <w:trPr>
          <w:cantSplit/>
        </w:trPr>
        <w:tc>
          <w:tcPr>
            <w:tcW w:type="dxa" w:w="1440"/>
            <w:vAlign w:val="center"/>
            <w:shd w:fill="F6F7F9"/>
            <w:tcMar>
              <w:top w:w="90" w:type="dxa"/>
              <w:bottom w:w="90" w:type="dxa"/>
              <w:left w:w="90" w:type="dxa"/>
              <w:right w:w="90" w:type="dxa"/>
            </w:tcMar>
          </w:tcPr>
          <w:p>
            <w:pPr>
              <w:widowControl/>
              <w:spacing w:after="40" w:line="247" w:lineRule="auto"/>
            </w:pPr>
            <w:r>
              <w:rPr>
                <w:rFonts w:ascii="Calibri" w:hAnsi="Calibri"/>
                <w:b w:val="0"/>
                <w:sz w:val="20"/>
              </w:rPr>
              <w:t>4 Düzeltme ve retest</w:t>
            </w:r>
          </w:p>
        </w:tc>
        <w:tc>
          <w:tcPr>
            <w:tcW w:type="dxa" w:w="4219"/>
            <w:vAlign w:val="center"/>
            <w:shd w:fill="F6F7F9"/>
            <w:tcMar>
              <w:top w:w="90" w:type="dxa"/>
              <w:bottom w:w="90" w:type="dxa"/>
              <w:left w:w="90" w:type="dxa"/>
              <w:right w:w="90" w:type="dxa"/>
            </w:tcMar>
          </w:tcPr>
          <w:p>
            <w:pPr>
              <w:widowControl/>
              <w:spacing w:after="40" w:line="247" w:lineRule="auto"/>
            </w:pPr>
            <w:r>
              <w:rPr>
                <w:rFonts w:ascii="Calibri" w:hAnsi="Calibri"/>
                <w:b w:val="0"/>
                <w:sz w:val="20"/>
              </w:rPr>
              <w:t>Kusur önceliği, owner, düzeltme commit’i, etkilenen modüller ve regresyon.</w:t>
            </w:r>
          </w:p>
        </w:tc>
        <w:tc>
          <w:tcPr>
            <w:tcW w:type="dxa" w:w="4565"/>
            <w:vAlign w:val="center"/>
            <w:shd w:fill="F6F7F9"/>
            <w:tcMar>
              <w:top w:w="90" w:type="dxa"/>
              <w:bottom w:w="90" w:type="dxa"/>
              <w:left w:w="90" w:type="dxa"/>
              <w:right w:w="90" w:type="dxa"/>
            </w:tcMar>
          </w:tcPr>
          <w:p>
            <w:pPr>
              <w:widowControl/>
              <w:spacing w:after="40" w:line="247" w:lineRule="auto"/>
            </w:pPr>
            <w:r>
              <w:rPr>
                <w:rFonts w:ascii="Calibri" w:hAnsi="Calibri"/>
                <w:b w:val="0"/>
                <w:sz w:val="20"/>
              </w:rPr>
              <w:t>İlgili testler yeniden koşar; Esra’nın etkilenmiş senaryoları yeniden değerlendirilir.</w:t>
            </w:r>
          </w:p>
        </w:tc>
      </w:tr>
      <w:tr>
        <w:trPr>
          <w:cantSplit/>
        </w:trPr>
        <w:tc>
          <w:tcPr>
            <w:tcW w:type="dxa" w:w="1440"/>
            <w:vAlign w:val="center"/>
            <w:shd w:fill="FFFFFF"/>
            <w:tcMar>
              <w:top w:w="90" w:type="dxa"/>
              <w:bottom w:w="90" w:type="dxa"/>
              <w:left w:w="90" w:type="dxa"/>
              <w:right w:w="90" w:type="dxa"/>
            </w:tcMar>
          </w:tcPr>
          <w:p>
            <w:pPr>
              <w:widowControl/>
              <w:spacing w:after="40" w:line="247" w:lineRule="auto"/>
            </w:pPr>
            <w:r>
              <w:rPr>
                <w:rFonts w:ascii="Calibri" w:hAnsi="Calibri"/>
                <w:b w:val="0"/>
                <w:sz w:val="20"/>
              </w:rPr>
              <w:t>5 Açık kullanıcı kararı</w:t>
            </w:r>
          </w:p>
        </w:tc>
        <w:tc>
          <w:tcPr>
            <w:tcW w:type="dxa" w:w="4219"/>
            <w:vAlign w:val="center"/>
            <w:shd w:fill="FFFFFF"/>
            <w:tcMar>
              <w:top w:w="90" w:type="dxa"/>
              <w:bottom w:w="90" w:type="dxa"/>
              <w:left w:w="90" w:type="dxa"/>
              <w:right w:w="90" w:type="dxa"/>
            </w:tcMar>
          </w:tcPr>
          <w:p>
            <w:pPr>
              <w:widowControl/>
              <w:spacing w:after="40" w:line="247" w:lineRule="auto"/>
            </w:pPr>
            <w:r>
              <w:rPr>
                <w:rFonts w:ascii="Calibri" w:hAnsi="Calibri"/>
                <w:b w:val="0"/>
                <w:sz w:val="20"/>
              </w:rPr>
              <w:t>Esra kabul, yeniden çalışma veya karar bekliyor sonucunu ve tarihini belirtir.</w:t>
            </w:r>
          </w:p>
        </w:tc>
        <w:tc>
          <w:tcPr>
            <w:tcW w:type="dxa" w:w="4565"/>
            <w:vAlign w:val="center"/>
            <w:shd w:fill="FFFFFF"/>
            <w:tcMar>
              <w:top w:w="90" w:type="dxa"/>
              <w:bottom w:w="90" w:type="dxa"/>
              <w:left w:w="90" w:type="dxa"/>
              <w:right w:w="90" w:type="dxa"/>
            </w:tcMar>
          </w:tcPr>
          <w:p>
            <w:pPr>
              <w:widowControl/>
              <w:spacing w:after="40" w:line="247" w:lineRule="auto"/>
            </w:pPr>
            <w:r>
              <w:rPr>
                <w:rFonts w:ascii="Calibri" w:hAnsi="Calibri"/>
                <w:b w:val="0"/>
                <w:sz w:val="20"/>
              </w:rPr>
              <w:t>Yalnız açık kabul USER_ACCEPTED üretir; koşullu karar ve açık P0 kapanış sayılmaz.</w:t>
            </w:r>
          </w:p>
        </w:tc>
      </w:tr>
    </w:tbl>
    <w:p>
      <w:pPr>
        <w:widowControl/>
        <w:spacing w:line="240" w:lineRule="auto" w:after="80"/>
      </w:pPr>
      <w:r>
        <w:rPr>
          <w:sz w:val="2"/>
        </w:rPr>
        <w:t xml:space="preserve"> </w:t>
      </w:r>
    </w:p>
    <w:p>
      <w:pPr>
        <w:widowControl/>
      </w:pPr>
      <w:r>
        <w:t>Esra’nın testi ürün kullanım ve beklenti kabulüdür. Kaptan/çarkçı görev doğrulaması, bağımsız güvenlik testi ve hukuki/flag/class kararı kendi yetkinliklerine aittir. Modül kabul edilmiş olsa bile daha sonraki ortak servis veya sözleşme değişikliği etkili regresyonu ve gerektiğinde Esra yeniden kabulünü tetikler.</w:t>
      </w:r>
    </w:p>
    <w:p>
      <w:pPr>
        <w:pStyle w:val="Heading2"/>
        <w:widowControl/>
      </w:pPr>
      <w:r>
        <w:t>Erken rol testleri ile müşteri pilotunun ayrımı</w:t>
      </w:r>
    </w:p>
    <w:p>
      <w:pPr>
        <w:widowControl/>
      </w:pPr>
      <w:r>
        <w:t>Pilot dışı kaptan veya çarkçı, teknik QA sonrası uygun modülde gerçekçi görevleri deneyebilir. İzinli anonim veri, rol, cihaz ve bağlantı koşulları kaydedilir; gözlem task success, hata ve süreye çevrilir. Bilinmeyen gemi/römorkör profili UNKNOWN kalır. Böyle bir katılımcının görüşü bütün filoyu temsil etmez ve official sign-off sayılmaz.</w:t>
      </w:r>
    </w:p>
    <w:p>
      <w:pPr>
        <w:widowControl/>
      </w:pPr>
      <w:r>
        <w:t>Üç müşteri adayıyla ilk ürün gösterimi veya pilot ancak FP-G06 sonrası planlanır. Müşteri ister ve ayrıca izin verirse ürün göstermeden mevcut form/süreç ve ölçüm bilgisi toplanabilir; buna takvim dayandırılmaz. Mevcut süreç baseline’ı da tam RC’den sonra yapılacak şekilde muhafazakâr planlanır.</w:t>
      </w:r>
    </w:p>
    <w:p>
      <w:pPr>
        <w:pStyle w:val="Heading2"/>
        <w:widowControl/>
      </w:pPr>
      <w:r>
        <w:t>Pilotun uygulama disiplini</w:t>
      </w:r>
    </w:p>
    <w:p>
      <w:pPr>
        <w:pStyle w:val="ListBullet"/>
        <w:widowControl/>
      </w:pPr>
      <w:r>
        <w:t>Her müşteri için sponsor, günlük kullanıcı, karar sahibi, veri izni, profil, ortam, window, senaryo ve ölçüm planı ayrıdır. Birinin kabulü diğerinin yerine geçmez.</w:t>
      </w:r>
    </w:p>
    <w:p>
      <w:pPr>
        <w:pStyle w:val="ListBullet"/>
        <w:widowControl/>
      </w:pPr>
      <w:r>
        <w:t>Üç aday toplamında en az bir gerçek gemi ve bir gerçek römorkör bulunması teyit edilir. Gerçek tug veya gerekli profil yoksa ilgili kapı açık kalır; benzetim saha kanıtı değildir.</w:t>
      </w:r>
    </w:p>
    <w:p>
      <w:pPr>
        <w:pStyle w:val="ListBullet"/>
        <w:widowControl/>
      </w:pPr>
      <w:r>
        <w:t>Planlı senaryoların tamamı başarı paydasına girer; gerçekleşmeyen operasyon NOT_RUN kalır. Demo, canlı pilot PASS’i değildir. Her müşteri için sonuç, değer ve defect raporu üretilir; düzeltme sonrası etkilenen modül, ruleset, cihaz ve veri yolları yeniden test edilir.</w:t>
      </w:r>
    </w:p>
    <w:p>
      <w:pPr>
        <w:pStyle w:val="Heading1"/>
        <w:pageBreakBefore/>
        <w:widowControl/>
      </w:pPr>
      <w:r>
        <w:t>9 Düzenlenebilir modül UAT kayıt şablonu</w:t>
      </w:r>
    </w:p>
    <w:p>
      <w:pPr>
        <w:widowControl/>
      </w:pPr>
      <w:r>
        <w:t>Bu şablon her modül veya anlamlı capability teslimi için çoğaltılır. Boş alanlar kabul değildir. Sonuç, kanıt ve karar alanları testte doldurulur. Yalnız açık kabul USER_ACCEPTED üretir; zorunlu ürün kapıları korunur.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shd w:fill="E8EDF2"/>
            <w:tcMar>
              <w:top w:w="90" w:type="dxa"/>
              <w:bottom w:w="90" w:type="dxa"/>
              <w:left w:w="90" w:type="dxa"/>
              <w:right w:w="90" w:type="dxa"/>
            </w:tcMar>
          </w:tcPr>
          <w:p>
            <w:pPr>
              <w:widowControl/>
              <w:spacing w:after="40" w:line="247" w:lineRule="auto"/>
            </w:pPr>
            <w:r>
              <w:rPr>
                <w:rFonts w:ascii="Calibri" w:hAnsi="Calibri"/>
                <w:b/>
                <w:sz w:val="20"/>
              </w:rPr>
              <w:t>Kayıt alanı</w:t>
            </w:r>
          </w:p>
        </w:tc>
        <w:tc>
          <w:tcPr>
            <w:tcW w:type="dxa" w:w="8280"/>
            <w:vAlign w:val="center"/>
            <w:shd w:fill="E8EDF2"/>
            <w:tcMar>
              <w:top w:w="90" w:type="dxa"/>
              <w:bottom w:w="90" w:type="dxa"/>
              <w:left w:w="90" w:type="dxa"/>
              <w:right w:w="90" w:type="dxa"/>
            </w:tcMar>
          </w:tcPr>
          <w:p>
            <w:pPr>
              <w:widowControl/>
              <w:spacing w:after="40" w:line="247" w:lineRule="auto"/>
            </w:pPr>
            <w:r>
              <w:rPr>
                <w:rFonts w:ascii="Calibri" w:hAnsi="Calibri"/>
                <w:b/>
                <w:sz w:val="20"/>
              </w:rPr>
              <w:t>Doldurulacak bilgi</w:t>
            </w:r>
          </w:p>
        </w:tc>
      </w:tr>
      <w:tr>
        <w:trPr>
          <w:cantSplit/>
        </w:trPr>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Modül ve capability</w:t>
            </w:r>
          </w:p>
        </w:tc>
        <w:tc>
          <w:tcPr>
            <w:tcW w:type="dxa" w:w="8280"/>
            <w:vAlign w:val="center"/>
            <w:shd w:fill="FFFFFF"/>
            <w:tcMar>
              <w:top w:w="90" w:type="dxa"/>
              <w:bottom w:w="90" w:type="dxa"/>
              <w:left w:w="90" w:type="dxa"/>
              <w:right w:w="90" w:type="dxa"/>
            </w:tcMar>
          </w:tcPr>
          <w:p>
            <w:pPr>
              <w:widowControl/>
              <w:spacing w:after="40" w:line="247" w:lineRule="auto"/>
            </w:pPr>
            <w:r>
              <w:rPr>
                <w:rFonts w:ascii="Calibri" w:hAnsi="Calibri"/>
                <w:b w:val="0"/>
                <w:sz w:val="20"/>
              </w:rPr>
              <w:t>Modül no/adı: ____________________  Gereksinim/test ID: ____________________</w:t>
            </w:r>
          </w:p>
        </w:tc>
      </w:tr>
      <w:tr>
        <w:trPr>
          <w:cantSplit/>
        </w:trPr>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Sürüm ve ortam</w:t>
            </w:r>
          </w:p>
        </w:tc>
        <w:tc>
          <w:tcPr>
            <w:tcW w:type="dxa" w:w="8280"/>
            <w:vAlign w:val="center"/>
            <w:shd w:fill="F6F7F9"/>
            <w:tcMar>
              <w:top w:w="90" w:type="dxa"/>
              <w:bottom w:w="90" w:type="dxa"/>
              <w:left w:w="90" w:type="dxa"/>
              <w:right w:w="90" w:type="dxa"/>
            </w:tcMar>
          </w:tcPr>
          <w:p>
            <w:pPr>
              <w:widowControl/>
              <w:spacing w:after="40" w:line="247" w:lineRule="auto"/>
            </w:pPr>
            <w:r>
              <w:rPr>
                <w:rFonts w:ascii="Calibri" w:hAnsi="Calibri"/>
                <w:b w:val="0"/>
                <w:sz w:val="20"/>
              </w:rPr>
              <w:t>Commit/build/schema/ruleset: ____________________  Test ortamı ve tarih: ____________________</w:t>
            </w:r>
          </w:p>
        </w:tc>
      </w:tr>
      <w:tr>
        <w:trPr>
          <w:cantSplit/>
        </w:trPr>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Rol ve veri</w:t>
            </w:r>
          </w:p>
        </w:tc>
        <w:tc>
          <w:tcPr>
            <w:tcW w:type="dxa" w:w="8280"/>
            <w:vAlign w:val="center"/>
            <w:shd w:fill="FFFFFF"/>
            <w:tcMar>
              <w:top w:w="90" w:type="dxa"/>
              <w:bottom w:w="90" w:type="dxa"/>
              <w:left w:w="90" w:type="dxa"/>
              <w:right w:w="90" w:type="dxa"/>
            </w:tcMar>
          </w:tcPr>
          <w:p>
            <w:pPr>
              <w:widowControl/>
              <w:spacing w:after="40" w:line="247" w:lineRule="auto"/>
            </w:pPr>
            <w:r>
              <w:rPr>
                <w:rFonts w:ascii="Calibri" w:hAnsi="Calibri"/>
                <w:b w:val="0"/>
                <w:sz w:val="20"/>
              </w:rPr>
              <w:t>Test rolü: ____________________  Ship/Tug profili veya UNKNOWN: ____________________</w:t>
              <w:br/>
              <w:t>Sentetik/izinli veri kaydı: ____________________</w:t>
            </w:r>
          </w:p>
        </w:tc>
      </w:tr>
      <w:tr>
        <w:trPr>
          <w:cantSplit/>
        </w:trPr>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Erişim</w:t>
            </w:r>
          </w:p>
        </w:tc>
        <w:tc>
          <w:tcPr>
            <w:tcW w:type="dxa" w:w="8280"/>
            <w:vAlign w:val="center"/>
            <w:shd w:fill="F6F7F9"/>
            <w:tcMar>
              <w:top w:w="90" w:type="dxa"/>
              <w:bottom w:w="90" w:type="dxa"/>
              <w:left w:w="90" w:type="dxa"/>
              <w:right w:w="90" w:type="dxa"/>
            </w:tcMar>
          </w:tcPr>
          <w:p>
            <w:pPr>
              <w:widowControl/>
              <w:spacing w:after="40" w:line="247" w:lineRule="auto"/>
            </w:pPr>
            <w:r>
              <w:rPr>
                <w:rFonts w:ascii="Calibri" w:hAnsi="Calibri"/>
                <w:b w:val="0"/>
                <w:sz w:val="20"/>
              </w:rPr>
              <w:t>Erişim/setup yönergesi: ____________________  Yetki/erişim kontrol sonucu: ____________________</w:t>
            </w:r>
          </w:p>
        </w:tc>
      </w:tr>
      <w:tr>
        <w:trPr>
          <w:cantSplit/>
        </w:trPr>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Teslim kapsamı</w:t>
            </w:r>
          </w:p>
        </w:tc>
        <w:tc>
          <w:tcPr>
            <w:tcW w:type="dxa" w:w="8280"/>
            <w:vAlign w:val="center"/>
            <w:shd w:fill="FFFFFF"/>
            <w:tcMar>
              <w:top w:w="90" w:type="dxa"/>
              <w:bottom w:w="90" w:type="dxa"/>
              <w:left w:w="90" w:type="dxa"/>
              <w:right w:w="90" w:type="dxa"/>
            </w:tcMar>
          </w:tcPr>
          <w:p>
            <w:pPr>
              <w:widowControl/>
              <w:spacing w:after="40" w:line="247" w:lineRule="auto"/>
            </w:pPr>
            <w:r>
              <w:rPr>
                <w:rFonts w:ascii="Calibri" w:hAnsi="Calibri"/>
                <w:b w:val="0"/>
                <w:sz w:val="20"/>
              </w:rPr>
              <w:t>Tamamlanan işlevler: ____________________</w:t>
              <w:br/>
              <w:t>Bilinen sınırlama ve kusurlar: ____________________</w:t>
            </w:r>
          </w:p>
        </w:tc>
      </w:tr>
      <w:tr>
        <w:trPr>
          <w:cantSplit/>
        </w:trPr>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Teknik ön kabul</w:t>
            </w:r>
          </w:p>
        </w:tc>
        <w:tc>
          <w:tcPr>
            <w:tcW w:type="dxa" w:w="8280"/>
            <w:vAlign w:val="center"/>
            <w:shd w:fill="F6F7F9"/>
            <w:tcMar>
              <w:top w:w="90" w:type="dxa"/>
              <w:bottom w:w="90" w:type="dxa"/>
              <w:left w:w="90" w:type="dxa"/>
              <w:right w:w="90" w:type="dxa"/>
            </w:tcMar>
          </w:tcPr>
          <w:p>
            <w:pPr>
              <w:widowControl/>
              <w:spacing w:after="40" w:line="247" w:lineRule="auto"/>
            </w:pPr>
            <w:r>
              <w:rPr>
                <w:rFonts w:ascii="Calibri" w:hAnsi="Calibri"/>
                <w:b w:val="0"/>
                <w:sz w:val="20"/>
              </w:rPr>
              <w:t>Test raporu/evidence ID: ____________________  P0 açık kusur: ____________________</w:t>
            </w:r>
          </w:p>
        </w:tc>
      </w:tr>
    </w:tbl>
    <w:p>
      <w:pPr>
        <w:widowControl/>
        <w:spacing w:line="240" w:lineRule="auto" w:after="80"/>
      </w:pPr>
      <w:r>
        <w:rPr>
          <w:sz w:val="2"/>
        </w:rPr>
        <w:t xml:space="preserve">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256"/>
        <w:gridCol w:w="3312"/>
      </w:tblGrid>
      <w:tr>
        <w:trPr>
          <w:cantSplit/>
          <w:tblHeader/>
        </w:trPr>
        <w:tc>
          <w:tcPr>
            <w:tcW w:type="dxa" w:w="1656"/>
            <w:vAlign w:val="center"/>
            <w:shd w:fill="E8EDF2"/>
            <w:tcMar>
              <w:top w:w="90" w:type="dxa"/>
              <w:bottom w:w="90" w:type="dxa"/>
              <w:left w:w="90" w:type="dxa"/>
              <w:right w:w="90" w:type="dxa"/>
            </w:tcMar>
          </w:tcPr>
          <w:p>
            <w:pPr>
              <w:widowControl/>
              <w:spacing w:after="40" w:line="247" w:lineRule="auto"/>
            </w:pPr>
            <w:r>
              <w:rPr>
                <w:rFonts w:ascii="Calibri" w:hAnsi="Calibri"/>
                <w:b/>
                <w:sz w:val="20"/>
              </w:rPr>
              <w:t>Kontrol</w:t>
            </w:r>
          </w:p>
        </w:tc>
        <w:tc>
          <w:tcPr>
            <w:tcW w:type="dxa" w:w="5256"/>
            <w:vAlign w:val="center"/>
            <w:shd w:fill="E8EDF2"/>
            <w:tcMar>
              <w:top w:w="90" w:type="dxa"/>
              <w:bottom w:w="90" w:type="dxa"/>
              <w:left w:w="90" w:type="dxa"/>
              <w:right w:w="90" w:type="dxa"/>
            </w:tcMar>
          </w:tcPr>
          <w:p>
            <w:pPr>
              <w:widowControl/>
              <w:spacing w:after="40" w:line="247" w:lineRule="auto"/>
            </w:pPr>
            <w:r>
              <w:rPr>
                <w:rFonts w:ascii="Calibri" w:hAnsi="Calibri"/>
                <w:b/>
                <w:sz w:val="20"/>
              </w:rPr>
              <w:t>Adım ve beklenen sonuç</w:t>
            </w:r>
          </w:p>
        </w:tc>
        <w:tc>
          <w:tcPr>
            <w:tcW w:type="dxa" w:w="3312"/>
            <w:vAlign w:val="center"/>
            <w:shd w:fill="E8EDF2"/>
            <w:tcMar>
              <w:top w:w="90" w:type="dxa"/>
              <w:bottom w:w="90" w:type="dxa"/>
              <w:left w:w="90" w:type="dxa"/>
              <w:right w:w="90" w:type="dxa"/>
            </w:tcMar>
          </w:tcPr>
          <w:p>
            <w:pPr>
              <w:widowControl/>
              <w:spacing w:after="40" w:line="247" w:lineRule="auto"/>
            </w:pPr>
            <w:r>
              <w:rPr>
                <w:rFonts w:ascii="Calibri" w:hAnsi="Calibri"/>
                <w:b/>
                <w:sz w:val="20"/>
              </w:rPr>
              <w:t>Sonuç ve kanıt</w:t>
            </w:r>
          </w:p>
        </w:tc>
      </w:tr>
      <w:tr>
        <w:trPr>
          <w:cantSplit/>
        </w:trPr>
        <w:tc>
          <w:tcPr>
            <w:tcW w:type="dxa" w:w="16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Normal görev</w:t>
            </w:r>
          </w:p>
        </w:tc>
        <w:tc>
          <w:tcPr>
            <w:tcW w:type="dxa" w:w="52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Görev: ____________________</w:t>
              <w:br/>
              <w:t>Adım/beklenen: ____________________</w:t>
            </w:r>
          </w:p>
        </w:tc>
        <w:tc>
          <w:tcPr>
            <w:tcW w:type="dxa" w:w="3312"/>
            <w:vAlign w:val="center"/>
            <w:shd w:fill="FFFFFF"/>
            <w:tcMar>
              <w:top w:w="90" w:type="dxa"/>
              <w:bottom w:w="90" w:type="dxa"/>
              <w:left w:w="90" w:type="dxa"/>
              <w:right w:w="90" w:type="dxa"/>
            </w:tcMar>
          </w:tcPr>
          <w:p>
            <w:pPr>
              <w:widowControl/>
              <w:spacing w:after="40" w:line="247" w:lineRule="auto"/>
            </w:pPr>
            <w:r>
              <w:rPr>
                <w:rFonts w:ascii="Calibri" w:hAnsi="Calibri"/>
                <w:b w:val="0"/>
                <w:sz w:val="20"/>
              </w:rPr>
              <w:t>PASS / FAIL / NOT_RUN</w:t>
              <w:br/>
              <w:t>Kanıt: ____________________</w:t>
            </w:r>
          </w:p>
        </w:tc>
      </w:tr>
      <w:tr>
        <w:trPr>
          <w:cantSplit/>
        </w:trPr>
        <w:tc>
          <w:tcPr>
            <w:tcW w:type="dxa" w:w="1656"/>
            <w:vAlign w:val="center"/>
            <w:shd w:fill="F6F7F9"/>
            <w:tcMar>
              <w:top w:w="90" w:type="dxa"/>
              <w:bottom w:w="90" w:type="dxa"/>
              <w:left w:w="90" w:type="dxa"/>
              <w:right w:w="90" w:type="dxa"/>
            </w:tcMar>
          </w:tcPr>
          <w:p>
            <w:pPr>
              <w:widowControl/>
              <w:spacing w:after="40" w:line="247" w:lineRule="auto"/>
            </w:pPr>
            <w:r>
              <w:rPr>
                <w:rFonts w:ascii="Calibri" w:hAnsi="Calibri"/>
                <w:b w:val="0"/>
                <w:sz w:val="20"/>
              </w:rPr>
              <w:t>Eksik veya yanlış veri</w:t>
            </w:r>
          </w:p>
        </w:tc>
        <w:tc>
          <w:tcPr>
            <w:tcW w:type="dxa" w:w="5256"/>
            <w:vAlign w:val="center"/>
            <w:shd w:fill="F6F7F9"/>
            <w:tcMar>
              <w:top w:w="90" w:type="dxa"/>
              <w:bottom w:w="90" w:type="dxa"/>
              <w:left w:w="90" w:type="dxa"/>
              <w:right w:w="90" w:type="dxa"/>
            </w:tcMar>
          </w:tcPr>
          <w:p>
            <w:pPr>
              <w:widowControl/>
              <w:spacing w:after="40" w:line="247" w:lineRule="auto"/>
            </w:pPr>
            <w:r>
              <w:rPr>
                <w:rFonts w:ascii="Calibri" w:hAnsi="Calibri"/>
                <w:b w:val="0"/>
                <w:sz w:val="20"/>
              </w:rPr>
              <w:t>Taslak kaydı ve onaya/işleme gönderme sınırı: ____________________</w:t>
            </w:r>
          </w:p>
        </w:tc>
        <w:tc>
          <w:tcPr>
            <w:tcW w:type="dxa" w:w="3312"/>
            <w:vAlign w:val="center"/>
            <w:shd w:fill="F6F7F9"/>
            <w:tcMar>
              <w:top w:w="90" w:type="dxa"/>
              <w:bottom w:w="90" w:type="dxa"/>
              <w:left w:w="90" w:type="dxa"/>
              <w:right w:w="90" w:type="dxa"/>
            </w:tcMar>
          </w:tcPr>
          <w:p>
            <w:pPr>
              <w:widowControl/>
              <w:spacing w:after="40" w:line="247" w:lineRule="auto"/>
            </w:pPr>
            <w:r>
              <w:rPr>
                <w:rFonts w:ascii="Calibri" w:hAnsi="Calibri"/>
                <w:b w:val="0"/>
                <w:sz w:val="20"/>
              </w:rPr>
              <w:t>PASS / FAIL / NOT_RUN</w:t>
              <w:br/>
              <w:t>Kanıt: ____________________</w:t>
            </w:r>
          </w:p>
        </w:tc>
      </w:tr>
      <w:tr>
        <w:trPr>
          <w:cantSplit/>
        </w:trPr>
        <w:tc>
          <w:tcPr>
            <w:tcW w:type="dxa" w:w="16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Yetki ve bağlam</w:t>
            </w:r>
          </w:p>
        </w:tc>
        <w:tc>
          <w:tcPr>
            <w:tcW w:type="dxa" w:w="52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Rol, tenant, gemi/römorkör ve job sınırı: ____________________</w:t>
            </w:r>
          </w:p>
        </w:tc>
        <w:tc>
          <w:tcPr>
            <w:tcW w:type="dxa" w:w="3312"/>
            <w:vAlign w:val="center"/>
            <w:shd w:fill="FFFFFF"/>
            <w:tcMar>
              <w:top w:w="90" w:type="dxa"/>
              <w:bottom w:w="90" w:type="dxa"/>
              <w:left w:w="90" w:type="dxa"/>
              <w:right w:w="90" w:type="dxa"/>
            </w:tcMar>
          </w:tcPr>
          <w:p>
            <w:pPr>
              <w:widowControl/>
              <w:spacing w:after="40" w:line="247" w:lineRule="auto"/>
            </w:pPr>
            <w:r>
              <w:rPr>
                <w:rFonts w:ascii="Calibri" w:hAnsi="Calibri"/>
                <w:b w:val="0"/>
                <w:sz w:val="20"/>
              </w:rPr>
              <w:t>PASS / FAIL / NOT_RUN</w:t>
              <w:br/>
              <w:t>Kanıt: ____________________</w:t>
            </w:r>
          </w:p>
        </w:tc>
      </w:tr>
      <w:tr>
        <w:trPr>
          <w:cantSplit/>
        </w:trPr>
        <w:tc>
          <w:tcPr>
            <w:tcW w:type="dxa" w:w="1656"/>
            <w:vAlign w:val="center"/>
            <w:shd w:fill="F6F7F9"/>
            <w:tcMar>
              <w:top w:w="90" w:type="dxa"/>
              <w:bottom w:w="90" w:type="dxa"/>
              <w:left w:w="90" w:type="dxa"/>
              <w:right w:w="90" w:type="dxa"/>
            </w:tcMar>
          </w:tcPr>
          <w:p>
            <w:pPr>
              <w:widowControl/>
              <w:spacing w:after="40" w:line="247" w:lineRule="auto"/>
            </w:pPr>
            <w:r>
              <w:rPr>
                <w:rFonts w:ascii="Calibri" w:hAnsi="Calibri"/>
                <w:b w:val="0"/>
                <w:sz w:val="20"/>
              </w:rPr>
              <w:t>Dil ve cihaz</w:t>
            </w:r>
          </w:p>
        </w:tc>
        <w:tc>
          <w:tcPr>
            <w:tcW w:type="dxa" w:w="5256"/>
            <w:vAlign w:val="center"/>
            <w:shd w:fill="F6F7F9"/>
            <w:tcMar>
              <w:top w:w="90" w:type="dxa"/>
              <w:bottom w:w="90" w:type="dxa"/>
              <w:left w:w="90" w:type="dxa"/>
              <w:right w:w="90" w:type="dxa"/>
            </w:tcMar>
          </w:tcPr>
          <w:p>
            <w:pPr>
              <w:widowControl/>
              <w:spacing w:after="40" w:line="247" w:lineRule="auto"/>
            </w:pPr>
            <w:r>
              <w:rPr>
                <w:rFonts w:ascii="Calibri" w:hAnsi="Calibri"/>
                <w:b w:val="0"/>
                <w:sz w:val="20"/>
              </w:rPr>
              <w:t>TR/EN; hedef ekran/cihaz ve erişilebilirlik: ____________________</w:t>
            </w:r>
          </w:p>
        </w:tc>
        <w:tc>
          <w:tcPr>
            <w:tcW w:type="dxa" w:w="3312"/>
            <w:vAlign w:val="center"/>
            <w:shd w:fill="F6F7F9"/>
            <w:tcMar>
              <w:top w:w="90" w:type="dxa"/>
              <w:bottom w:w="90" w:type="dxa"/>
              <w:left w:w="90" w:type="dxa"/>
              <w:right w:w="90" w:type="dxa"/>
            </w:tcMar>
          </w:tcPr>
          <w:p>
            <w:pPr>
              <w:widowControl/>
              <w:spacing w:after="40" w:line="247" w:lineRule="auto"/>
            </w:pPr>
            <w:r>
              <w:rPr>
                <w:rFonts w:ascii="Calibri" w:hAnsi="Calibri"/>
                <w:b w:val="0"/>
                <w:sz w:val="20"/>
              </w:rPr>
              <w:t>PASS / FAIL / NOT_RUN</w:t>
              <w:br/>
              <w:t>Kanıt: ____________________</w:t>
            </w:r>
          </w:p>
        </w:tc>
      </w:tr>
      <w:tr>
        <w:trPr>
          <w:cantSplit/>
        </w:trPr>
        <w:tc>
          <w:tcPr>
            <w:tcW w:type="dxa" w:w="16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Offline ve tekrar deneme</w:t>
            </w:r>
          </w:p>
        </w:tc>
        <w:tc>
          <w:tcPr>
            <w:tcW w:type="dxa" w:w="52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Uygulanıyorsa WAN/LAN/server durumu, duplicate/conflict: ____________________</w:t>
            </w:r>
          </w:p>
        </w:tc>
        <w:tc>
          <w:tcPr>
            <w:tcW w:type="dxa" w:w="3312"/>
            <w:vAlign w:val="center"/>
            <w:shd w:fill="FFFFFF"/>
            <w:tcMar>
              <w:top w:w="90" w:type="dxa"/>
              <w:bottom w:w="90" w:type="dxa"/>
              <w:left w:w="90" w:type="dxa"/>
              <w:right w:w="90" w:type="dxa"/>
            </w:tcMar>
          </w:tcPr>
          <w:p>
            <w:pPr>
              <w:widowControl/>
              <w:spacing w:after="40" w:line="247" w:lineRule="auto"/>
            </w:pPr>
            <w:r>
              <w:rPr>
                <w:rFonts w:ascii="Calibri" w:hAnsi="Calibri"/>
                <w:b w:val="0"/>
                <w:sz w:val="20"/>
              </w:rPr>
              <w:t>PASS / FAIL / NOT_RUN / N/A</w:t>
              <w:br/>
              <w:t>N/A gerekçesi: ____________________</w:t>
            </w:r>
          </w:p>
        </w:tc>
      </w:tr>
      <w:tr>
        <w:trPr>
          <w:cantSplit/>
        </w:trPr>
        <w:tc>
          <w:tcPr>
            <w:tcW w:type="dxa" w:w="1656"/>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Kanıt ve audit</w:t>
            </w:r>
          </w:p>
        </w:tc>
        <w:tc>
          <w:tcPr>
            <w:tcW w:type="dxa" w:w="5256"/>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Kaynak, actor, sürüm, ek dosya ve history: ____________________</w:t>
            </w:r>
          </w:p>
        </w:tc>
        <w:tc>
          <w:tcPr>
            <w:tcW w:type="dxa" w:w="3312"/>
            <w:vAlign w:val="center"/>
            <w:shd w:fill="F6F7F9"/>
            <w:tcMar>
              <w:top w:w="90" w:type="dxa"/>
              <w:bottom w:w="90" w:type="dxa"/>
              <w:left w:w="90" w:type="dxa"/>
              <w:right w:w="90" w:type="dxa"/>
            </w:tcMar>
          </w:tcPr>
          <w:p>
            <w:pPr>
              <w:widowControl/>
              <w:spacing w:after="40" w:line="247" w:lineRule="auto"/>
            </w:pPr>
            <w:r>
              <w:rPr>
                <w:rFonts w:ascii="Calibri" w:hAnsi="Calibri"/>
                <w:b w:val="0"/>
                <w:sz w:val="20"/>
              </w:rPr>
              <w:t>PASS / FAIL / NOT_RUN</w:t>
              <w:br/>
              <w:t>Kanıt: ____________________</w:t>
            </w:r>
          </w:p>
        </w:tc>
      </w:tr>
      <w:tr>
        <w:trPr>
          <w:cantSplit/>
        </w:trPr>
        <w:tc>
          <w:tcPr>
            <w:tcW w:type="dxa" w:w="16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Düzeltme ve retest</w:t>
            </w:r>
          </w:p>
        </w:tc>
        <w:tc>
          <w:tcPr>
            <w:tcW w:type="dxa" w:w="5256"/>
            <w:vAlign w:val="center"/>
            <w:shd w:fill="FFFFFF"/>
            <w:tcMar>
              <w:top w:w="90" w:type="dxa"/>
              <w:bottom w:w="90" w:type="dxa"/>
              <w:left w:w="90" w:type="dxa"/>
              <w:right w:w="90" w:type="dxa"/>
            </w:tcMar>
          </w:tcPr>
          <w:p>
            <w:pPr>
              <w:widowControl/>
              <w:spacing w:after="40" w:line="247" w:lineRule="auto"/>
            </w:pPr>
            <w:r>
              <w:rPr>
                <w:rFonts w:ascii="Calibri" w:hAnsi="Calibri"/>
                <w:b w:val="0"/>
                <w:sz w:val="20"/>
              </w:rPr>
              <w:t>Defect ID/öncelik/owner: ____________________</w:t>
              <w:br/>
              <w:t>Fix commit ve regresyon: ____________________</w:t>
            </w:r>
          </w:p>
        </w:tc>
        <w:tc>
          <w:tcPr>
            <w:tcW w:type="dxa" w:w="3312"/>
            <w:vAlign w:val="center"/>
            <w:shd w:fill="FFFFFF"/>
            <w:tcMar>
              <w:top w:w="90" w:type="dxa"/>
              <w:bottom w:w="90" w:type="dxa"/>
              <w:left w:w="90" w:type="dxa"/>
              <w:right w:w="90" w:type="dxa"/>
            </w:tcMar>
          </w:tcPr>
          <w:p>
            <w:pPr>
              <w:widowControl/>
              <w:spacing w:after="40" w:line="247" w:lineRule="auto"/>
            </w:pPr>
            <w:r>
              <w:rPr>
                <w:rFonts w:ascii="Calibri" w:hAnsi="Calibri"/>
                <w:b w:val="0"/>
                <w:sz w:val="20"/>
              </w:rPr>
              <w:t>Tekrar test tarihi/sonucu:</w:t>
              <w:br/>
              <w:t>____________________</w:t>
            </w:r>
          </w:p>
        </w:tc>
      </w:tr>
    </w:tbl>
    <w:p>
      <w:pPr>
        <w:widowControl/>
        <w:spacing w:line="240" w:lineRule="auto" w:after="80"/>
      </w:pPr>
      <w:r>
        <w:rPr>
          <w:sz w:val="2"/>
        </w:rPr>
        <w:t xml:space="preserve"> </w:t>
      </w:r>
    </w:p>
    <w:p>
      <w:pPr>
        <w:widowControl/>
      </w:pPr>
      <w:r>
        <w:t>Esra kararı: KABUL / YENİDEN ÇALIŞMA / KARAR BEKLİYOR</w:t>
        <w:br/>
        <w:t>Tarih ve karar referansı: ____________________</w:t>
        <w:br/>
        <w:t>Açık kayıtlar ve gerekçe: ____________________</w:t>
        <w:br/>
        <w:t>Etkilenen diğer modüller ve yeniden kabul gereği: ____________________</w:t>
      </w:r>
    </w:p>
    <w:p>
      <w:pPr>
        <w:pStyle w:val="Heading1"/>
        <w:pageBreakBefore/>
        <w:widowControl/>
      </w:pPr>
      <w:r>
        <w:t>10 Hemen başlanacak iş ve ilk dört hafta</w:t>
      </w:r>
    </w:p>
    <w:p>
      <w:pPr>
        <w:pStyle w:val="Heading2"/>
        <w:widowControl/>
      </w:pPr>
      <w:r>
        <w:t>27 Ekimden itibaren envanter ve sertifika sırası</w:t>
      </w:r>
    </w:p>
    <w:p>
      <w:pPr>
        <w:widowControl/>
      </w:pPr>
      <w:r>
        <w:t>İlk iş, Gemi/Römorkör Envanteri için gereksinim ve sözleşme boşluklarını kapatıp liste, arama, filtre, sayfalama, detay ve güvenli düzenlemeyi kullanılabilir bir bütün hâline getirmektir. Mevcut runtime yedi root taslak alanını taşır; company_id sunucuda doğrulanır ve serbest kullanıcı girişi değildir. Liste 500 kayıtla sınırlıdır ve cursor sayfalama henüz uygulanmamıştır. DRAFT kaydı, eksik metadata ile saklanabilir; submit yolu onay vermemektedir.</w:t>
      </w:r>
    </w:p>
    <w:p>
      <w:pPr>
        <w:widowControl/>
      </w:pPr>
      <w:r>
        <w:t>Envanterin 27 ekran anahtarı 27 bağımsız aggregate alanı değildir. Root/profile/company/assignment/reference/evidence ve türetilmiş kayıtlar arasındaki kaynak ve sahip eşlemesi yapılır; my-vessel projection sözleşmesi ayrıca kapanır. Altı lookup için aday veya çözülmemiş durum korunur: requirement_ref ve responsible_role entity-only; verifier çatışmalı; flag, master_name ve dpa_name çözülmemiştir. Bunlardan yetki veren serbest isim veya onaylı enum türetilmez.</w:t>
      </w:r>
    </w:p>
    <w:p>
      <w:pPr>
        <w:widowControl/>
      </w:pPr>
      <w:r>
        <w:t>name/type/IMO alias eşlemesi tek kez tanımlanır. Gemi/römorkör lifecycle state’i UI etiketlerinden tahmin edilmez; otomatik activate/archive/delete eklenmez. IMO her römorkör için zorunlu kılınmaz. Profile alanları için tip, birim, precision ve koşullu zorunluluk kararlaştırılır. Envanter metadata tamlığı operasyonel READY, VERIFIED veya class/legal uygunluk olarak gösterilmez.</w:t>
      </w:r>
    </w:p>
    <w:p>
      <w:pPr>
        <w:widowControl/>
      </w:pPr>
      <w:r>
        <w:t>Çıkış; kalıcı reload, iki tenant/company/vessel izolasyonu, yetkisiz veya read-only rol, sahte company, kullanıcı değiştirme/logout, arama-sayfalama izolasyonu, stale edit/duplicate, kesilmiş gönderim ve TR/EN/mobile testleriyle doğrulanır. Backend 92 ve frontend 47 başlangıç regresyonu yeni senaryolarla birlikte yeniden koşulur; bu yeni sonuçlar geçmiş kanıttan ayrı kaydedilir. Bir dilim test edilebiliyorsa kapsamı açıkça belirtilir; eksikler varken bütün envanter modülü tamamlandı denmez.</w:t>
      </w:r>
    </w:p>
    <w:p>
      <w:pPr>
        <w:widowControl/>
      </w:pPr>
      <w:r>
        <w:t>Esra’nın tam modül UAT paketi güvenli özel tarayıcı erişimi kurulduktan sonra verilir. Envanterden sonra Sertifika; gerçek vessel kimliği ve yetkisini yeniden kullanarak expiry, evidence ve verification yaşam döngüsüyle tamamlanır. Taslak expiry metadata’sı doğrulanmış sertifika kabul edilmez.</w:t>
      </w:r>
    </w:p>
    <w:p>
      <w:pPr>
        <w:pStyle w:val="Heading2"/>
        <w:widowControl/>
      </w:pPr>
      <w:r>
        <w:t>Kasım için bağımlılık sırası</w:t>
      </w:r>
    </w:p>
    <w:p>
      <w:pPr>
        <w:widowControl/>
      </w:pPr>
      <w:r>
        <w:t>2–29 Kasım 2026 için aşağıdaki sıra önerilir. Dört haftada bütün satırların tamamlanacağı taahhüt edilmez. İzin, uzman veya ortam eksikse bağımsız sözleşme, kod ve test işi sürer; bloke satır ve ilgili gate açık kalır. Her iş için gerçek sorumlu ve kapasite ilk planlamada yazılır.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4392"/>
        <w:gridCol w:w="4277"/>
      </w:tblGrid>
      <w:tr>
        <w:trPr>
          <w:cantSplit/>
          <w:tblHeader/>
        </w:trPr>
        <w:tc>
          <w:tcPr>
            <w:tcW w:type="dxa" w:w="1555"/>
            <w:vAlign w:val="center"/>
            <w:shd w:fill="E8EDF2"/>
            <w:tcMar>
              <w:top w:w="90" w:type="dxa"/>
              <w:bottom w:w="90" w:type="dxa"/>
              <w:left w:w="90" w:type="dxa"/>
              <w:right w:w="90" w:type="dxa"/>
            </w:tcMar>
          </w:tcPr>
          <w:p>
            <w:pPr>
              <w:widowControl/>
              <w:spacing w:after="40" w:line="247" w:lineRule="auto"/>
            </w:pPr>
            <w:r>
              <w:rPr>
                <w:rFonts w:ascii="Calibri" w:hAnsi="Calibri"/>
                <w:b/>
                <w:sz w:val="20"/>
              </w:rPr>
              <w:t>Hafta ve iş</w:t>
            </w:r>
          </w:p>
        </w:tc>
        <w:tc>
          <w:tcPr>
            <w:tcW w:type="dxa" w:w="4392"/>
            <w:vAlign w:val="center"/>
            <w:shd w:fill="E8EDF2"/>
            <w:tcMar>
              <w:top w:w="90" w:type="dxa"/>
              <w:bottom w:w="90" w:type="dxa"/>
              <w:left w:w="90" w:type="dxa"/>
              <w:right w:w="90" w:type="dxa"/>
            </w:tcMar>
          </w:tcPr>
          <w:p>
            <w:pPr>
              <w:widowControl/>
              <w:spacing w:after="40" w:line="247" w:lineRule="auto"/>
            </w:pPr>
            <w:r>
              <w:rPr>
                <w:rFonts w:ascii="Calibri" w:hAnsi="Calibri"/>
                <w:b/>
                <w:sz w:val="20"/>
              </w:rPr>
              <w:t>Yapılacak iş</w:t>
            </w:r>
          </w:p>
        </w:tc>
        <w:tc>
          <w:tcPr>
            <w:tcW w:type="dxa" w:w="4277"/>
            <w:vAlign w:val="center"/>
            <w:shd w:fill="E8EDF2"/>
            <w:tcMar>
              <w:top w:w="90" w:type="dxa"/>
              <w:bottom w:w="90" w:type="dxa"/>
              <w:left w:w="90" w:type="dxa"/>
              <w:right w:w="90" w:type="dxa"/>
            </w:tcMar>
          </w:tcPr>
          <w:p>
            <w:pPr>
              <w:widowControl/>
              <w:spacing w:after="40" w:line="247" w:lineRule="auto"/>
            </w:pPr>
            <w:r>
              <w:rPr>
                <w:rFonts w:ascii="Calibri" w:hAnsi="Calibri"/>
                <w:b/>
                <w:sz w:val="20"/>
              </w:rPr>
              <w:t>Somut çıkış</w:t>
            </w:r>
          </w:p>
        </w:tc>
      </w:tr>
      <w:tr>
        <w:trPr>
          <w:cantSplit/>
        </w:trPr>
        <w:tc>
          <w:tcPr>
            <w:tcW w:type="dxa" w:w="1555"/>
            <w:vAlign w:val="center"/>
            <w:shd w:fill="FFFFFF"/>
            <w:tcMar>
              <w:top w:w="90" w:type="dxa"/>
              <w:bottom w:w="90" w:type="dxa"/>
              <w:left w:w="90" w:type="dxa"/>
              <w:right w:w="90" w:type="dxa"/>
            </w:tcMar>
          </w:tcPr>
          <w:p>
            <w:pPr>
              <w:widowControl/>
              <w:spacing w:after="40" w:line="247" w:lineRule="auto"/>
            </w:pPr>
            <w:r>
              <w:rPr>
                <w:rFonts w:ascii="Calibri" w:hAnsi="Calibri"/>
                <w:b w:val="0"/>
                <w:sz w:val="20"/>
              </w:rPr>
              <w:t>2–8 Kasım</w:t>
              <w:br/>
              <w:t>FP-001</w:t>
            </w:r>
          </w:p>
        </w:tc>
        <w:tc>
          <w:tcPr>
            <w:tcW w:type="dxa" w:w="43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Repo, ZIP, doküman ve evidence baseline’ını exact revision ve 62 kaynak hash’iyle uzlaştır.</w:t>
            </w:r>
          </w:p>
        </w:tc>
        <w:tc>
          <w:tcPr>
            <w:tcW w:type="dxa" w:w="4277"/>
            <w:vAlign w:val="center"/>
            <w:shd w:fill="FFFFFF"/>
            <w:tcMar>
              <w:top w:w="90" w:type="dxa"/>
              <w:bottom w:w="90" w:type="dxa"/>
              <w:left w:w="90" w:type="dxa"/>
              <w:right w:w="90" w:type="dxa"/>
            </w:tcMar>
          </w:tcPr>
          <w:p>
            <w:pPr>
              <w:widowControl/>
              <w:spacing w:after="40" w:line="247" w:lineRule="auto"/>
            </w:pPr>
            <w:r>
              <w:rPr>
                <w:rFonts w:ascii="Calibri" w:hAnsi="Calibri"/>
                <w:b w:val="0"/>
                <w:sz w:val="20"/>
              </w:rPr>
              <w:t>PASS/FAIL/NOT_RUN ayrılmış yeniden üretilebilir başlangıç; geçmiş sonuç ile yeni koşu ayrı.</w:t>
            </w:r>
          </w:p>
        </w:tc>
      </w:tr>
      <w:tr>
        <w:trPr>
          <w:cantSplit/>
        </w:trPr>
        <w:tc>
          <w:tcPr>
            <w:tcW w:type="dxa" w:w="1555"/>
            <w:vAlign w:val="center"/>
            <w:shd w:fill="F6F7F9"/>
            <w:tcMar>
              <w:top w:w="90" w:type="dxa"/>
              <w:bottom w:w="90" w:type="dxa"/>
              <w:left w:w="90" w:type="dxa"/>
              <w:right w:w="90" w:type="dxa"/>
            </w:tcMar>
          </w:tcPr>
          <w:p>
            <w:pPr>
              <w:widowControl/>
              <w:spacing w:after="40" w:line="247" w:lineRule="auto"/>
            </w:pPr>
            <w:r>
              <w:rPr>
                <w:rFonts w:ascii="Calibri" w:hAnsi="Calibri"/>
                <w:b w:val="0"/>
                <w:sz w:val="20"/>
              </w:rPr>
              <w:t>FP-002</w:t>
            </w:r>
          </w:p>
        </w:tc>
        <w:tc>
          <w:tcPr>
            <w:tcW w:type="dxa" w:w="43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39 modül capability ledger; P0/P1, journey, source, dependency, owner ve evidence bağlarını kur.</w:t>
            </w:r>
          </w:p>
        </w:tc>
        <w:tc>
          <w:tcPr>
            <w:tcW w:type="dxa" w:w="4277"/>
            <w:vAlign w:val="center"/>
            <w:shd w:fill="F6F7F9"/>
            <w:tcMar>
              <w:top w:w="90" w:type="dxa"/>
              <w:bottom w:w="90" w:type="dxa"/>
              <w:left w:w="90" w:type="dxa"/>
              <w:right w:w="90" w:type="dxa"/>
            </w:tcMar>
          </w:tcPr>
          <w:p>
            <w:pPr>
              <w:widowControl/>
              <w:spacing w:after="40" w:line="247" w:lineRule="auto"/>
            </w:pPr>
            <w:r>
              <w:rPr>
                <w:rFonts w:ascii="Calibri" w:hAnsi="Calibri"/>
                <w:b w:val="0"/>
                <w:sz w:val="20"/>
              </w:rPr>
              <w:t>39 modülün tamamı kapsanır; Phase 2 iş atılmaz; duplicate backlog satırı iki sayılmaz.</w:t>
            </w:r>
          </w:p>
        </w:tc>
      </w:tr>
      <w:tr>
        <w:trPr>
          <w:cantSplit/>
        </w:trPr>
        <w:tc>
          <w:tcPr>
            <w:tcW w:type="dxa" w:w="1555"/>
            <w:vAlign w:val="center"/>
            <w:shd w:fill="FFFFFF"/>
            <w:tcMar>
              <w:top w:w="90" w:type="dxa"/>
              <w:bottom w:w="90" w:type="dxa"/>
              <w:left w:w="90" w:type="dxa"/>
              <w:right w:w="90" w:type="dxa"/>
            </w:tcMar>
          </w:tcPr>
          <w:p>
            <w:pPr>
              <w:widowControl/>
              <w:spacing w:after="40" w:line="247" w:lineRule="auto"/>
            </w:pPr>
            <w:r>
              <w:rPr>
                <w:rFonts w:ascii="Calibri" w:hAnsi="Calibri"/>
                <w:b w:val="0"/>
                <w:sz w:val="20"/>
              </w:rPr>
              <w:t>FP-003</w:t>
            </w:r>
          </w:p>
        </w:tc>
        <w:tc>
          <w:tcPr>
            <w:tcW w:type="dxa" w:w="43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D-STATE-01 ve DEC-DATA-01…08’i güncelle; closed-policy/document ile uygulama kararını ayır.</w:t>
            </w:r>
          </w:p>
        </w:tc>
        <w:tc>
          <w:tcPr>
            <w:tcW w:type="dxa" w:w="4277"/>
            <w:vAlign w:val="center"/>
            <w:shd w:fill="FFFFFF"/>
            <w:tcMar>
              <w:top w:w="90" w:type="dxa"/>
              <w:bottom w:w="90" w:type="dxa"/>
              <w:left w:w="90" w:type="dxa"/>
              <w:right w:w="90" w:type="dxa"/>
            </w:tcMar>
          </w:tcPr>
          <w:p>
            <w:pPr>
              <w:widowControl/>
              <w:spacing w:after="40" w:line="247" w:lineRule="auto"/>
            </w:pPr>
            <w:r>
              <w:rPr>
                <w:rFonts w:ascii="Calibri" w:hAnsi="Calibri"/>
                <w:b w:val="0"/>
                <w:sz w:val="20"/>
              </w:rPr>
              <w:t>Güncel açık delta ve referans; 372 eski KPI güncel kusur sayısı gibi tekrarlanmaz.</w:t>
            </w:r>
          </w:p>
        </w:tc>
      </w:tr>
      <w:tr>
        <w:trPr>
          <w:cantSplit/>
        </w:trPr>
        <w:tc>
          <w:tcPr>
            <w:tcW w:type="dxa" w:w="1555"/>
            <w:vAlign w:val="center"/>
            <w:shd w:fill="F6F7F9"/>
            <w:tcMar>
              <w:top w:w="90" w:type="dxa"/>
              <w:bottom w:w="90" w:type="dxa"/>
              <w:left w:w="90" w:type="dxa"/>
              <w:right w:w="90" w:type="dxa"/>
            </w:tcMar>
          </w:tcPr>
          <w:p>
            <w:pPr>
              <w:widowControl/>
              <w:spacing w:after="40" w:line="247" w:lineRule="auto"/>
            </w:pPr>
            <w:r>
              <w:rPr>
                <w:rFonts w:ascii="Calibri" w:hAnsi="Calibri"/>
                <w:b w:val="0"/>
                <w:sz w:val="20"/>
              </w:rPr>
              <w:t>FP-004A</w:t>
            </w:r>
          </w:p>
        </w:tc>
        <w:tc>
          <w:tcPr>
            <w:tcW w:type="dxa" w:w="43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Esra modül UAT sözleşmesi ve özel tarayıcı ortamı gereksinimini kur; erişim/izin bağımlılığını belirle.</w:t>
            </w:r>
          </w:p>
        </w:tc>
        <w:tc>
          <w:tcPr>
            <w:tcW w:type="dxa" w:w="4277"/>
            <w:vAlign w:val="center"/>
            <w:shd w:fill="F6F7F9"/>
            <w:tcMar>
              <w:top w:w="90" w:type="dxa"/>
              <w:bottom w:w="90" w:type="dxa"/>
              <w:left w:w="90" w:type="dxa"/>
              <w:right w:w="90" w:type="dxa"/>
            </w:tcMar>
          </w:tcPr>
          <w:p>
            <w:pPr>
              <w:widowControl/>
              <w:spacing w:after="40" w:line="247" w:lineRule="auto"/>
            </w:pPr>
            <w:r>
              <w:rPr>
                <w:rFonts w:ascii="Calibri" w:hAnsi="Calibri"/>
                <w:b w:val="0"/>
                <w:sz w:val="20"/>
              </w:rPr>
              <w:t>Sürüm, rol, veri, adım, expected, known issue, defect ve retest paketi; hazır URL iddiası yok.</w:t>
            </w:r>
          </w:p>
        </w:tc>
      </w:tr>
      <w:tr>
        <w:trPr>
          <w:cantSplit/>
        </w:trPr>
        <w:tc>
          <w:tcPr>
            <w:tcW w:type="dxa" w:w="1555"/>
            <w:vAlign w:val="center"/>
            <w:shd w:fill="FFFFFF"/>
            <w:tcMar>
              <w:top w:w="90" w:type="dxa"/>
              <w:bottom w:w="90" w:type="dxa"/>
              <w:left w:w="90" w:type="dxa"/>
              <w:right w:w="90" w:type="dxa"/>
            </w:tcMar>
          </w:tcPr>
          <w:p>
            <w:pPr>
              <w:widowControl/>
              <w:spacing w:after="40" w:line="247" w:lineRule="auto"/>
            </w:pPr>
            <w:r>
              <w:rPr>
                <w:rFonts w:ascii="Calibri" w:hAnsi="Calibri"/>
                <w:b w:val="0"/>
                <w:sz w:val="20"/>
              </w:rPr>
              <w:t>FP-004</w:t>
            </w:r>
          </w:p>
        </w:tc>
        <w:tc>
          <w:tcPr>
            <w:tcW w:type="dxa" w:w="43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On-prem/browser, IdP/session/key/store, tenant/asset/job, evidence ve cihaz tehdidi için ADR/threat model.</w:t>
            </w:r>
          </w:p>
        </w:tc>
        <w:tc>
          <w:tcPr>
            <w:tcW w:type="dxa" w:w="4277"/>
            <w:vAlign w:val="center"/>
            <w:shd w:fill="FFFFFF"/>
            <w:tcMar>
              <w:top w:w="90" w:type="dxa"/>
              <w:bottom w:w="90" w:type="dxa"/>
              <w:left w:w="90" w:type="dxa"/>
              <w:right w:w="90" w:type="dxa"/>
            </w:tcMar>
          </w:tcPr>
          <w:p>
            <w:pPr>
              <w:widowControl/>
              <w:spacing w:after="40" w:line="247" w:lineRule="auto"/>
            </w:pPr>
            <w:r>
              <w:rPr>
                <w:rFonts w:ascii="Calibri" w:hAnsi="Calibri"/>
                <w:b w:val="0"/>
                <w:sz w:val="20"/>
              </w:rPr>
              <w:t>Öncelikli teknik kararlar ve negatif test planı; secret veya gerçek müşteri verisi gerektirmeyen işler ilerler.</w:t>
            </w:r>
          </w:p>
        </w:tc>
      </w:tr>
      <w:tr>
        <w:trPr>
          <w:cantSplit/>
        </w:trPr>
        <w:tc>
          <w:tcPr>
            <w:tcW w:type="dxa" w:w="1555"/>
            <w:vAlign w:val="center"/>
            <w:shd w:fill="F6F7F9"/>
            <w:tcMar>
              <w:top w:w="90" w:type="dxa"/>
              <w:bottom w:w="90" w:type="dxa"/>
              <w:left w:w="90" w:type="dxa"/>
              <w:right w:w="90" w:type="dxa"/>
            </w:tcMar>
          </w:tcPr>
          <w:p>
            <w:pPr>
              <w:widowControl/>
              <w:spacing w:after="40" w:line="247" w:lineRule="auto"/>
            </w:pPr>
            <w:r>
              <w:rPr>
                <w:rFonts w:ascii="Calibri" w:hAnsi="Calibri"/>
                <w:b w:val="0"/>
                <w:sz w:val="20"/>
              </w:rPr>
              <w:t>9–15 Kasım</w:t>
              <w:br/>
              <w:t>FP-005</w:t>
            </w:r>
          </w:p>
        </w:tc>
        <w:tc>
          <w:tcPr>
            <w:tcW w:type="dxa" w:w="43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Vessel/certificate/crew/equipment/tugjob/WO için state, command, guard, actor, evidence, version ve offline matrisi.</w:t>
            </w:r>
          </w:p>
        </w:tc>
        <w:tc>
          <w:tcPr>
            <w:tcW w:type="dxa" w:w="4277"/>
            <w:vAlign w:val="center"/>
            <w:shd w:fill="F6F7F9"/>
            <w:tcMar>
              <w:top w:w="90" w:type="dxa"/>
              <w:bottom w:w="90" w:type="dxa"/>
              <w:left w:w="90" w:type="dxa"/>
              <w:right w:w="90" w:type="dxa"/>
            </w:tcMar>
          </w:tcPr>
          <w:p>
            <w:pPr>
              <w:widowControl/>
              <w:spacing w:after="40" w:line="247" w:lineRule="auto"/>
            </w:pPr>
            <w:r>
              <w:rPr>
                <w:rFonts w:ascii="Calibri" w:hAnsi="Calibri"/>
                <w:b w:val="0"/>
                <w:sz w:val="20"/>
              </w:rPr>
              <w:t>Uygulamaya hazır ilk sözleşmeler; kaynak çatışması ve uzman bekleyen satırlar görünür.</w:t>
            </w:r>
          </w:p>
        </w:tc>
      </w:tr>
      <w:tr>
        <w:trPr>
          <w:cantSplit/>
        </w:trPr>
        <w:tc>
          <w:tcPr>
            <w:tcW w:type="dxa" w:w="1555"/>
            <w:vAlign w:val="center"/>
            <w:shd w:fill="FFFFFF"/>
            <w:tcMar>
              <w:top w:w="90" w:type="dxa"/>
              <w:bottom w:w="90" w:type="dxa"/>
              <w:left w:w="90" w:type="dxa"/>
              <w:right w:w="90" w:type="dxa"/>
            </w:tcMar>
          </w:tcPr>
          <w:p>
            <w:pPr>
              <w:widowControl/>
              <w:spacing w:after="40" w:line="247" w:lineRule="auto"/>
            </w:pPr>
            <w:r>
              <w:rPr>
                <w:rFonts w:ascii="Calibri" w:hAnsi="Calibri"/>
                <w:b w:val="0"/>
                <w:sz w:val="20"/>
              </w:rPr>
              <w:t>FP-006</w:t>
            </w:r>
          </w:p>
        </w:tc>
        <w:tc>
          <w:tcPr>
            <w:tcW w:type="dxa" w:w="43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Shared UI shell, design token, TR/EN state/error/empty/offline/permission ve erişilebilir form standardı.</w:t>
            </w:r>
          </w:p>
        </w:tc>
        <w:tc>
          <w:tcPr>
            <w:tcW w:type="dxa" w:w="4277"/>
            <w:vAlign w:val="center"/>
            <w:shd w:fill="FFFFFF"/>
            <w:tcMar>
              <w:top w:w="90" w:type="dxa"/>
              <w:bottom w:w="90" w:type="dxa"/>
              <w:left w:w="90" w:type="dxa"/>
              <w:right w:w="90" w:type="dxa"/>
            </w:tcMar>
          </w:tcPr>
          <w:p>
            <w:pPr>
              <w:widowControl/>
              <w:spacing w:after="40" w:line="247" w:lineRule="auto"/>
            </w:pPr>
            <w:r>
              <w:rPr>
                <w:rFonts w:ascii="Calibri" w:hAnsi="Calibri"/>
                <w:b w:val="0"/>
                <w:sz w:val="20"/>
              </w:rPr>
              <w:t>Yeniden kullanılan bileşen ve test; mock ekran çoğaltımı başarı sayılmaz.</w:t>
            </w:r>
          </w:p>
        </w:tc>
      </w:tr>
      <w:tr>
        <w:trPr>
          <w:cantSplit/>
        </w:trPr>
        <w:tc>
          <w:tcPr>
            <w:tcW w:type="dxa" w:w="1555"/>
            <w:vAlign w:val="center"/>
            <w:shd w:fill="F6F7F9"/>
            <w:tcMar>
              <w:top w:w="90" w:type="dxa"/>
              <w:bottom w:w="90" w:type="dxa"/>
              <w:left w:w="90" w:type="dxa"/>
              <w:right w:w="90" w:type="dxa"/>
            </w:tcMar>
          </w:tcPr>
          <w:p>
            <w:pPr>
              <w:widowControl/>
              <w:spacing w:after="40" w:line="247" w:lineRule="auto"/>
            </w:pPr>
            <w:r>
              <w:rPr>
                <w:rFonts w:ascii="Calibri" w:hAnsi="Calibri"/>
                <w:b w:val="0"/>
                <w:sz w:val="20"/>
              </w:rPr>
              <w:t>FP-007</w:t>
            </w:r>
          </w:p>
        </w:tc>
        <w:tc>
          <w:tcPr>
            <w:tcW w:type="dxa" w:w="43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Yetkili test ortamında native HTTPS/proxy ve test IdP ile BFF key/store/session spike.</w:t>
            </w:r>
          </w:p>
        </w:tc>
        <w:tc>
          <w:tcPr>
            <w:tcW w:type="dxa" w:w="4277"/>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Gerçek redirect/browser log’u veya eksik input/environment için tam blocked kaydı; TestServer’dan ayrı kanıt.</w:t>
            </w:r>
          </w:p>
        </w:tc>
      </w:tr>
      <w:tr>
        <w:trPr>
          <w:cantSplit/>
        </w:trPr>
        <w:tc>
          <w:tcPr>
            <w:tcW w:type="dxa" w:w="1555"/>
            <w:vAlign w:val="center"/>
            <w:shd w:fill="FFFFFF"/>
            <w:tcMar>
              <w:top w:w="90" w:type="dxa"/>
              <w:bottom w:w="90" w:type="dxa"/>
              <w:left w:w="90" w:type="dxa"/>
              <w:right w:w="90" w:type="dxa"/>
            </w:tcMar>
          </w:tcPr>
          <w:p>
            <w:pPr>
              <w:widowControl/>
              <w:spacing w:after="40" w:line="247" w:lineRule="auto"/>
            </w:pPr>
            <w:r>
              <w:rPr>
                <w:rFonts w:ascii="Calibri" w:hAnsi="Calibri"/>
                <w:b w:val="0"/>
                <w:sz w:val="20"/>
              </w:rPr>
              <w:t>16–22 Kasım</w:t>
              <w:br/>
              <w:t>FP-008</w:t>
            </w:r>
          </w:p>
        </w:tc>
        <w:tc>
          <w:tcPr>
            <w:tcW w:type="dxa" w:w="43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IndexedDB/kalıcı kuyrukla ship log veya tug draft dikey dilimi; command ID/version/idempotency/conflict/user switch.</w:t>
            </w:r>
          </w:p>
        </w:tc>
        <w:tc>
          <w:tcPr>
            <w:tcW w:type="dxa" w:w="4277"/>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Restart, disconnect, double submit ve iki istemci conflict testleri; tüm üründe offline tamam iddiası yok.</w:t>
            </w:r>
          </w:p>
        </w:tc>
      </w:tr>
      <w:tr>
        <w:trPr>
          <w:cantSplit/>
        </w:trPr>
        <w:tc>
          <w:tcPr>
            <w:tcW w:type="dxa" w:w="1555"/>
            <w:vAlign w:val="center"/>
            <w:shd w:fill="F6F7F9"/>
            <w:tcMar>
              <w:top w:w="90" w:type="dxa"/>
              <w:bottom w:w="90" w:type="dxa"/>
              <w:left w:w="90" w:type="dxa"/>
              <w:right w:w="90" w:type="dxa"/>
            </w:tcMar>
          </w:tcPr>
          <w:p>
            <w:pPr>
              <w:widowControl/>
              <w:spacing w:after="40" w:line="247" w:lineRule="auto"/>
            </w:pPr>
            <w:r>
              <w:rPr>
                <w:rFonts w:ascii="Calibri" w:hAnsi="Calibri"/>
                <w:b w:val="0"/>
                <w:sz w:val="20"/>
              </w:rPr>
              <w:t>FP-009</w:t>
            </w:r>
          </w:p>
        </w:tc>
        <w:tc>
          <w:tcPr>
            <w:tcW w:type="dxa" w:w="43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Evidence upload/checksum/audit/verifier; type/size, scan-pending, retry ve yarım upload davranışı.</w:t>
            </w:r>
          </w:p>
        </w:tc>
        <w:tc>
          <w:tcPr>
            <w:tcW w:type="dxa" w:w="4277"/>
            <w:vAlign w:val="center"/>
            <w:shd w:fill="F6F7F9"/>
            <w:tcMar>
              <w:top w:w="90" w:type="dxa"/>
              <w:bottom w:w="90" w:type="dxa"/>
              <w:left w:w="90" w:type="dxa"/>
              <w:right w:w="90" w:type="dxa"/>
            </w:tcMar>
          </w:tcPr>
          <w:p>
            <w:pPr>
              <w:widowControl/>
              <w:spacing w:after="40" w:line="247" w:lineRule="auto"/>
            </w:pPr>
            <w:r>
              <w:rPr>
                <w:rFonts w:ascii="Calibri" w:hAnsi="Calibri"/>
                <w:b w:val="0"/>
                <w:sz w:val="20"/>
              </w:rPr>
              <w:t>Dosya/DB tutarlılığı ve unauthorized access negatif testleri.</w:t>
            </w:r>
          </w:p>
        </w:tc>
      </w:tr>
      <w:tr>
        <w:trPr>
          <w:cantSplit/>
        </w:trPr>
        <w:tc>
          <w:tcPr>
            <w:tcW w:type="dxa" w:w="1555"/>
            <w:vAlign w:val="center"/>
            <w:shd w:fill="FFFFFF"/>
            <w:tcMar>
              <w:top w:w="90" w:type="dxa"/>
              <w:bottom w:w="90" w:type="dxa"/>
              <w:left w:w="90" w:type="dxa"/>
              <w:right w:w="90" w:type="dxa"/>
            </w:tcMar>
          </w:tcPr>
          <w:p>
            <w:pPr>
              <w:widowControl/>
              <w:spacing w:after="40" w:line="247" w:lineRule="auto"/>
            </w:pPr>
            <w:r>
              <w:rPr>
                <w:rFonts w:ascii="Calibri" w:hAnsi="Calibri"/>
                <w:b w:val="0"/>
                <w:sz w:val="20"/>
              </w:rPr>
              <w:t>FP-010</w:t>
            </w:r>
          </w:p>
        </w:tc>
        <w:tc>
          <w:tcPr>
            <w:tcW w:type="dxa" w:w="43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Regulatory corpus ve aday profil envanteri; ship/tug/flag/class, kaynak ve reviewer ihtiyacı.</w:t>
            </w:r>
          </w:p>
        </w:tc>
        <w:tc>
          <w:tcPr>
            <w:tcW w:type="dxa" w:w="4277"/>
            <w:vAlign w:val="center"/>
            <w:shd w:fill="FFFFFF"/>
            <w:tcMar>
              <w:top w:w="90" w:type="dxa"/>
              <w:bottom w:w="90" w:type="dxa"/>
              <w:left w:w="90" w:type="dxa"/>
              <w:right w:w="90" w:type="dxa"/>
            </w:tcMar>
          </w:tcPr>
          <w:p>
            <w:pPr>
              <w:widowControl/>
              <w:spacing w:after="40" w:line="247" w:lineRule="auto"/>
            </w:pPr>
            <w:r>
              <w:rPr>
                <w:rFonts w:ascii="Calibri" w:hAnsi="Calibri"/>
                <w:b w:val="0"/>
                <w:sz w:val="20"/>
              </w:rPr>
              <w:t>Authoritative/metadata/triage ayrılmış doğrulama planı ve golden case’ler; 128 kaynak hukuki onay sayılmaz.</w:t>
            </w:r>
          </w:p>
        </w:tc>
      </w:tr>
      <w:tr>
        <w:trPr>
          <w:cantSplit/>
        </w:trPr>
        <w:tc>
          <w:tcPr>
            <w:tcW w:type="dxa" w:w="1555"/>
            <w:vAlign w:val="center"/>
            <w:shd w:fill="F6F7F9"/>
            <w:tcMar>
              <w:top w:w="90" w:type="dxa"/>
              <w:bottom w:w="90" w:type="dxa"/>
              <w:left w:w="90" w:type="dxa"/>
              <w:right w:w="90" w:type="dxa"/>
            </w:tcMar>
          </w:tcPr>
          <w:p>
            <w:pPr>
              <w:widowControl/>
              <w:spacing w:after="40" w:line="247" w:lineRule="auto"/>
            </w:pPr>
            <w:r>
              <w:rPr>
                <w:rFonts w:ascii="Calibri" w:hAnsi="Calibri"/>
                <w:b w:val="0"/>
                <w:sz w:val="20"/>
              </w:rPr>
              <w:t>23–29 Kasım</w:t>
              <w:br/>
              <w:t>FP-011</w:t>
            </w:r>
          </w:p>
        </w:tc>
        <w:tc>
          <w:tcPr>
            <w:tcW w:type="dxa" w:w="43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Crew/cert/PMS facts → readiness/Why → yetkili insan kararı; sentetik ship+tug örnekleri.</w:t>
            </w:r>
          </w:p>
        </w:tc>
        <w:tc>
          <w:tcPr>
            <w:tcW w:type="dxa" w:w="4277"/>
            <w:vAlign w:val="center"/>
            <w:shd w:fill="F6F7F9"/>
            <w:tcMar>
              <w:top w:w="90" w:type="dxa"/>
              <w:bottom w:w="90" w:type="dxa"/>
              <w:left w:w="90" w:type="dxa"/>
              <w:right w:w="90" w:type="dxa"/>
            </w:tcMar>
          </w:tcPr>
          <w:p>
            <w:pPr>
              <w:widowControl/>
              <w:spacing w:after="40" w:line="247" w:lineRule="auto"/>
            </w:pPr>
            <w:r>
              <w:rPr>
                <w:rFonts w:ascii="Calibri" w:hAnsi="Calibri"/>
                <w:b w:val="0"/>
                <w:sz w:val="20"/>
              </w:rPr>
              <w:t>Expired/unverified/missing/critical defect/future rule/shore bypass testleri; uzman yerine safety onayı yok.</w:t>
            </w:r>
          </w:p>
        </w:tc>
      </w:tr>
      <w:tr>
        <w:trPr>
          <w:cantSplit/>
        </w:trPr>
        <w:tc>
          <w:tcPr>
            <w:tcW w:type="dxa" w:w="1555"/>
            <w:vAlign w:val="center"/>
            <w:shd w:fill="FFFFFF"/>
            <w:tcMar>
              <w:top w:w="90" w:type="dxa"/>
              <w:bottom w:w="90" w:type="dxa"/>
              <w:left w:w="90" w:type="dxa"/>
              <w:right w:w="90" w:type="dxa"/>
            </w:tcMar>
          </w:tcPr>
          <w:p>
            <w:pPr>
              <w:widowControl/>
              <w:spacing w:after="40" w:line="247" w:lineRule="auto"/>
            </w:pPr>
            <w:r>
              <w:rPr>
                <w:rFonts w:ascii="Calibri" w:hAnsi="Calibri"/>
                <w:b w:val="0"/>
                <w:sz w:val="20"/>
              </w:rPr>
              <w:t>FP-012A</w:t>
            </w:r>
          </w:p>
        </w:tc>
        <w:tc>
          <w:tcPr>
            <w:tcW w:type="dxa" w:w="4392"/>
            <w:vAlign w:val="center"/>
            <w:shd w:fill="FFFFFF"/>
            <w:tcMar>
              <w:top w:w="90" w:type="dxa"/>
              <w:bottom w:w="90" w:type="dxa"/>
              <w:left w:w="90" w:type="dxa"/>
              <w:right w:w="90" w:type="dxa"/>
            </w:tcMar>
          </w:tcPr>
          <w:p>
            <w:pPr>
              <w:widowControl/>
              <w:spacing w:after="40" w:line="247" w:lineRule="auto"/>
            </w:pPr>
            <w:r>
              <w:rPr>
                <w:rFonts w:ascii="Calibri" w:hAnsi="Calibri"/>
                <w:b w:val="0"/>
                <w:sz w:val="20"/>
              </w:rPr>
              <w:t>Yazılımcı self-service devir ve ilk teknik review; varsa erken kaptan/çarkçı intake.</w:t>
            </w:r>
          </w:p>
        </w:tc>
        <w:tc>
          <w:tcPr>
            <w:tcW w:type="dxa" w:w="4277"/>
            <w:vAlign w:val="center"/>
            <w:shd w:fill="FFFFFF"/>
            <w:tcMar>
              <w:top w:w="90" w:type="dxa"/>
              <w:bottom w:w="90" w:type="dxa"/>
              <w:left w:w="90" w:type="dxa"/>
              <w:right w:w="90" w:type="dxa"/>
            </w:tcMar>
          </w:tcPr>
          <w:p>
            <w:pPr>
              <w:widowControl/>
              <w:spacing w:after="40" w:line="247" w:lineRule="auto"/>
            </w:pPr>
            <w:r>
              <w:rPr>
                <w:rFonts w:ascii="Calibri" w:hAnsi="Calibri"/>
                <w:b w:val="0"/>
                <w:sz w:val="20"/>
              </w:rPr>
              <w:t>Kurulum/test tekrar üretimi, kritik mimari bulgular; UNKNOWN profil temsili saha kanıtına dönüşmez.</w:t>
            </w:r>
          </w:p>
        </w:tc>
      </w:tr>
      <w:tr>
        <w:trPr>
          <w:cantSplit/>
        </w:trPr>
        <w:tc>
          <w:tcPr>
            <w:tcW w:type="dxa" w:w="1555"/>
            <w:vAlign w:val="center"/>
            <w:shd w:fill="F6F7F9"/>
            <w:tcMar>
              <w:top w:w="90" w:type="dxa"/>
              <w:bottom w:w="90" w:type="dxa"/>
              <w:left w:w="90" w:type="dxa"/>
              <w:right w:w="90" w:type="dxa"/>
            </w:tcMar>
          </w:tcPr>
          <w:p>
            <w:pPr>
              <w:widowControl/>
              <w:spacing w:after="40" w:line="247" w:lineRule="auto"/>
            </w:pPr>
            <w:r>
              <w:rPr>
                <w:rFonts w:ascii="Calibri" w:hAnsi="Calibri"/>
                <w:b w:val="0"/>
                <w:sz w:val="20"/>
              </w:rPr>
              <w:t>FP-012</w:t>
            </w:r>
          </w:p>
        </w:tc>
        <w:tc>
          <w:tcPr>
            <w:tcW w:type="dxa" w:w="4392"/>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Gerçek çevrim, yeniden işleme, bloke süre, kapasite ve dış bağımlılıkla ilk forecast.</w:t>
            </w:r>
          </w:p>
        </w:tc>
        <w:tc>
          <w:tcPr>
            <w:tcW w:type="dxa" w:w="4277"/>
            <w:vAlign w:val="center"/>
            <w:shd w:fill="F6F7F9"/>
            <w:tcMar>
              <w:top w:w="90" w:type="dxa"/>
              <w:bottom w:w="90" w:type="dxa"/>
              <w:left w:w="90" w:type="dxa"/>
              <w:right w:w="90" w:type="dxa"/>
            </w:tcMar>
          </w:tcPr>
          <w:p>
            <w:pPr>
              <w:widowControl/>
              <w:spacing w:after="40" w:line="247" w:lineRule="auto"/>
            </w:pPr>
            <w:r>
              <w:rPr>
                <w:rFonts w:ascii="Calibri" w:hAnsi="Calibri"/>
                <w:b w:val="0"/>
                <w:sz w:val="20"/>
              </w:rPr>
              <w:t>Q3 koşulları ve Q4 çalışma hedefi yeniden değerlendirilir; tamamlanma yüzdesi uydurulmaz.</w:t>
            </w:r>
          </w:p>
        </w:tc>
      </w:tr>
    </w:tbl>
    <w:p>
      <w:pPr>
        <w:widowControl/>
        <w:spacing w:line="240" w:lineRule="auto" w:after="80"/>
      </w:pPr>
      <w:r>
        <w:rPr>
          <w:sz w:val="2"/>
        </w:rPr>
        <w:t xml:space="preserve"> </w:t>
      </w:r>
    </w:p>
    <w:p>
      <w:pPr>
        <w:widowControl/>
      </w:pPr>
      <w:r>
        <w:t>İlk haftanın planlama çıktısı eski backlog’un yerine kanıtsız yeni “tamamlandı” listesi koymaz. Geçmiş durum, yeni durum, neden, kaynak ve tarih korunur. Ürün defteri, karar günlüğü ve evidence defteri birbirine bağlanır; aynı bilginin farklı belgelerde kopyalanması azaltılır.</w:t>
      </w:r>
    </w:p>
    <w:p>
      <w:pPr>
        <w:pStyle w:val="Heading1"/>
        <w:widowControl/>
      </w:pPr>
      <w:r>
        <w:t>11 Test katılımcısı için kısa intake şablonu</w:t>
      </w:r>
    </w:p>
    <w:p>
      <w:pPr>
        <w:keepNext/>
        <w:widowControl/>
      </w:pPr>
      <w:r>
        <w:t>Bu kayıt pilot dışı erken rol testini düzenler. Kişisel veri gerekmez; gerçek kişi iletişim bilgisi veya credential burada tutulmaz. Bilinmeyen bilgi UNKNOWN yazılabilir. Katılım, müsaitlik ve veri izni ayrıca teyit edilmeden kesin test kaynağı sayılmaz.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shd w:fill="E8EDF2"/>
            <w:tcMar>
              <w:top w:w="90" w:type="dxa"/>
              <w:bottom w:w="90" w:type="dxa"/>
              <w:left w:w="90" w:type="dxa"/>
              <w:right w:w="90" w:type="dxa"/>
            </w:tcMar>
          </w:tcPr>
          <w:p>
            <w:pPr>
              <w:keepNext/>
              <w:widowControl/>
              <w:spacing w:after="40" w:line="247" w:lineRule="auto"/>
            </w:pPr>
            <w:r>
              <w:rPr>
                <w:rFonts w:ascii="Calibri" w:hAnsi="Calibri"/>
                <w:b/>
                <w:sz w:val="20"/>
              </w:rPr>
              <w:t>Alan</w:t>
            </w:r>
          </w:p>
        </w:tc>
        <w:tc>
          <w:tcPr>
            <w:tcW w:type="dxa" w:w="7848"/>
            <w:vAlign w:val="center"/>
            <w:shd w:fill="E8EDF2"/>
            <w:tcMar>
              <w:top w:w="90" w:type="dxa"/>
              <w:bottom w:w="90" w:type="dxa"/>
              <w:left w:w="90" w:type="dxa"/>
              <w:right w:w="90" w:type="dxa"/>
            </w:tcMar>
          </w:tcPr>
          <w:p>
            <w:pPr>
              <w:keepNext/>
              <w:widowControl/>
              <w:spacing w:after="40" w:line="247" w:lineRule="auto"/>
            </w:pPr>
            <w:r>
              <w:rPr>
                <w:rFonts w:ascii="Calibri" w:hAnsi="Calibri"/>
                <w:b/>
                <w:sz w:val="20"/>
              </w:rPr>
              <w:t>Yanıt</w:t>
            </w:r>
          </w:p>
        </w:tc>
      </w:tr>
      <w:tr>
        <w:trPr>
          <w:cantSplit/>
        </w:trPr>
        <w:tc>
          <w:tcPr>
            <w:tcW w:type="dxa" w:w="2376"/>
            <w:vAlign w:val="center"/>
            <w:shd w:fill="FFFFFF"/>
            <w:tcMar>
              <w:top w:w="90" w:type="dxa"/>
              <w:bottom w:w="90" w:type="dxa"/>
              <w:left w:w="90" w:type="dxa"/>
              <w:right w:w="90" w:type="dxa"/>
            </w:tcMar>
          </w:tcPr>
          <w:p>
            <w:pPr>
              <w:keepNext/>
              <w:widowControl/>
              <w:spacing w:after="40" w:line="247" w:lineRule="auto"/>
            </w:pPr>
            <w:r>
              <w:rPr>
                <w:rFonts w:ascii="Calibri" w:hAnsi="Calibri"/>
                <w:b w:val="0"/>
                <w:sz w:val="20"/>
              </w:rPr>
              <w:t>Rol ve deneyim alanı</w:t>
            </w:r>
          </w:p>
        </w:tc>
        <w:tc>
          <w:tcPr>
            <w:tcW w:type="dxa" w:w="7848"/>
            <w:vAlign w:val="center"/>
            <w:shd w:fill="FFFFFF"/>
            <w:tcMar>
              <w:top w:w="90" w:type="dxa"/>
              <w:bottom w:w="90" w:type="dxa"/>
              <w:left w:w="90" w:type="dxa"/>
              <w:right w:w="90" w:type="dxa"/>
            </w:tcMar>
          </w:tcPr>
          <w:p>
            <w:pPr>
              <w:keepNext/>
              <w:widowControl/>
              <w:spacing w:after="40" w:line="247" w:lineRule="auto"/>
            </w:pPr>
            <w:r>
              <w:rPr>
                <w:rFonts w:ascii="Calibri" w:hAnsi="Calibri"/>
                <w:b w:val="0"/>
                <w:sz w:val="20"/>
              </w:rPr>
              <w:t>Kaptan / Tug Master / çarkçı / teknik / crewing / diğer rol: ____________________</w:t>
              <w:br/>
              <w:t>İlgili görev deneyimi: ____________________</w:t>
            </w:r>
          </w:p>
        </w:tc>
      </w:tr>
      <w:tr>
        <w:trPr>
          <w:cantSplit/>
        </w:trPr>
        <w:tc>
          <w:tcPr>
            <w:tcW w:type="dxa" w:w="2376"/>
            <w:vAlign w:val="center"/>
            <w:shd w:fill="F6F7F9"/>
            <w:tcMar>
              <w:top w:w="90" w:type="dxa"/>
              <w:bottom w:w="90" w:type="dxa"/>
              <w:left w:w="90" w:type="dxa"/>
              <w:right w:w="90" w:type="dxa"/>
            </w:tcMar>
          </w:tcPr>
          <w:p>
            <w:pPr>
              <w:keepNext/>
              <w:widowControl/>
              <w:spacing w:after="40" w:line="247" w:lineRule="auto"/>
            </w:pPr>
            <w:r>
              <w:rPr>
                <w:rFonts w:ascii="Calibri" w:hAnsi="Calibri"/>
                <w:b w:val="0"/>
                <w:sz w:val="20"/>
              </w:rPr>
              <w:t>Gemi veya römorkör profili</w:t>
            </w:r>
          </w:p>
        </w:tc>
        <w:tc>
          <w:tcPr>
            <w:tcW w:type="dxa" w:w="7848"/>
            <w:vAlign w:val="center"/>
            <w:shd w:fill="F6F7F9"/>
            <w:tcMar>
              <w:top w:w="90" w:type="dxa"/>
              <w:bottom w:w="90" w:type="dxa"/>
              <w:left w:w="90" w:type="dxa"/>
              <w:right w:w="90" w:type="dxa"/>
            </w:tcMar>
          </w:tcPr>
          <w:p>
            <w:pPr>
              <w:keepNext/>
              <w:widowControl/>
              <w:spacing w:after="40" w:line="247" w:lineRule="auto"/>
            </w:pPr>
            <w:r>
              <w:rPr>
                <w:rFonts w:ascii="Calibri" w:hAnsi="Calibri"/>
                <w:b w:val="0"/>
                <w:sz w:val="20"/>
              </w:rPr>
              <w:t>Gemi/römorkör tipi veya UNKNOWN: ____________________</w:t>
              <w:br/>
              <w:t>Gerekliyse flag/class/GT/operasyon profili veya UNKNOWN: ____________________</w:t>
            </w:r>
          </w:p>
        </w:tc>
      </w:tr>
      <w:tr>
        <w:trPr>
          <w:cantSplit/>
        </w:trPr>
        <w:tc>
          <w:tcPr>
            <w:tcW w:type="dxa" w:w="2376"/>
            <w:vAlign w:val="center"/>
            <w:shd w:fill="FFFFFF"/>
            <w:tcMar>
              <w:top w:w="90" w:type="dxa"/>
              <w:bottom w:w="90" w:type="dxa"/>
              <w:left w:w="90" w:type="dxa"/>
              <w:right w:w="90" w:type="dxa"/>
            </w:tcMar>
          </w:tcPr>
          <w:p>
            <w:pPr>
              <w:keepNext/>
              <w:widowControl/>
              <w:spacing w:after="40" w:line="247" w:lineRule="auto"/>
            </w:pPr>
            <w:r>
              <w:rPr>
                <w:rFonts w:ascii="Calibri" w:hAnsi="Calibri"/>
                <w:b w:val="0"/>
                <w:sz w:val="20"/>
              </w:rPr>
              <w:t>Öncelikli görevler</w:t>
            </w:r>
          </w:p>
        </w:tc>
        <w:tc>
          <w:tcPr>
            <w:tcW w:type="dxa" w:w="7848"/>
            <w:vAlign w:val="center"/>
            <w:shd w:fill="FFFFFF"/>
            <w:tcMar>
              <w:top w:w="90" w:type="dxa"/>
              <w:bottom w:w="90" w:type="dxa"/>
              <w:left w:w="90" w:type="dxa"/>
              <w:right w:w="90" w:type="dxa"/>
            </w:tcMar>
          </w:tcPr>
          <w:p>
            <w:pPr>
              <w:keepNext/>
              <w:widowControl/>
              <w:spacing w:after="40" w:line="247" w:lineRule="auto"/>
            </w:pPr>
            <w:r>
              <w:rPr>
                <w:rFonts w:ascii="Calibri" w:hAnsi="Calibri"/>
                <w:b w:val="0"/>
                <w:sz w:val="20"/>
              </w:rPr>
              <w:t>Test edilecek modül ve 3–5 görev: ____________________</w:t>
            </w:r>
          </w:p>
        </w:tc>
      </w:tr>
      <w:tr>
        <w:trPr>
          <w:cantSplit/>
        </w:trPr>
        <w:tc>
          <w:tcPr>
            <w:tcW w:type="dxa" w:w="2376"/>
            <w:vAlign w:val="center"/>
            <w:shd w:fill="F6F7F9"/>
            <w:tcMar>
              <w:top w:w="90" w:type="dxa"/>
              <w:bottom w:w="90" w:type="dxa"/>
              <w:left w:w="90" w:type="dxa"/>
              <w:right w:w="90" w:type="dxa"/>
            </w:tcMar>
          </w:tcPr>
          <w:p>
            <w:pPr>
              <w:keepNext/>
              <w:widowControl/>
              <w:spacing w:after="40" w:line="247" w:lineRule="auto"/>
            </w:pPr>
            <w:r>
              <w:rPr>
                <w:rFonts w:ascii="Calibri" w:hAnsi="Calibri"/>
                <w:b w:val="0"/>
                <w:sz w:val="20"/>
              </w:rPr>
              <w:t>Cihaz ve bağlantı</w:t>
            </w:r>
          </w:p>
        </w:tc>
        <w:tc>
          <w:tcPr>
            <w:tcW w:type="dxa" w:w="7848"/>
            <w:vAlign w:val="center"/>
            <w:shd w:fill="F6F7F9"/>
            <w:tcMar>
              <w:top w:w="90" w:type="dxa"/>
              <w:bottom w:w="90" w:type="dxa"/>
              <w:left w:w="90" w:type="dxa"/>
              <w:right w:w="90" w:type="dxa"/>
            </w:tcMar>
          </w:tcPr>
          <w:p>
            <w:pPr>
              <w:keepNext/>
              <w:widowControl/>
              <w:spacing w:after="40" w:line="247" w:lineRule="auto"/>
            </w:pPr>
            <w:r>
              <w:rPr>
                <w:rFonts w:ascii="Calibri" w:hAnsi="Calibri"/>
                <w:b w:val="0"/>
                <w:sz w:val="20"/>
              </w:rPr>
              <w:t>Cihaz/tarayıcı: ____________________  WAN: ____________________</w:t>
              <w:br/>
              <w:t>LAN ve yerel sunucu erişimi: ____________________  Gerçek offline ihtiyacı: ____________________</w:t>
            </w:r>
          </w:p>
        </w:tc>
      </w:tr>
      <w:tr>
        <w:trPr>
          <w:cantSplit/>
        </w:trPr>
        <w:tc>
          <w:tcPr>
            <w:tcW w:type="dxa" w:w="2376"/>
            <w:vAlign w:val="center"/>
            <w:shd w:fill="FFFFFF"/>
            <w:tcMar>
              <w:top w:w="90" w:type="dxa"/>
              <w:bottom w:w="90" w:type="dxa"/>
              <w:left w:w="90" w:type="dxa"/>
              <w:right w:w="90" w:type="dxa"/>
            </w:tcMar>
          </w:tcPr>
          <w:p>
            <w:pPr>
              <w:keepNext/>
              <w:widowControl/>
              <w:spacing w:after="40" w:line="247" w:lineRule="auto"/>
            </w:pPr>
            <w:r>
              <w:rPr>
                <w:rFonts w:ascii="Calibri" w:hAnsi="Calibri"/>
                <w:b w:val="0"/>
                <w:sz w:val="20"/>
              </w:rPr>
              <w:t>Dil ve uygunluk</w:t>
            </w:r>
          </w:p>
        </w:tc>
        <w:tc>
          <w:tcPr>
            <w:tcW w:type="dxa" w:w="7848"/>
            <w:vAlign w:val="center"/>
            <w:shd w:fill="FFFFFF"/>
            <w:tcMar>
              <w:top w:w="90" w:type="dxa"/>
              <w:bottom w:w="90" w:type="dxa"/>
              <w:left w:w="90" w:type="dxa"/>
              <w:right w:w="90" w:type="dxa"/>
            </w:tcMar>
          </w:tcPr>
          <w:p>
            <w:pPr>
              <w:keepNext/>
              <w:widowControl/>
              <w:spacing w:after="40" w:line="247" w:lineRule="auto"/>
            </w:pPr>
            <w:r>
              <w:rPr>
                <w:rFonts w:ascii="Calibri" w:hAnsi="Calibri"/>
                <w:b w:val="0"/>
                <w:sz w:val="20"/>
              </w:rPr>
              <w:t>TR / EN / ikisi: ____________________</w:t>
              <w:br/>
              <w:t>Müsait zaman aralığı ve test süresi: ____________________</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Veri ve kabul sınırı</w:t>
            </w:r>
          </w:p>
        </w:tc>
        <w:tc>
          <w:tcPr>
            <w:tcW w:type="dxa" w:w="7848"/>
            <w:vAlign w:val="center"/>
            <w:shd w:fill="F6F7F9"/>
            <w:tcMar>
              <w:top w:w="90" w:type="dxa"/>
              <w:bottom w:w="90" w:type="dxa"/>
              <w:left w:w="90" w:type="dxa"/>
              <w:right w:w="90" w:type="dxa"/>
            </w:tcMar>
          </w:tcPr>
          <w:p>
            <w:pPr>
              <w:widowControl/>
              <w:spacing w:after="40" w:line="247" w:lineRule="auto"/>
            </w:pPr>
            <w:r>
              <w:rPr>
                <w:rFonts w:ascii="Calibri" w:hAnsi="Calibri"/>
                <w:b w:val="0"/>
                <w:sz w:val="20"/>
              </w:rPr>
              <w:t>Sentetik veya izinli veri: ____________________</w:t>
              <w:br/>
              <w:t>Gözlem kaydı izni ve test kapsamı: ____________________</w:t>
            </w:r>
          </w:p>
        </w:tc>
      </w:tr>
    </w:tbl>
    <w:p>
      <w:pPr>
        <w:widowControl/>
        <w:spacing w:line="240" w:lineRule="auto" w:after="80"/>
      </w:pPr>
      <w:r>
        <w:rPr>
          <w:sz w:val="2"/>
        </w:rPr>
        <w:t xml:space="preserve"> </w:t>
      </w:r>
    </w:p>
    <w:p>
      <w:pPr>
        <w:pStyle w:val="Heading1"/>
        <w:widowControl/>
      </w:pPr>
      <w:r>
        <w:t>12 Farklılaşma hipotezleri ve ölçüm</w:t>
      </w:r>
    </w:p>
    <w:p>
      <w:pPr>
        <w:widowControl/>
      </w:pPr>
      <w:r>
        <w:t>Modern web arayüzü, entegre PMS/HSQE/crew, dashboard, offline ve on-prem tek başına benzersizlik değildir. DNV, ABS Wavesight, SERTICA, Helm ve MariApps resmî ürün sayfaları bu alanlarda geniş kabiliyetler tarif eder. Bunlar üretici beyanıdır; bağımsız kalite kanıtı değildir. Bir özelliğin sitede yazmaması rakipte bulunmadığını göstermez. [X01–X08]</w:t>
      </w:r>
    </w:p>
    <w:p>
      <w:pPr>
        <w:widowControl/>
      </w:pPr>
      <w:r>
        <w:t>POSEIDON’un değer iddiası seçilen gemi ve römorkör segmentinde ölçülen iş tamamlama, açıklanabilir karar ve güvenilir işletim sonuçlarıyla sınanmalıdır. Aşağıdaki sayılar önerilen deney hedefleridir; başarılmış sonuç veya piyasa benchmark’ı değildir. Zorunlu ürün ve pilot kapılarına eklenir, onları düşürmez.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104"/>
        <w:gridCol w:w="4032"/>
      </w:tblGrid>
      <w:tr>
        <w:trPr>
          <w:cantSplit/>
          <w:tblHeader/>
        </w:trPr>
        <w:tc>
          <w:tcPr>
            <w:tcW w:type="dxa" w:w="2088"/>
            <w:vAlign w:val="center"/>
            <w:shd w:fill="E8EDF2"/>
            <w:tcMar>
              <w:top w:w="90" w:type="dxa"/>
              <w:bottom w:w="90" w:type="dxa"/>
              <w:left w:w="90" w:type="dxa"/>
              <w:right w:w="90" w:type="dxa"/>
            </w:tcMar>
          </w:tcPr>
          <w:p>
            <w:pPr>
              <w:widowControl/>
              <w:spacing w:after="40" w:line="247" w:lineRule="auto"/>
            </w:pPr>
            <w:r>
              <w:rPr>
                <w:rFonts w:ascii="Calibri" w:hAnsi="Calibri"/>
                <w:b/>
                <w:sz w:val="20"/>
              </w:rPr>
              <w:t>Hipotez</w:t>
            </w:r>
          </w:p>
        </w:tc>
        <w:tc>
          <w:tcPr>
            <w:tcW w:type="dxa" w:w="4104"/>
            <w:vAlign w:val="center"/>
            <w:shd w:fill="E8EDF2"/>
            <w:tcMar>
              <w:top w:w="90" w:type="dxa"/>
              <w:bottom w:w="90" w:type="dxa"/>
              <w:left w:w="90" w:type="dxa"/>
              <w:right w:w="90" w:type="dxa"/>
            </w:tcMar>
          </w:tcPr>
          <w:p>
            <w:pPr>
              <w:widowControl/>
              <w:spacing w:after="40" w:line="247" w:lineRule="auto"/>
            </w:pPr>
            <w:r>
              <w:rPr>
                <w:rFonts w:ascii="Calibri" w:hAnsi="Calibri"/>
                <w:b/>
                <w:sz w:val="20"/>
              </w:rPr>
              <w:t>Ölçüm tasarımı</w:t>
            </w:r>
          </w:p>
        </w:tc>
        <w:tc>
          <w:tcPr>
            <w:tcW w:type="dxa" w:w="4032"/>
            <w:vAlign w:val="center"/>
            <w:shd w:fill="E8EDF2"/>
            <w:tcMar>
              <w:top w:w="90" w:type="dxa"/>
              <w:bottom w:w="90" w:type="dxa"/>
              <w:left w:w="90" w:type="dxa"/>
              <w:right w:w="90" w:type="dxa"/>
            </w:tcMar>
          </w:tcPr>
          <w:p>
            <w:pPr>
              <w:widowControl/>
              <w:spacing w:after="40" w:line="247" w:lineRule="auto"/>
            </w:pPr>
            <w:r>
              <w:rPr>
                <w:rFonts w:ascii="Calibri" w:hAnsi="Calibri"/>
                <w:b/>
                <w:sz w:val="20"/>
              </w:rPr>
              <w:t>Önerilen kabul hedefi</w:t>
            </w:r>
          </w:p>
        </w:tc>
      </w:tr>
      <w:tr>
        <w:trPr>
          <w:cantSplit/>
        </w:trPr>
        <w:tc>
          <w:tcPr>
            <w:tcW w:type="dxa" w:w="20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TR ve EN görev tamamlama</w:t>
            </w:r>
          </w:p>
        </w:tc>
        <w:tc>
          <w:tcPr>
            <w:tcW w:type="dxa" w:w="41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En sık 10 görev; role ve moda göre Today, kısa form, tekrar veri girişi ve açıklanabilir next action. Önce/sonra aynı görev ve profil; dil sonuçları ayrı.</w:t>
            </w:r>
          </w:p>
        </w:tc>
        <w:tc>
          <w:tcPr>
            <w:tcW w:type="dxa" w:w="40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Medyan süre mevcut sürece göre en az %30 düşük; yardımsız görev başarısı en az %90; kritik hata 0. Zorunlu pilot journey ≥%95 ve P0 %100 ayrıca korunur.</w:t>
            </w:r>
          </w:p>
        </w:tc>
      </w:tr>
      <w:tr>
        <w:trPr>
          <w:cantSplit/>
        </w:trPr>
        <w:tc>
          <w:tcPr>
            <w:tcW w:type="dxa" w:w="2088"/>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Kaynağı açıklanabilir uygulanabilirlik</w:t>
            </w:r>
          </w:p>
        </w:tc>
        <w:tc>
          <w:tcPr>
            <w:tcW w:type="dxa" w:w="4104"/>
            <w:vAlign w:val="center"/>
            <w:shd w:fill="F6F7F9"/>
            <w:tcMar>
              <w:top w:w="90" w:type="dxa"/>
              <w:bottom w:w="90" w:type="dxa"/>
              <w:left w:w="90" w:type="dxa"/>
              <w:right w:w="90" w:type="dxa"/>
            </w:tcMar>
          </w:tcPr>
          <w:p>
            <w:pPr>
              <w:widowControl/>
              <w:spacing w:after="40" w:line="247" w:lineRule="auto"/>
            </w:pPr>
            <w:r>
              <w:rPr>
                <w:rFonts w:ascii="Calibri" w:hAnsi="Calibri"/>
                <w:b w:val="0"/>
                <w:sz w:val="20"/>
              </w:rPr>
              <w:t>Flag/class/type/GT/operation/date gerçeğinden kural, kontrol, görev ve evidence’a iz. Domain uzmanının onayladığı golden test seti ve seçili audit paketleri.</w:t>
            </w:r>
          </w:p>
        </w:tc>
        <w:tc>
          <w:tcPr>
            <w:tcW w:type="dxa" w:w="4032"/>
            <w:vAlign w:val="center"/>
            <w:shd w:fill="F6F7F9"/>
            <w:tcMar>
              <w:top w:w="90" w:type="dxa"/>
              <w:bottom w:w="90" w:type="dxa"/>
              <w:left w:w="90" w:type="dxa"/>
              <w:right w:w="90" w:type="dxa"/>
            </w:tcMar>
          </w:tcPr>
          <w:p>
            <w:pPr>
              <w:widowControl/>
              <w:spacing w:after="40" w:line="247" w:lineRule="auto"/>
            </w:pPr>
            <w:r>
              <w:rPr>
                <w:rFonts w:ascii="Calibri" w:hAnsi="Calibri"/>
                <w:b w:val="0"/>
                <w:sz w:val="20"/>
              </w:rPr>
              <w:t>Kritik yanlış uygun sonucu 0; kaynak izi %100; seçili denetim paketi hazırlama süresinde en az %50 azalma. Vessel veya yazılım sertifikasyonu değildir.</w:t>
            </w:r>
          </w:p>
        </w:tc>
      </w:tr>
      <w:tr>
        <w:trPr>
          <w:cantSplit/>
        </w:trPr>
        <w:tc>
          <w:tcPr>
            <w:tcW w:type="dxa" w:w="20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Ölçülmüş yerel ve offline işletim</w:t>
            </w:r>
          </w:p>
        </w:tc>
        <w:tc>
          <w:tcPr>
            <w:tcW w:type="dxa" w:w="4104"/>
            <w:vAlign w:val="center"/>
            <w:shd w:fill="FFFFFF"/>
            <w:tcMar>
              <w:top w:w="90" w:type="dxa"/>
              <w:bottom w:w="90" w:type="dxa"/>
              <w:left w:w="90" w:type="dxa"/>
              <w:right w:w="90" w:type="dxa"/>
            </w:tcMar>
          </w:tcPr>
          <w:p>
            <w:pPr>
              <w:widowControl/>
              <w:spacing w:after="40" w:line="247" w:lineRule="auto"/>
            </w:pPr>
            <w:r>
              <w:rPr>
                <w:rFonts w:ascii="Calibri" w:hAnsi="Calibri"/>
                <w:b w:val="0"/>
                <w:sz w:val="20"/>
              </w:rPr>
              <w:t>WAN kesintisi, LAN/server yokluğu ve reconnect ayrı. Sabit hacim/ağ profilinde queue/conflict, install/upgrade/rollback ve restore.</w:t>
            </w:r>
          </w:p>
        </w:tc>
        <w:tc>
          <w:tcPr>
            <w:tcW w:type="dxa" w:w="4032"/>
            <w:vAlign w:val="center"/>
            <w:shd w:fill="FFFFFF"/>
            <w:tcMar>
              <w:top w:w="90" w:type="dxa"/>
              <w:bottom w:w="90" w:type="dxa"/>
              <w:left w:w="90" w:type="dxa"/>
              <w:right w:w="90" w:type="dxa"/>
            </w:tcMar>
          </w:tcPr>
          <w:p>
            <w:pPr>
              <w:widowControl/>
              <w:spacing w:after="40" w:line="247" w:lineRule="auto"/>
            </w:pPr>
            <w:r>
              <w:rPr>
                <w:rFonts w:ascii="Calibri" w:hAnsi="Calibri"/>
                <w:b w:val="0"/>
                <w:sz w:val="20"/>
              </w:rPr>
              <w:t>72 saat WAN kesintisinde kritik işler; tanımlı testte kayıp/çift kayıt 0; kararlaştırılmış sync SLO; restore ve rollback PASS. Browser offline ayrı kanıt ister.</w:t>
            </w:r>
          </w:p>
        </w:tc>
      </w:tr>
    </w:tbl>
    <w:p>
      <w:pPr>
        <w:widowControl/>
        <w:spacing w:line="240" w:lineRule="auto" w:after="80"/>
      </w:pPr>
      <w:r>
        <w:rPr>
          <w:sz w:val="2"/>
        </w:rPr>
        <w:t xml:space="preserve"> </w:t>
      </w:r>
    </w:p>
    <w:p>
      <w:pPr>
        <w:widowControl/>
      </w:pPr>
      <w:r>
        <w:t>Önerilen araştırma tasarımı en az iki bağımsız operatör ve gemi+römorkör içeren toplam 4–6 ünitedir; üç müşteri adayının bu dağılımı sağladığı bilinmiyor. En az 15 gerçek kullanıcı ve iki dilde ayrı sonuç, kullanılabilirlik çıkarımını güçlendirir. Katılım yoksa örneklem sınırı açık yazılır; sonuç bütün pazara genellenmez.</w:t>
      </w:r>
    </w:p>
    <w:p>
      <w:pPr>
        <w:pStyle w:val="Heading2"/>
        <w:widowControl/>
      </w:pPr>
      <w:r>
        <w:t>Kullanım deneyimi kararları</w:t>
      </w:r>
    </w:p>
    <w:p>
      <w:pPr>
        <w:widowControl/>
      </w:pPr>
      <w:r>
        <w:t>Normal durumlar sakin gösterilir; istisna, sorumlu ve sonraki iş görünür olur. Görev bazlı formlar gerekli ayrıntıyı aşamalı açar; tarih, birim ve kodlar tutarlıdır. Eksik bilgiyle güvenli taslak kaydı mümkündür, fakat kritik eksik bilgi varken onay veya işleme gönderme engellenir. Klavye, touch ve gerçek görev koşulları test edilir. Kritik insan onayı kolaylaştırılır, kaldırılmaz.</w:t>
      </w:r>
    </w:p>
    <w:p>
      <w:pPr>
        <w:pStyle w:val="Heading2"/>
        <w:widowControl/>
      </w:pPr>
      <w:r>
        <w:t>Ticari hazırlık</w:t>
      </w:r>
    </w:p>
    <w:p>
      <w:pPr>
        <w:widowControl/>
      </w:pPr>
      <w:r>
        <w:t>Her aday için sponsor, kullanıcı, satın alma karar sahibi, profil, veri izni, deployment/security ihtiyacı, pilot window, baseline değer, onboarding/support yükü ve procurement adımları kaydedilir. Bilinmeyen alan NO DATA kalır. Ürün göstermeden bilgi toplama yalnız izin varsa yapılır; erken müşteri ilgisi varsayılmaz.</w:t>
      </w:r>
    </w:p>
    <w:p>
      <w:pPr>
        <w:widowControl/>
      </w:pPr>
      <w:r>
        <w:t>GA ile birlikte doğru iddia matrisi, güvenlik ve kurulum paketi, migration/mutabakat planı, TR/EN eğitim, destek/escalation, teklif ve sözleşme sınırları ile fiyat/TCO hipotezi hazırlanır. İzinli pilot sonucu referans olabilir. Kolay satış, sıfır satış sürtünmesi, müşteri logosu kullanımı veya gelir garantisi verilmez; veri göçü, güven, kesinti riski, bütçe ve satın alma süreçleri sürer.</w:t>
      </w:r>
    </w:p>
    <w:p>
      <w:pPr>
        <w:pStyle w:val="Heading1"/>
        <w:widowControl/>
      </w:pPr>
      <w:r>
        <w:t>13 Mevzuat ve resmi onay sınırları</w:t>
      </w:r>
    </w:p>
    <w:p>
      <w:pPr>
        <w:widowControl/>
      </w:pPr>
      <w:r>
        <w:t>Tam ürün, her bayrakta ve her gemide otomatik tam mevzuat uyumu değildir. Yayımlanan rule pack; jurisdiction, flag, class, vessel/type, operasyon ve tarih kapsamını belirtir. Uygulanır, uygulanmaz ve uzman incelemesi gerekir sonuçları gerekçeli tutulur. Kaynağın bulunması, o kaynağın belirli varlığa uygulanması ve yazılımın kontrolü doğru çalıştırması üç ayrı kanıttır. [K11, K17]</w:t>
      </w:r>
    </w:p>
    <w:p>
      <w:pPr>
        <w:pStyle w:val="ListBullet"/>
        <w:widowControl/>
      </w:pPr>
      <w:r>
        <w:t>ISM/SOLAS, EEXI/CII ve EU MRV/ETS/FuelEU için tek küresel toggle kullanılmaz. Tip, tonaj, sefer, tarih ve ulusal uygulama farklıdır; CII bütün römorkörlere otomatik uygulanıyor denmez. [X09–X11]</w:t>
      </w:r>
    </w:p>
    <w:p>
      <w:pPr>
        <w:pStyle w:val="ListBullet"/>
        <w:widowControl/>
      </w:pPr>
      <w:r>
        <w:t>Güncel IMO siber rehberi 28 Mayıs 2026 tarihli MSC-FAL.1/Circ.3/Rev.4’tür. IACS E26/E27 için ürün/sistem ve yeni inşa kapsamı, sözleşme tarihi ve klas yorumu ayrı değerlendirilir; her mevcut gemi veya ERP için genel sertifika zorunluluğu sonucu çıkarılmaz. [X12–X13]</w:t>
      </w:r>
    </w:p>
    <w:p>
      <w:pPr>
        <w:pStyle w:val="ListBullet"/>
        <w:widowControl/>
      </w:pPr>
      <w:r>
        <w:t>MARPOL elektronik kayıt defteri PDF ihracından fazlasını gerektirir: kimlik, orijinal ve değişiklik izi, imza, saklama, çıktı ve ilgili idare kabulü. Gerekli kabul olmadan resmî defter yerine geçer iddiası kurulmaz. [X14–X15]</w:t>
      </w:r>
    </w:p>
    <w:p>
      <w:pPr>
        <w:widowControl/>
      </w:pPr>
      <w:r>
        <w:t>Kaynak register’ı URL, sürüm/tarih, yürürlük, madde konumu, applicability predicates, gerekçe, kontrol/test ID, reviewer ve son kontrol tarihini taşır. Kanun, klas şartı, bayrak talimatı, müşteri sözleşmesi ve rehber ayrı sınıflandırılır. Türk bayrağı/yerel operasyon, privacy/retention, çalışma kuralları ve lisanslı içerik hakları hedef profile göre ayrıca doğrulanır.</w:t>
      </w:r>
    </w:p>
    <w:p>
      <w:pPr>
        <w:widowControl/>
      </w:pPr>
      <w:r>
        <w:t>Resmî type approval veya sertifika ticari olarak zorunluysa GA bağımlılığıdır. Yalnız stratejik opsiyon ise ayrı yol ve doğru iddia sınırıyla izlenir. Yol haritası veya boş imza paketi kazanılmış award değildir; takvime yetişmek için gereken dış onay atlanmaz.</w:t>
      </w:r>
    </w:p>
    <w:p>
      <w:pPr>
        <w:pStyle w:val="Heading1"/>
        <w:widowControl/>
      </w:pPr>
      <w:r>
        <w:t>14 Açık riskler ve yeniden planlama tetikleyicileri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00"/>
        <w:gridCol w:w="4608"/>
      </w:tblGrid>
      <w:tr>
        <w:trPr>
          <w:cantSplit/>
          <w:tblHeader/>
        </w:trPr>
        <w:tc>
          <w:tcPr>
            <w:tcW w:type="dxa" w:w="2016"/>
            <w:vAlign w:val="center"/>
            <w:shd w:fill="E8EDF2"/>
            <w:tcMar>
              <w:top w:w="90" w:type="dxa"/>
              <w:bottom w:w="90" w:type="dxa"/>
              <w:left w:w="90" w:type="dxa"/>
              <w:right w:w="90" w:type="dxa"/>
            </w:tcMar>
          </w:tcPr>
          <w:p>
            <w:pPr>
              <w:widowControl/>
              <w:spacing w:after="40" w:line="247" w:lineRule="auto"/>
            </w:pPr>
            <w:r>
              <w:rPr>
                <w:rFonts w:ascii="Calibri" w:hAnsi="Calibri"/>
                <w:b/>
                <w:sz w:val="20"/>
              </w:rPr>
              <w:t>Risk veya bilinmeyen</w:t>
            </w:r>
          </w:p>
        </w:tc>
        <w:tc>
          <w:tcPr>
            <w:tcW w:type="dxa" w:w="3600"/>
            <w:vAlign w:val="center"/>
            <w:shd w:fill="E8EDF2"/>
            <w:tcMar>
              <w:top w:w="90" w:type="dxa"/>
              <w:bottom w:w="90" w:type="dxa"/>
              <w:left w:w="90" w:type="dxa"/>
              <w:right w:w="90" w:type="dxa"/>
            </w:tcMar>
          </w:tcPr>
          <w:p>
            <w:pPr>
              <w:widowControl/>
              <w:spacing w:after="40" w:line="247" w:lineRule="auto"/>
            </w:pPr>
            <w:r>
              <w:rPr>
                <w:rFonts w:ascii="Calibri" w:hAnsi="Calibri"/>
                <w:b/>
                <w:sz w:val="20"/>
              </w:rPr>
              <w:t>Erken işaret</w:t>
            </w:r>
          </w:p>
        </w:tc>
        <w:tc>
          <w:tcPr>
            <w:tcW w:type="dxa" w:w="4608"/>
            <w:vAlign w:val="center"/>
            <w:shd w:fill="E8EDF2"/>
            <w:tcMar>
              <w:top w:w="90" w:type="dxa"/>
              <w:bottom w:w="90" w:type="dxa"/>
              <w:left w:w="90" w:type="dxa"/>
              <w:right w:w="90" w:type="dxa"/>
            </w:tcMar>
          </w:tcPr>
          <w:p>
            <w:pPr>
              <w:widowControl/>
              <w:spacing w:after="40" w:line="247" w:lineRule="auto"/>
            </w:pPr>
            <w:r>
              <w:rPr>
                <w:rFonts w:ascii="Calibri" w:hAnsi="Calibri"/>
                <w:b/>
                <w:sz w:val="20"/>
              </w:rPr>
              <w:t>Eylem ve karar sınırı</w:t>
            </w:r>
          </w:p>
        </w:tc>
      </w:tr>
      <w:tr>
        <w:trPr>
          <w:cantSplit/>
        </w:trPr>
        <w:tc>
          <w:tcPr>
            <w:tcW w:type="dxa" w:w="20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Kapasite ve devir</w:t>
            </w:r>
          </w:p>
        </w:tc>
        <w:tc>
          <w:tcPr>
            <w:tcW w:type="dxa" w:w="3600"/>
            <w:vAlign w:val="center"/>
            <w:shd w:fill="FFFFFF"/>
            <w:tcMar>
              <w:top w:w="90" w:type="dxa"/>
              <w:bottom w:w="90" w:type="dxa"/>
              <w:left w:w="90" w:type="dxa"/>
              <w:right w:w="90" w:type="dxa"/>
            </w:tcMar>
          </w:tcPr>
          <w:p>
            <w:pPr>
              <w:widowControl/>
              <w:spacing w:after="40" w:line="247" w:lineRule="auto"/>
            </w:pPr>
            <w:r>
              <w:rPr>
                <w:rFonts w:ascii="Calibri" w:hAnsi="Calibri"/>
                <w:b w:val="0"/>
                <w:sz w:val="20"/>
              </w:rPr>
              <w:t>Yazılımcı tarihi/haftalık zamanı belirsiz; review/rework beklenenden yüksek.</w:t>
            </w:r>
          </w:p>
        </w:tc>
        <w:tc>
          <w:tcPr>
            <w:tcW w:type="dxa" w:w="4608"/>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Kasım sonu gerçek kapasiteyi kaydet; forecast’i güncelle. Tek geliştirici+AI için çok kişili ekip throughput’ü varsayma.</w:t>
            </w:r>
          </w:p>
        </w:tc>
      </w:tr>
      <w:tr>
        <w:trPr>
          <w:cantSplit/>
        </w:trPr>
        <w:tc>
          <w:tcPr>
            <w:tcW w:type="dxa" w:w="2016"/>
            <w:vAlign w:val="center"/>
            <w:shd w:fill="F6F7F9"/>
            <w:tcMar>
              <w:top w:w="90" w:type="dxa"/>
              <w:bottom w:w="90" w:type="dxa"/>
              <w:left w:w="90" w:type="dxa"/>
              <w:right w:w="90" w:type="dxa"/>
            </w:tcMar>
          </w:tcPr>
          <w:p>
            <w:pPr>
              <w:widowControl/>
              <w:spacing w:after="40" w:line="247" w:lineRule="auto"/>
            </w:pPr>
            <w:r>
              <w:rPr>
                <w:rFonts w:ascii="Calibri" w:hAnsi="Calibri"/>
                <w:b w:val="0"/>
                <w:sz w:val="20"/>
              </w:rPr>
              <w:t>Domain ve veri sözleşmesi</w:t>
            </w:r>
          </w:p>
        </w:tc>
        <w:tc>
          <w:tcPr>
            <w:tcW w:type="dxa" w:w="3600"/>
            <w:vAlign w:val="center"/>
            <w:shd w:fill="F6F7F9"/>
            <w:tcMar>
              <w:top w:w="90" w:type="dxa"/>
              <w:bottom w:w="90" w:type="dxa"/>
              <w:left w:w="90" w:type="dxa"/>
              <w:right w:w="90" w:type="dxa"/>
            </w:tcMar>
          </w:tcPr>
          <w:p>
            <w:pPr>
              <w:widowControl/>
              <w:spacing w:after="40" w:line="247" w:lineRule="auto"/>
            </w:pPr>
            <w:r>
              <w:rPr>
                <w:rFonts w:ascii="Calibri" w:hAnsi="Calibri"/>
                <w:b w:val="0"/>
                <w:sz w:val="20"/>
              </w:rPr>
              <w:t>State çatışması, lookup/conditional-required/projection kararının sürekli değişmesi.</w:t>
            </w:r>
          </w:p>
        </w:tc>
        <w:tc>
          <w:tcPr>
            <w:tcW w:type="dxa" w:w="4608"/>
            <w:vAlign w:val="center"/>
            <w:shd w:fill="F6F7F9"/>
            <w:tcMar>
              <w:top w:w="90" w:type="dxa"/>
              <w:bottom w:w="90" w:type="dxa"/>
              <w:left w:w="90" w:type="dxa"/>
              <w:right w:w="90" w:type="dxa"/>
            </w:tcMar>
          </w:tcPr>
          <w:p>
            <w:pPr>
              <w:widowControl/>
              <w:spacing w:after="40" w:line="247" w:lineRule="auto"/>
            </w:pPr>
            <w:r>
              <w:rPr>
                <w:rFonts w:ascii="Calibri" w:hAnsi="Calibri"/>
                <w:b w:val="0"/>
                <w:sz w:val="20"/>
              </w:rPr>
              <w:t>Dalgayı küçük tut, ADR ve trace güncelle, etkilenen testleri koş. Kritik karar açıkken production enum’u dondurma.</w:t>
            </w:r>
          </w:p>
        </w:tc>
      </w:tr>
      <w:tr>
        <w:trPr>
          <w:cantSplit/>
        </w:trPr>
        <w:tc>
          <w:tcPr>
            <w:tcW w:type="dxa" w:w="20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Güvenlik ve offline</w:t>
            </w:r>
          </w:p>
        </w:tc>
        <w:tc>
          <w:tcPr>
            <w:tcW w:type="dxa" w:w="3600"/>
            <w:vAlign w:val="center"/>
            <w:shd w:fill="FFFFFF"/>
            <w:tcMar>
              <w:top w:w="90" w:type="dxa"/>
              <w:bottom w:w="90" w:type="dxa"/>
              <w:left w:w="90" w:type="dxa"/>
              <w:right w:w="90" w:type="dxa"/>
            </w:tcMar>
          </w:tcPr>
          <w:p>
            <w:pPr>
              <w:widowControl/>
              <w:spacing w:after="40" w:line="247" w:lineRule="auto"/>
            </w:pPr>
            <w:r>
              <w:rPr>
                <w:rFonts w:ascii="Calibri" w:hAnsi="Calibri"/>
                <w:b w:val="0"/>
                <w:sz w:val="20"/>
              </w:rPr>
              <w:t>Native IdP/proxy, key/store, conflict veya kalıcı queue denemesi başarısız.</w:t>
            </w:r>
          </w:p>
        </w:tc>
        <w:tc>
          <w:tcPr>
            <w:tcW w:type="dxa" w:w="4608"/>
            <w:vAlign w:val="center"/>
            <w:shd w:fill="FFFFFF"/>
            <w:tcMar>
              <w:top w:w="90" w:type="dxa"/>
              <w:bottom w:w="90" w:type="dxa"/>
              <w:left w:w="90" w:type="dxa"/>
              <w:right w:w="90" w:type="dxa"/>
            </w:tcMar>
          </w:tcPr>
          <w:p>
            <w:pPr>
              <w:widowControl/>
              <w:spacing w:after="40" w:line="247" w:lineRule="auto"/>
            </w:pPr>
            <w:r>
              <w:rPr>
                <w:rFonts w:ascii="Calibri" w:hAnsi="Calibri"/>
                <w:b w:val="0"/>
                <w:sz w:val="20"/>
              </w:rPr>
              <w:t>A hattında erken düzelt; bağımsız negatif test iste. Dar TestServer veya LAN testiyle kapıyı kapatma.</w:t>
            </w:r>
          </w:p>
        </w:tc>
      </w:tr>
      <w:tr>
        <w:trPr>
          <w:cantSplit/>
        </w:trPr>
        <w:tc>
          <w:tcPr>
            <w:tcW w:type="dxa" w:w="2016"/>
            <w:vAlign w:val="center"/>
            <w:shd w:fill="F6F7F9"/>
            <w:tcMar>
              <w:top w:w="90" w:type="dxa"/>
              <w:bottom w:w="90" w:type="dxa"/>
              <w:left w:w="90" w:type="dxa"/>
              <w:right w:w="90" w:type="dxa"/>
            </w:tcMar>
          </w:tcPr>
          <w:p>
            <w:pPr>
              <w:widowControl/>
              <w:spacing w:after="40" w:line="247" w:lineRule="auto"/>
            </w:pPr>
            <w:r>
              <w:rPr>
                <w:rFonts w:ascii="Calibri" w:hAnsi="Calibri"/>
                <w:b w:val="0"/>
                <w:sz w:val="20"/>
              </w:rPr>
              <w:t>Esra kabul birikimi</w:t>
            </w:r>
          </w:p>
        </w:tc>
        <w:tc>
          <w:tcPr>
            <w:tcW w:type="dxa" w:w="3600"/>
            <w:vAlign w:val="center"/>
            <w:shd w:fill="F6F7F9"/>
            <w:tcMar>
              <w:top w:w="90" w:type="dxa"/>
              <w:bottom w:w="90" w:type="dxa"/>
              <w:left w:w="90" w:type="dxa"/>
              <w:right w:w="90" w:type="dxa"/>
            </w:tcMar>
          </w:tcPr>
          <w:p>
            <w:pPr>
              <w:widowControl/>
              <w:spacing w:after="40" w:line="247" w:lineRule="auto"/>
            </w:pPr>
            <w:r>
              <w:rPr>
                <w:rFonts w:ascii="Calibri" w:hAnsi="Calibri"/>
                <w:b w:val="0"/>
                <w:sz w:val="20"/>
              </w:rPr>
              <w:t>Modüller hazır ama erişim, test zamanı veya retest açık.</w:t>
            </w:r>
          </w:p>
        </w:tc>
        <w:tc>
          <w:tcPr>
            <w:tcW w:type="dxa" w:w="4608"/>
            <w:vAlign w:val="center"/>
            <w:shd w:fill="F6F7F9"/>
            <w:tcMar>
              <w:top w:w="90" w:type="dxa"/>
              <w:bottom w:w="90" w:type="dxa"/>
              <w:left w:w="90" w:type="dxa"/>
              <w:right w:w="90" w:type="dxa"/>
            </w:tcMar>
          </w:tcPr>
          <w:p>
            <w:pPr>
              <w:widowControl/>
              <w:spacing w:after="40" w:line="247" w:lineRule="auto"/>
            </w:pPr>
            <w:r>
              <w:rPr>
                <w:rFonts w:ascii="Calibri" w:hAnsi="Calibri"/>
                <w:b w:val="0"/>
                <w:sz w:val="20"/>
              </w:rPr>
              <w:t>Her teslimde test paketi ve açık karar kaydı tut. Diğer işleri ilerlet; sessizliği kabul sayma; RC öncesi birikimi kapat.</w:t>
            </w:r>
          </w:p>
        </w:tc>
      </w:tr>
      <w:tr>
        <w:trPr>
          <w:cantSplit/>
        </w:trPr>
        <w:tc>
          <w:tcPr>
            <w:tcW w:type="dxa" w:w="20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Pilot profili ve zaman</w:t>
            </w:r>
          </w:p>
        </w:tc>
        <w:tc>
          <w:tcPr>
            <w:tcW w:type="dxa" w:w="3600"/>
            <w:vAlign w:val="center"/>
            <w:shd w:fill="FFFFFF"/>
            <w:tcMar>
              <w:top w:w="90" w:type="dxa"/>
              <w:bottom w:w="90" w:type="dxa"/>
              <w:left w:w="90" w:type="dxa"/>
              <w:right w:w="90" w:type="dxa"/>
            </w:tcMar>
          </w:tcPr>
          <w:p>
            <w:pPr>
              <w:widowControl/>
              <w:spacing w:after="40" w:line="247" w:lineRule="auto"/>
            </w:pPr>
            <w:r>
              <w:rPr>
                <w:rFonts w:ascii="Calibri" w:hAnsi="Calibri"/>
                <w:b w:val="0"/>
                <w:sz w:val="20"/>
              </w:rPr>
              <w:t>Üç adayda gerçek ship+tug yok, erişim/izin/window teyitsiz veya operasyon gerçekleşmiyor.</w:t>
            </w:r>
          </w:p>
        </w:tc>
        <w:tc>
          <w:tcPr>
            <w:tcW w:type="dxa" w:w="4608"/>
            <w:vAlign w:val="center"/>
            <w:shd w:fill="FFFFFF"/>
            <w:tcMar>
              <w:top w:w="90" w:type="dxa"/>
              <w:bottom w:w="90" w:type="dxa"/>
              <w:left w:w="90" w:type="dxa"/>
              <w:right w:w="90" w:type="dxa"/>
            </w:tcMar>
          </w:tcPr>
          <w:p>
            <w:pPr>
              <w:widowControl/>
              <w:spacing w:after="40" w:line="247" w:lineRule="auto"/>
            </w:pPr>
            <w:r>
              <w:rPr>
                <w:rFonts w:ascii="Calibri" w:hAnsi="Calibri"/>
                <w:b w:val="0"/>
                <w:sz w:val="20"/>
              </w:rPr>
              <w:t>Profil ve ölçüm planını ürün göstermeden mümkünse netleştir. NOT_RUN kaydını koru; pilot süresini keyfi kısaltma.</w:t>
            </w:r>
          </w:p>
        </w:tc>
      </w:tr>
      <w:tr>
        <w:trPr>
          <w:cantSplit/>
        </w:trPr>
        <w:tc>
          <w:tcPr>
            <w:tcW w:type="dxa" w:w="2016"/>
            <w:vAlign w:val="center"/>
            <w:shd w:fill="F6F7F9"/>
            <w:tcMar>
              <w:top w:w="90" w:type="dxa"/>
              <w:bottom w:w="90" w:type="dxa"/>
              <w:left w:w="90" w:type="dxa"/>
              <w:right w:w="90" w:type="dxa"/>
            </w:tcMar>
          </w:tcPr>
          <w:p>
            <w:pPr>
              <w:widowControl/>
              <w:spacing w:after="40" w:line="247" w:lineRule="auto"/>
            </w:pPr>
            <w:r>
              <w:rPr>
                <w:rFonts w:ascii="Calibri" w:hAnsi="Calibri"/>
                <w:b w:val="0"/>
                <w:sz w:val="20"/>
              </w:rPr>
              <w:t>Mevzuat ve dış inceleme</w:t>
            </w:r>
          </w:p>
        </w:tc>
        <w:tc>
          <w:tcPr>
            <w:tcW w:type="dxa" w:w="3600"/>
            <w:vAlign w:val="center"/>
            <w:shd w:fill="F6F7F9"/>
            <w:tcMar>
              <w:top w:w="90" w:type="dxa"/>
              <w:bottom w:w="90" w:type="dxa"/>
              <w:left w:w="90" w:type="dxa"/>
              <w:right w:w="90" w:type="dxa"/>
            </w:tcMar>
          </w:tcPr>
          <w:p>
            <w:pPr>
              <w:widowControl/>
              <w:spacing w:after="40" w:line="247" w:lineRule="auto"/>
            </w:pPr>
            <w:r>
              <w:rPr>
                <w:rFonts w:ascii="Calibri" w:hAnsi="Calibri"/>
                <w:b w:val="0"/>
                <w:sz w:val="20"/>
              </w:rPr>
              <w:t>Supported envelope belirsiz; kaynak/class yorumunda ihtilaf; required award gecikiyor.</w:t>
            </w:r>
          </w:p>
        </w:tc>
        <w:tc>
          <w:tcPr>
            <w:tcW w:type="dxa" w:w="4608"/>
            <w:vAlign w:val="center"/>
            <w:shd w:fill="F6F7F9"/>
            <w:tcMar>
              <w:top w:w="90" w:type="dxa"/>
              <w:bottom w:w="90" w:type="dxa"/>
              <w:left w:w="90" w:type="dxa"/>
              <w:right w:w="90" w:type="dxa"/>
            </w:tcMar>
          </w:tcPr>
          <w:p>
            <w:pPr>
              <w:widowControl/>
              <w:spacing w:after="40" w:line="247" w:lineRule="auto"/>
            </w:pPr>
            <w:r>
              <w:rPr>
                <w:rFonts w:ascii="Calibri" w:hAnsi="Calibri"/>
                <w:b w:val="0"/>
                <w:sz w:val="20"/>
              </w:rPr>
              <w:t>Review sahibi ve kapsamı belirle, kritik UNKNOWN’u bloke et; izinli uzman katkısı ve gerekirse tarih revizyonu.</w:t>
            </w:r>
          </w:p>
        </w:tc>
      </w:tr>
      <w:tr>
        <w:trPr>
          <w:cantSplit/>
        </w:trPr>
        <w:tc>
          <w:tcPr>
            <w:tcW w:type="dxa" w:w="20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Entegrasyon ve veri kalitesi</w:t>
            </w:r>
          </w:p>
        </w:tc>
        <w:tc>
          <w:tcPr>
            <w:tcW w:type="dxa" w:w="3600"/>
            <w:vAlign w:val="center"/>
            <w:shd w:fill="FFFFFF"/>
            <w:tcMar>
              <w:top w:w="90" w:type="dxa"/>
              <w:bottom w:w="90" w:type="dxa"/>
              <w:left w:w="90" w:type="dxa"/>
              <w:right w:w="90" w:type="dxa"/>
            </w:tcMar>
          </w:tcPr>
          <w:p>
            <w:pPr>
              <w:widowControl/>
              <w:spacing w:after="40" w:line="247" w:lineRule="auto"/>
            </w:pPr>
            <w:r>
              <w:rPr>
                <w:rFonts w:ascii="Calibri" w:hAnsi="Calibri"/>
                <w:b w:val="0"/>
                <w:sz w:val="20"/>
              </w:rPr>
              <w:t>Connector erişimi yok; import tutuyor ama business reconciliation tutmuyor.</w:t>
            </w:r>
          </w:p>
        </w:tc>
        <w:tc>
          <w:tcPr>
            <w:tcW w:type="dxa" w:w="4608"/>
            <w:vAlign w:val="center"/>
            <w:shd w:fill="FFFFFF"/>
            <w:tcMar>
              <w:top w:w="90" w:type="dxa"/>
              <w:bottom w:w="90" w:type="dxa"/>
              <w:left w:w="90" w:type="dxa"/>
              <w:right w:w="90" w:type="dxa"/>
            </w:tcMar>
          </w:tcPr>
          <w:p>
            <w:pPr>
              <w:widowControl/>
              <w:spacing w:after="40" w:line="247" w:lineRule="auto"/>
            </w:pPr>
            <w:r>
              <w:rPr>
                <w:rFonts w:ascii="Calibri" w:hAnsi="Calibri"/>
                <w:b w:val="0"/>
                <w:sz w:val="20"/>
              </w:rPr>
              <w:t>Seçilen connector sözleşmesini ve SoR’ı daralt; prova ve reconciliation yap; tüm vendor listesi taahhüdü verme.</w:t>
            </w:r>
          </w:p>
        </w:tc>
      </w:tr>
      <w:tr>
        <w:trPr>
          <w:cantSplit/>
        </w:trPr>
        <w:tc>
          <w:tcPr>
            <w:tcW w:type="dxa" w:w="2016"/>
            <w:vAlign w:val="center"/>
            <w:shd w:fill="F6F7F9"/>
            <w:tcMar>
              <w:top w:w="90" w:type="dxa"/>
              <w:bottom w:w="90" w:type="dxa"/>
              <w:left w:w="90" w:type="dxa"/>
              <w:right w:w="90" w:type="dxa"/>
            </w:tcMar>
          </w:tcPr>
          <w:p>
            <w:pPr>
              <w:widowControl/>
              <w:spacing w:after="40" w:line="247" w:lineRule="auto"/>
            </w:pPr>
            <w:r>
              <w:rPr>
                <w:rFonts w:ascii="Calibri" w:hAnsi="Calibri"/>
                <w:b w:val="0"/>
                <w:sz w:val="20"/>
              </w:rPr>
              <w:t>İşletim ve destek</w:t>
            </w:r>
          </w:p>
        </w:tc>
        <w:tc>
          <w:tcPr>
            <w:tcW w:type="dxa" w:w="3600"/>
            <w:vAlign w:val="center"/>
            <w:shd w:fill="F6F7F9"/>
            <w:tcMar>
              <w:top w:w="90" w:type="dxa"/>
              <w:bottom w:w="90" w:type="dxa"/>
              <w:left w:w="90" w:type="dxa"/>
              <w:right w:w="90" w:type="dxa"/>
            </w:tcMar>
          </w:tcPr>
          <w:p>
            <w:pPr>
              <w:widowControl/>
              <w:spacing w:after="40" w:line="247" w:lineRule="auto"/>
            </w:pPr>
            <w:r>
              <w:rPr>
                <w:rFonts w:ascii="Calibri" w:hAnsi="Calibri"/>
                <w:b w:val="0"/>
                <w:sz w:val="20"/>
              </w:rPr>
              <w:t>Restore/rollback ölçülmemiş, RPO/RTO/SLA veya on-call sahibi yok.</w:t>
            </w:r>
          </w:p>
        </w:tc>
        <w:tc>
          <w:tcPr>
            <w:tcW w:type="dxa" w:w="4608"/>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Gerçek ortam provası, sorumluluk ve eğitim. Runbook hedefini sözleşme taahhüdü gibi sunma.</w:t>
            </w:r>
          </w:p>
        </w:tc>
      </w:tr>
    </w:tbl>
    <w:p>
      <w:pPr>
        <w:widowControl/>
        <w:spacing w:line="240" w:lineRule="auto" w:after="80"/>
      </w:pPr>
      <w:r>
        <w:rPr>
          <w:sz w:val="2"/>
        </w:rPr>
        <w:t xml:space="preserve"> </w:t>
      </w:r>
    </w:p>
    <w:p>
      <w:pPr>
        <w:widowControl/>
      </w:pPr>
      <w:r>
        <w:t>Mart incelemesinde kalan kabul edilmiş kapsam ölçülen throughput’e sığmıyorsa Q3 senaryosu bırakılır ve Q4 riski açıkça gösterilir. İç RC veya müşteri pilotu gecikirse yeni tarih aralığı ve kritik yol yeniden hesaplanır. Q4’ün aşılması mümkünse 2028 riski erken yazılır; P0, kritik güvenlik veya mevzuat şartı takvim için waive edilmez.</w:t>
      </w:r>
    </w:p>
    <w:p>
      <w:pPr>
        <w:pStyle w:val="Heading2"/>
        <w:widowControl/>
      </w:pPr>
      <w:r>
        <w:t>Haftalık yönetim görünümü</w:t>
      </w:r>
    </w:p>
    <w:p>
      <w:pPr>
        <w:widowControl/>
      </w:pPr>
      <w:r>
        <w:t>Tek kısa görünüm; tamamlanan ve kanıtlanan capability’leri, Esra UAT bekleyenleri, defect/retest’i, bloke bağımlılıkları, karar isteyen dış yetkileri ve bir sonraki iki haftanın hedefini gösterir. Her satırın gerçek sahibi ve kanıtı vardır. Teknik hazır, kullanıcı kabulü, pilot kabulü ve GA aynı durum sütununa sıkıştırılmaz.</w:t>
      </w:r>
    </w:p>
    <w:p>
      <w:pPr>
        <w:widowControl/>
      </w:pPr>
      <w:r>
        <w:t>Rutin ve geri alınabilir işler mevcut yetkiyle devam eder. Gereken bilgi mevcut kaynaklardan bulunamıyor veya ücretli, hukuki ya da dış dünya yetkisi gerektiriyorsa ilgili karar sahibine yalnız gerekli soru taşınır. Bağımsız işler bekletilmez.</w:t>
      </w:r>
    </w:p>
    <w:p>
      <w:pPr>
        <w:pStyle w:val="Heading1"/>
        <w:pageBreakBefore/>
        <w:widowControl/>
      </w:pPr>
      <w:r>
        <w:t>15 Kontrollü kaynaklar</w:t>
      </w:r>
    </w:p>
    <w:p>
      <w:pPr>
        <w:widowControl/>
      </w:pPr>
      <w:r>
        <w:t>K kaynakları ana klasör içindeki kontrollü belgelerdir. Bağlantılar mevcut klasör düzenine göre göreli hedef kullanır. 30.01, geçmiş test sonuçlarını yeniden üretmez; ayrıntılı gereksinim, kanıt ve kaynak kapıları ilgili belgeden izlenir.</w:t>
      </w:r>
    </w:p>
    <w:p>
      <w:pPr>
        <w:widowControl/>
      </w:pPr>
      <w:r/>
      <w:r>
        <w:rPr>
          <w:b/>
        </w:rPr>
        <w:t xml:space="preserve">K01  </w:t>
      </w:r>
      <w:hyperlink r:id="rId11">
        <w:r>
          <w:rPr>
            <w:color w:val="000000"/>
            <w:u w:val="single"/>
          </w:rPr>
          <w:t>00.03 Teslim değişiklik ve açık kararlar özeti</w:t>
        </w:r>
      </w:hyperlink>
      <w:r>
        <w:br/>
        <w:t>Güncel durum, lookup/default/test sınırı ve teslim önceliği.</w:t>
      </w:r>
    </w:p>
    <w:p>
      <w:pPr>
        <w:widowControl/>
      </w:pPr>
      <w:r/>
      <w:r>
        <w:rPr>
          <w:b/>
        </w:rPr>
        <w:t xml:space="preserve">K02  </w:t>
      </w:r>
      <w:hyperlink r:id="rId12">
        <w:r>
          <w:rPr>
            <w:color w:val="000000"/>
            <w:u w:val="single"/>
          </w:rPr>
          <w:t>04.01 Revize nihai kapsam ve ürün karar kaydı</w:t>
        </w:r>
      </w:hyperlink>
      <w:r>
        <w:br/>
        <w:t>Kapsam, ürün kararları ve port/ERP sınırı.</w:t>
      </w:r>
    </w:p>
    <w:p>
      <w:pPr>
        <w:widowControl/>
      </w:pPr>
      <w:r/>
      <w:r>
        <w:rPr>
          <w:b/>
        </w:rPr>
        <w:t xml:space="preserve">K03  </w:t>
      </w:r>
      <w:hyperlink r:id="rId13">
        <w:r>
          <w:rPr>
            <w:color w:val="000000"/>
            <w:u w:val="single"/>
          </w:rPr>
          <w:t>05.01 Master Product Specification Gemi Römorkör</w:t>
        </w:r>
      </w:hyperlink>
      <w:r>
        <w:br/>
        <w:t>İki mod, ortak çekirdek, UX, offline, authority ve pilot.</w:t>
      </w:r>
    </w:p>
    <w:p>
      <w:pPr>
        <w:widowControl/>
      </w:pPr>
      <w:r/>
      <w:r>
        <w:rPr>
          <w:b/>
        </w:rPr>
        <w:t xml:space="preserve">K04  </w:t>
      </w:r>
      <w:hyperlink r:id="rId14">
        <w:r>
          <w:rPr>
            <w:color w:val="000000"/>
            <w:u w:val="single"/>
          </w:rPr>
          <w:t>13.06 Modül işleyiş süreç ve veri master kataloğu</w:t>
        </w:r>
      </w:hyperlink>
      <w:r>
        <w:br/>
        <w:t>Modül Master 39, Süreç Master, Gap ve Karar, Karar Onayları.</w:t>
      </w:r>
    </w:p>
    <w:p>
      <w:pPr>
        <w:widowControl/>
      </w:pPr>
      <w:r/>
      <w:r>
        <w:rPr>
          <w:b/>
        </w:rPr>
        <w:t xml:space="preserve">K05  </w:t>
      </w:r>
      <w:hyperlink r:id="rId15">
        <w:r>
          <w:rPr>
            <w:color w:val="000000"/>
            <w:u w:val="single"/>
          </w:rPr>
          <w:t>14.02 Product Wide Data Dictionary</w:t>
        </w:r>
      </w:hyperlink>
      <w:r>
        <w:br/>
        <w:t>Lookup Kaynak Çözümü, Karar Onayları; 61/45 projection ve production mapping sınırı.</w:t>
      </w:r>
    </w:p>
    <w:p>
      <w:pPr>
        <w:widowControl/>
      </w:pPr>
      <w:r/>
      <w:r>
        <w:rPr>
          <w:b/>
        </w:rPr>
        <w:t xml:space="preserve">K06  </w:t>
      </w:r>
      <w:hyperlink r:id="rId16">
        <w:r>
          <w:rPr>
            <w:color w:val="000000"/>
            <w:u w:val="single"/>
          </w:rPr>
          <w:t>18.01 Development Backlog</w:t>
        </w:r>
      </w:hyperlink>
      <w:r>
        <w:br/>
        <w:t>121 Not Started satırı tarihsel baseline; SP takvim taahhüdü değil.</w:t>
      </w:r>
    </w:p>
    <w:p>
      <w:pPr>
        <w:widowControl/>
      </w:pPr>
      <w:r/>
      <w:r>
        <w:rPr>
          <w:b/>
        </w:rPr>
        <w:t xml:space="preserve">K07  </w:t>
      </w:r>
      <w:hyperlink r:id="rId17">
        <w:r>
          <w:rPr>
            <w:color w:val="000000"/>
            <w:u w:val="single"/>
          </w:rPr>
          <w:t>18.03 Data Migration ve Customer Onboarding Planı</w:t>
        </w:r>
      </w:hyperlink>
      <w:r>
        <w:br/>
        <w:t>Import, business validation, reconciliation ve cutover.</w:t>
      </w:r>
    </w:p>
    <w:p>
      <w:pPr>
        <w:widowControl/>
      </w:pPr>
      <w:r/>
      <w:r>
        <w:rPr>
          <w:b/>
        </w:rPr>
        <w:t xml:space="preserve">K08  </w:t>
      </w:r>
      <w:hyperlink r:id="rId18">
        <w:r>
          <w:rPr>
            <w:color w:val="000000"/>
            <w:u w:val="single"/>
          </w:rPr>
          <w:t>18.04 Integration Catalogue</w:t>
        </w:r>
      </w:hyperlink>
      <w:r>
        <w:br/>
        <w:t>Connector sözleşmesi, SoR, retry, kapsam ve mutabakat.</w:t>
      </w:r>
    </w:p>
    <w:p>
      <w:pPr>
        <w:widowControl/>
      </w:pPr>
      <w:r/>
      <w:r>
        <w:rPr>
          <w:b/>
        </w:rPr>
        <w:t xml:space="preserve">K09  </w:t>
      </w:r>
      <w:hyperlink r:id="rId19">
        <w:r>
          <w:rPr>
            <w:color w:val="000000"/>
            <w:u w:val="single"/>
          </w:rPr>
          <w:t>19.01 Test Pilot UAT Release Gates</w:t>
        </w:r>
      </w:hyperlink>
      <w:r>
        <w:br/>
        <w:t>Test türleri, mandatory ship+tug ve benchmark delta; dört hafta örneği kesin pilot süresi değil.</w:t>
      </w:r>
    </w:p>
    <w:p>
      <w:pPr>
        <w:widowControl/>
      </w:pPr>
      <w:r/>
      <w:r>
        <w:rPr>
          <w:b/>
        </w:rPr>
        <w:t xml:space="preserve">K10  </w:t>
      </w:r>
      <w:hyperlink r:id="rId20">
        <w:r>
          <w:rPr>
            <w:color w:val="000000"/>
            <w:u w:val="single"/>
          </w:rPr>
          <w:t>20.01 Pilot Signoff Final Freeze Execution Workbook</w:t>
        </w:r>
      </w:hyperlink>
      <w:r>
        <w:br/>
        <w:t>Executive Gate, Ship Pilot, Tug Pilot, Pilot KPI, Final Freeze Decision.</w:t>
      </w:r>
    </w:p>
    <w:p>
      <w:pPr>
        <w:widowControl/>
      </w:pPr>
      <w:r/>
      <w:r>
        <w:rPr>
          <w:b/>
        </w:rPr>
        <w:t xml:space="preserve">K11  </w:t>
      </w:r>
      <w:hyperlink r:id="rId21">
        <w:r>
          <w:rPr>
            <w:color w:val="000000"/>
            <w:u w:val="single"/>
          </w:rPr>
          <w:t>21.01 External Legal Flag Class Signoff Pack</w:t>
        </w:r>
      </w:hyperlink>
      <w:r>
        <w:br/>
        <w:t>LEG-G01…07 ve dış kaynak/uygulanabilirlik kabulü.</w:t>
      </w:r>
    </w:p>
    <w:p>
      <w:pPr>
        <w:widowControl/>
      </w:pPr>
      <w:r/>
      <w:r>
        <w:rPr>
          <w:b/>
        </w:rPr>
        <w:t xml:space="preserve">K12  </w:t>
      </w:r>
      <w:hyperlink r:id="rId22">
        <w:r>
          <w:rPr>
            <w:color w:val="000000"/>
            <w:u w:val="single"/>
          </w:rPr>
          <w:t>22.01 Certification Proof ve Finalization Roadmap</w:t>
        </w:r>
      </w:hyperlink>
      <w:r>
        <w:br/>
        <w:t>Kanıt hiyerarşisi, class/ISO hedefleri; eski 90 günlük örnek sıra.</w:t>
      </w:r>
    </w:p>
    <w:p>
      <w:pPr>
        <w:widowControl/>
      </w:pPr>
      <w:r/>
      <w:r>
        <w:rPr>
          <w:b/>
        </w:rPr>
        <w:t xml:space="preserve">K13  </w:t>
      </w:r>
      <w:hyperlink r:id="rId23">
        <w:r>
          <w:rPr>
            <w:color w:val="000000"/>
            <w:u w:val="single"/>
          </w:rPr>
          <w:t>23.01 CI DB Engineering Validation Gate</w:t>
        </w:r>
      </w:hyperlink>
      <w:r>
        <w:br/>
        <w:t>ENG-01…14 ve dar subset sınırı; tarihsel ortam ifadeleri.</w:t>
      </w:r>
    </w:p>
    <w:p>
      <w:pPr>
        <w:widowControl/>
      </w:pPr>
      <w:r/>
      <w:r>
        <w:rPr>
          <w:b/>
        </w:rPr>
        <w:t xml:space="preserve">K14  </w:t>
      </w:r>
      <w:hyperlink r:id="rId24">
        <w:r>
          <w:rPr>
            <w:color w:val="000000"/>
            <w:u w:val="single"/>
          </w:rPr>
          <w:t>23.03 Deployment Environment Runbook</w:t>
        </w:r>
      </w:hyperlink>
      <w:r>
        <w:br/>
        <w:t>Kurum içi/self-hosted hedef, artifact promotion ve rollback.</w:t>
      </w:r>
    </w:p>
    <w:p>
      <w:pPr>
        <w:widowControl/>
      </w:pPr>
      <w:r/>
      <w:r>
        <w:rPr>
          <w:b/>
        </w:rPr>
        <w:t xml:space="preserve">K15  </w:t>
      </w:r>
      <w:hyperlink r:id="rId25">
        <w:r>
          <w:rPr>
            <w:color w:val="000000"/>
            <w:u w:val="single"/>
          </w:rPr>
          <w:t>23.04 Backup Restore DR ve 23.05 Monitoring Support</w:t>
        </w:r>
      </w:hyperlink>
      <w:r>
        <w:br/>
        <w:t>Ölçülmüş restore, RPO/RTO; destek ve SLA hedefleri için 23.05 de esas alınır.</w:t>
      </w:r>
    </w:p>
    <w:p>
      <w:pPr>
        <w:widowControl/>
      </w:pPr>
      <w:r/>
      <w:r>
        <w:rPr>
          <w:b/>
        </w:rPr>
        <w:t xml:space="preserve">K16  </w:t>
      </w:r>
      <w:hyperlink r:id="rId26">
        <w:r>
          <w:rPr>
            <w:color w:val="000000"/>
            <w:u w:val="single"/>
          </w:rPr>
          <w:t>29.01 BFF UI oturum ve taslak doğrulama raporu</w:t>
        </w:r>
      </w:hyperlink>
      <w:r>
        <w:br/>
        <w:t>29.02 evidence ZIP ile en son dar runtime kanıtı; 27 ve 28 tarihsel.</w:t>
      </w:r>
    </w:p>
    <w:p>
      <w:pPr>
        <w:widowControl/>
      </w:pPr>
      <w:r/>
      <w:r>
        <w:rPr>
          <w:b/>
        </w:rPr>
        <w:t xml:space="preserve">K17  </w:t>
      </w:r>
      <w:hyperlink r:id="rId27">
        <w:r>
          <w:rPr>
            <w:color w:val="000000"/>
            <w:u w:val="single"/>
          </w:rPr>
          <w:t>25.02 Eksik kapatma ve release hazırlık raporu</w:t>
        </w:r>
      </w:hyperlink>
      <w:r>
        <w:br/>
        <w:t>Kaynak kalitesi, I01…I06, release kapıları, evidence standardı ve açık girdiler.</w:t>
      </w:r>
    </w:p>
    <w:p>
      <w:pPr>
        <w:widowControl/>
      </w:pPr>
      <w:r/>
      <w:r>
        <w:rPr>
          <w:b/>
        </w:rPr>
        <w:t xml:space="preserve">K18  </w:t>
      </w:r>
      <w:hyperlink r:id="rId28">
        <w:r>
          <w:rPr>
            <w:color w:val="000000"/>
            <w:u w:val="single"/>
          </w:rPr>
          <w:t>06.01 PRD SRS Gemi Römorkör</w:t>
        </w:r>
      </w:hyperlink>
      <w:r>
        <w:br/>
        <w:t>D-STATE-01 ve eski uygulama sırası etiketlerinin dayanağı.</w:t>
      </w:r>
    </w:p>
    <w:p>
      <w:pPr>
        <w:widowControl/>
      </w:pPr>
      <w:r/>
      <w:r>
        <w:rPr>
          <w:b/>
        </w:rPr>
        <w:t xml:space="preserve">K19  </w:t>
      </w:r>
      <w:hyperlink r:id="rId29">
        <w:r>
          <w:rPr>
            <w:color w:val="000000"/>
            <w:u w:val="single"/>
          </w:rPr>
          <w:t>17.01 AI Governance Data Strategy</w:t>
        </w:r>
      </w:hyperlink>
      <w:r>
        <w:br/>
        <w:t>On AI use case; veri/provider/privacy, eval, kill switch ve insan yetkisi.</w:t>
      </w:r>
    </w:p>
    <w:p>
      <w:pPr>
        <w:widowControl/>
      </w:pPr>
      <w:r/>
      <w:r>
        <w:rPr>
          <w:b/>
        </w:rPr>
        <w:t xml:space="preserve">K15 ek  </w:t>
      </w:r>
      <w:hyperlink r:id="rId30">
        <w:r>
          <w:rPr>
            <w:color w:val="000000"/>
            <w:u w:val="single"/>
          </w:rPr>
          <w:t>23.05 Production Monitoring Support Runbook</w:t>
        </w:r>
      </w:hyperlink>
    </w:p>
    <w:p>
      <w:pPr>
        <w:pStyle w:val="Heading1"/>
        <w:widowControl/>
      </w:pPr>
      <w:r>
        <w:t>16 Resmi dış kaynaklar</w:t>
      </w:r>
    </w:p>
    <w:p>
      <w:pPr>
        <w:widowControl/>
      </w:pPr>
      <w:r>
        <w:t>27 Ekim 2026 tarihinde kontrol edilen resmî sayfalar aşağıdadır. Üretici sayfalarında yayın tarihi çoğunlukla belirtilmez. X01–X08 ürün beyanı; X09–X15 kaynak ve uygulanabilirlik araştırması içindir. Bu liste hukuki görüş, bağımsız ürün benchmark’ı veya kapsamlı Türk mevzuatı doğrulaması değildir.</w:t>
      </w:r>
    </w:p>
    <w:p>
      <w:pPr>
        <w:widowControl/>
      </w:pPr>
      <w:r/>
      <w:r>
        <w:rPr>
          <w:b/>
        </w:rPr>
        <w:t xml:space="preserve">X01  </w:t>
      </w:r>
      <w:hyperlink r:id="rId31">
        <w:r>
          <w:rPr>
            <w:color w:val="000000"/>
            <w:u w:val="single"/>
          </w:rPr>
          <w:t>DNV ShipManager</w:t>
        </w:r>
      </w:hyperlink>
      <w:r>
        <w:br/>
        <w:t>Entegre teknik filo modülleri ve uygulama/migration hizmetleri.</w:t>
      </w:r>
    </w:p>
    <w:p>
      <w:pPr>
        <w:widowControl/>
      </w:pPr>
      <w:r/>
      <w:r>
        <w:rPr>
          <w:b/>
        </w:rPr>
        <w:t xml:space="preserve">X02  </w:t>
      </w:r>
      <w:hyperlink r:id="rId32">
        <w:r>
          <w:rPr>
            <w:color w:val="000000"/>
            <w:u w:val="single"/>
          </w:rPr>
          <w:t>ABS Wavesight Nautical Systems</w:t>
        </w:r>
      </w:hyperlink>
      <w:r>
        <w:br/>
        <w:t>Bakım, satınalma, HSQE, crew, doküman ve browser/mobile rol uygulamaları.</w:t>
      </w:r>
    </w:p>
    <w:p>
      <w:pPr>
        <w:widowControl/>
      </w:pPr>
      <w:r/>
      <w:r>
        <w:rPr>
          <w:b/>
        </w:rPr>
        <w:t xml:space="preserve">X03  </w:t>
      </w:r>
      <w:hyperlink r:id="rId33">
        <w:r>
          <w:rPr>
            <w:color w:val="000000"/>
            <w:u w:val="single"/>
          </w:rPr>
          <w:t>SERTICA</w:t>
        </w:r>
      </w:hyperlink>
      <w:r>
        <w:br/>
        <w:t>Teknik, HSQE, crew ve performans; tug segmentine ilişkin üretici referansı.</w:t>
      </w:r>
    </w:p>
    <w:p>
      <w:pPr>
        <w:widowControl/>
      </w:pPr>
      <w:r/>
      <w:r>
        <w:rPr>
          <w:b/>
        </w:rPr>
        <w:t xml:space="preserve">X04  </w:t>
      </w:r>
      <w:hyperlink r:id="rId34">
        <w:r>
          <w:rPr>
            <w:color w:val="000000"/>
            <w:u w:val="single"/>
          </w:rPr>
          <w:t>SERTICA Cloud</w:t>
        </w:r>
      </w:hyperlink>
      <w:r>
        <w:br/>
        <w:t>Cloud, on-prem ve karma dağıtım seçenekleri.</w:t>
      </w:r>
    </w:p>
    <w:p>
      <w:pPr>
        <w:widowControl/>
      </w:pPr>
      <w:r/>
      <w:r>
        <w:rPr>
          <w:b/>
        </w:rPr>
        <w:t xml:space="preserve">X05  </w:t>
      </w:r>
      <w:hyperlink r:id="rId35">
        <w:r>
          <w:rPr>
            <w:color w:val="000000"/>
            <w:u w:val="single"/>
          </w:rPr>
          <w:t>SERTICA App</w:t>
        </w:r>
      </w:hyperlink>
      <w:r>
        <w:br/>
        <w:t>Üreticinin offline uygulama açıklaması.</w:t>
      </w:r>
    </w:p>
    <w:p>
      <w:pPr>
        <w:widowControl/>
      </w:pPr>
      <w:r/>
      <w:r>
        <w:rPr>
          <w:b/>
        </w:rPr>
        <w:t xml:space="preserve">X06  </w:t>
      </w:r>
      <w:hyperlink r:id="rId36">
        <w:r>
          <w:rPr>
            <w:color w:val="000000"/>
            <w:u w:val="single"/>
          </w:rPr>
          <w:t>Helm CONNECT</w:t>
        </w:r>
      </w:hyperlink>
      <w:r>
        <w:br/>
        <w:t>Maintenance, compliance, personnel ve vessel logistics ürün alanları.</w:t>
      </w:r>
    </w:p>
    <w:p>
      <w:pPr>
        <w:widowControl/>
      </w:pPr>
      <w:r/>
      <w:r>
        <w:rPr>
          <w:b/>
        </w:rPr>
        <w:t xml:space="preserve">X07  </w:t>
      </w:r>
      <w:hyperlink r:id="rId37">
        <w:r>
          <w:rPr>
            <w:color w:val="000000"/>
            <w:u w:val="single"/>
          </w:rPr>
          <w:t>Helm Logistics</w:t>
        </w:r>
      </w:hyperlink>
      <w:r>
        <w:br/>
        <w:t>Dispatch, iş takibi ve ticari operasyon iş akışları.</w:t>
      </w:r>
    </w:p>
    <w:p>
      <w:pPr>
        <w:widowControl/>
      </w:pPr>
      <w:r/>
      <w:r>
        <w:rPr>
          <w:b/>
        </w:rPr>
        <w:t xml:space="preserve">X08  </w:t>
      </w:r>
      <w:hyperlink r:id="rId38">
        <w:r>
          <w:rPr>
            <w:color w:val="000000"/>
            <w:u w:val="single"/>
          </w:rPr>
          <w:t>MariApps smartPAL</w:t>
        </w:r>
      </w:hyperlink>
      <w:r>
        <w:br/>
        <w:t>Web, cloud destekli ve mobile uyumlu geniş modül platformu.</w:t>
      </w:r>
    </w:p>
    <w:p>
      <w:pPr>
        <w:widowControl/>
      </w:pPr>
      <w:r/>
      <w:r>
        <w:rPr>
          <w:b/>
        </w:rPr>
        <w:t xml:space="preserve">X09  </w:t>
      </w:r>
      <w:hyperlink r:id="rId39">
        <w:r>
          <w:rPr>
            <w:color w:val="000000"/>
            <w:u w:val="single"/>
          </w:rPr>
          <w:t>IMO ISM Code</w:t>
        </w:r>
      </w:hyperlink>
      <w:r>
        <w:br/>
        <w:t>ISM çerçevesi; uygulama bağlamı için ulusal talimat ve konsolide metin gerekir.</w:t>
      </w:r>
    </w:p>
    <w:p>
      <w:pPr>
        <w:widowControl/>
      </w:pPr>
      <w:r/>
      <w:r>
        <w:rPr>
          <w:b/>
        </w:rPr>
        <w:t xml:space="preserve">X10  </w:t>
      </w:r>
      <w:hyperlink r:id="rId40">
        <w:r>
          <w:rPr>
            <w:color w:val="000000"/>
            <w:u w:val="single"/>
          </w:rPr>
          <w:t>IMO EEXI and CII entry into force</w:t>
        </w:r>
      </w:hyperlink>
      <w:r>
        <w:br/>
        <w:t>EEXI ve CII kapsam ayrımı; uygulama için güncel konsolide instrument ve flag/class yorumu gerekir.</w:t>
      </w:r>
    </w:p>
    <w:p>
      <w:pPr>
        <w:widowControl/>
      </w:pPr>
      <w:r/>
      <w:r>
        <w:rPr>
          <w:b/>
        </w:rPr>
        <w:t xml:space="preserve">X11  </w:t>
      </w:r>
      <w:hyperlink r:id="rId41">
        <w:r>
          <w:rPr>
            <w:color w:val="000000"/>
            <w:u w:val="single"/>
          </w:rPr>
          <w:t>European Commission maritime MRV FAQ</w:t>
        </w:r>
      </w:hyperlink>
      <w:r>
        <w:br/>
        <w:t>MRV genişlemesi ve kapsam; ETS ve FuelEU ayrı değerlendirilir.</w:t>
      </w:r>
    </w:p>
    <w:p>
      <w:pPr>
        <w:widowControl/>
      </w:pPr>
      <w:r/>
      <w:r>
        <w:rPr>
          <w:b/>
        </w:rPr>
        <w:t xml:space="preserve">X12  </w:t>
      </w:r>
      <w:hyperlink r:id="rId42">
        <w:r>
          <w:rPr>
            <w:color w:val="000000"/>
            <w:u w:val="single"/>
          </w:rPr>
          <w:t>IMO MSC FAL 1 Circ 3 Rev 4</w:t>
        </w:r>
      </w:hyperlink>
      <w:r>
        <w:br/>
        <w:t>28 Mayıs 2026 tarihli siber risk rehberi.</w:t>
      </w:r>
    </w:p>
    <w:p>
      <w:pPr>
        <w:widowControl/>
      </w:pPr>
      <w:r/>
      <w:r>
        <w:rPr>
          <w:b/>
        </w:rPr>
        <w:t xml:space="preserve">X13  </w:t>
      </w:r>
      <w:hyperlink r:id="rId43">
        <w:r>
          <w:rPr>
            <w:color w:val="000000"/>
            <w:u w:val="single"/>
          </w:rPr>
          <w:t>IACS UR E26 and E27 press release</w:t>
        </w:r>
      </w:hyperlink>
      <w:r>
        <w:br/>
        <w:t>Yeni inşa sözleşme tarihi ve cyber resilience kapsamına ilişkin resmî açıklama.</w:t>
      </w:r>
    </w:p>
    <w:p>
      <w:pPr>
        <w:widowControl/>
      </w:pPr>
      <w:r/>
      <w:r>
        <w:rPr>
          <w:b/>
        </w:rPr>
        <w:t xml:space="preserve">X14  </w:t>
      </w:r>
      <w:hyperlink r:id="rId44">
        <w:r>
          <w:rPr>
            <w:color w:val="000000"/>
            <w:u w:val="single"/>
          </w:rPr>
          <w:t>IMO MEPC 312 74</w:t>
        </w:r>
      </w:hyperlink>
      <w:r>
        <w:br/>
        <w:t>17 Mayıs 2019 tarihli MARPOL elektronik kayıt defteri rehberi.</w:t>
      </w:r>
    </w:p>
    <w:p>
      <w:pPr>
        <w:widowControl/>
      </w:pPr>
      <w:r/>
      <w:r>
        <w:rPr>
          <w:b/>
        </w:rPr>
        <w:t xml:space="preserve">X15  </w:t>
      </w:r>
      <w:hyperlink r:id="rId45">
        <w:r>
          <w:rPr>
            <w:color w:val="000000"/>
            <w:u w:val="single"/>
          </w:rPr>
          <w:t>Transport Canada electronic record books requirements</w:t>
        </w:r>
      </w:hyperlink>
      <w:r>
        <w:br/>
        <w:t>1 Mart 2024 tarihli idare uygulama örneği; gerekli RO belgesi ve beyanı.</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v46.3  |  30.01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atgpt.com/space/page_7f972ec2dc58819185eb0a1307b6c564" TargetMode="External"/><Relationship Id="rId11" Type="http://schemas.openxmlformats.org/officeDocument/2006/relationships/hyperlink" Target="../00_START_HERE/00.03_POSEIDON_v46.3_Teslim_Degisiklik_ve_Acik_Kararlar_Ozeti_TR.docx" TargetMode="External"/><Relationship Id="rId12" Type="http://schemas.openxmlformats.org/officeDocument/2006/relationships/hyperlink" Target="../02_PRODUCT_STRATEGY_SCOPE/04.01_POSEIDON_v46.3_Revize_Nihai_Kapsam_ve_Urun_Karar_Kaydi_TR.docx" TargetMode="External"/><Relationship Id="rId13" Type="http://schemas.openxmlformats.org/officeDocument/2006/relationships/hyperlink" Target="../02_PRODUCT_STRATEGY_SCOPE/05.01_POSEIDON_v46.3_Master_Product_Specification_Gemi_Romorkor_TR.docx" TargetMode="External"/><Relationship Id="rId14" Type="http://schemas.openxmlformats.org/officeDocument/2006/relationships/hyperlink" Target="../04_UX_PRODUCT_DESIGN/13.06_POSEIDON_v46.3_Modul_Isleyis_Surec_ve_Veri_Master_Katalogu_TR.xlsx" TargetMode="External"/><Relationship Id="rId15" Type="http://schemas.openxmlformats.org/officeDocument/2006/relationships/hyperlink" Target="../05_TECHNICAL_ARCHITECTURE/14.02_POSEIDON_v46.3_Product_Wide_Data_Dictionary_TR.xlsx" TargetMode="External"/><Relationship Id="rId16" Type="http://schemas.openxmlformats.org/officeDocument/2006/relationships/hyperlink" Target="../06_DEVELOPMENT/18.01_POSEIDON_v46.3_Development_Backlog_TR.xlsx" TargetMode="External"/><Relationship Id="rId17" Type="http://schemas.openxmlformats.org/officeDocument/2006/relationships/hyperlink" Target="../06_DEVELOPMENT/18.03_POSEIDON_v46.3_Data_Migration_ve_Customer_Onboarding_Plani_TR.docx" TargetMode="External"/><Relationship Id="rId18" Type="http://schemas.openxmlformats.org/officeDocument/2006/relationships/hyperlink" Target="../06_DEVELOPMENT/18.04_POSEIDON_v46.3_Integration_Catalogue_TR.docx" TargetMode="External"/><Relationship Id="rId19" Type="http://schemas.openxmlformats.org/officeDocument/2006/relationships/hyperlink" Target="../07_TEST_PILOT_RELEASE/19.01_POSEIDON_v46.3_Test_Pilot_UAT_Release_Gates_TR.docx" TargetMode="External"/><Relationship Id="rId20" Type="http://schemas.openxmlformats.org/officeDocument/2006/relationships/hyperlink" Target="../07_TEST_PILOT_RELEASE/20.01_POSEIDON_v46.3_Pilot_Signoff_Final_Freeze_Execution_Workbook_TR.xlsx" TargetMode="External"/><Relationship Id="rId21" Type="http://schemas.openxmlformats.org/officeDocument/2006/relationships/hyperlink" Target="../07_TEST_PILOT_RELEASE/21.01_POSEIDON_External_Legal_Flag_Class_Signoff_Pack_TR.docx" TargetMode="External"/><Relationship Id="rId22" Type="http://schemas.openxmlformats.org/officeDocument/2006/relationships/hyperlink" Target="../07_TEST_PILOT_RELEASE/22.01_POSEIDON_v46.3_Certification_Proof_ve_Finalization_Roadmap_TR.docx" TargetMode="External"/><Relationship Id="rId23" Type="http://schemas.openxmlformats.org/officeDocument/2006/relationships/hyperlink" Target="../07_TEST_PILOT_RELEASE/23.01_POSEIDON_CI_DB_Engineering_Validation_Gate_TR.docx" TargetMode="External"/><Relationship Id="rId24" Type="http://schemas.openxmlformats.org/officeDocument/2006/relationships/hyperlink" Target="../07_TEST_PILOT_RELEASE/23.03_POSEIDON_v46.3_Deployment_Environment_Runbook_TR.docx" TargetMode="External"/><Relationship Id="rId25" Type="http://schemas.openxmlformats.org/officeDocument/2006/relationships/hyperlink" Target="../07_TEST_PILOT_RELEASE/23.04_POSEIDON_v46.3_Backup_Restore_DR_Runbook_TR.docx" TargetMode="External"/><Relationship Id="rId26" Type="http://schemas.openxmlformats.org/officeDocument/2006/relationships/hyperlink" Target="../07_TEST_PILOT_RELEASE/29.01_POSEIDON_Core_v0.1_BFF_UI_Oturum_ve_Taslak_Dogrulama_Raporu_2026-10-27_TR.docx" TargetMode="External"/><Relationship Id="rId27" Type="http://schemas.openxmlformats.org/officeDocument/2006/relationships/hyperlink" Target="../08_MANAGEMENT_CONTROL/25.02_POSEIDON_v46.3_Eksik_Kapatma_ve_Release_Hazirlik_Raporu_TR.docx" TargetMode="External"/><Relationship Id="rId28" Type="http://schemas.openxmlformats.org/officeDocument/2006/relationships/hyperlink" Target="../03_REQUIREMENTS_REGULATORY/06.01_POSEIDON_v46.3_PRD_SRS_Gemi_Romorkor_TR.docx" TargetMode="External"/><Relationship Id="rId29" Type="http://schemas.openxmlformats.org/officeDocument/2006/relationships/hyperlink" Target="../05_TECHNICAL_ARCHITECTURE/17.01_POSEIDON_AI_Governance_Data_Strategy_TR.docx" TargetMode="External"/><Relationship Id="rId30" Type="http://schemas.openxmlformats.org/officeDocument/2006/relationships/hyperlink" Target="../07_TEST_PILOT_RELEASE/23.05_POSEIDON_v46.3_Production_Monitoring_Support_Runbook_TR.docx" TargetMode="External"/><Relationship Id="rId31" Type="http://schemas.openxmlformats.org/officeDocument/2006/relationships/hyperlink" Target="https://www.dnv.com/services/marine-fleet-management-software-and-ship-management-systems-shipmanager-114260/" TargetMode="External"/><Relationship Id="rId32" Type="http://schemas.openxmlformats.org/officeDocument/2006/relationships/hyperlink" Target="https://www.abswavesight.com/products/nautical-systems/" TargetMode="External"/><Relationship Id="rId33" Type="http://schemas.openxmlformats.org/officeDocument/2006/relationships/hyperlink" Target="https://www.sertica.com/" TargetMode="External"/><Relationship Id="rId34" Type="http://schemas.openxmlformats.org/officeDocument/2006/relationships/hyperlink" Target="https://www.sertica.com/services/sertica-cloud/" TargetMode="External"/><Relationship Id="rId35" Type="http://schemas.openxmlformats.org/officeDocument/2006/relationships/hyperlink" Target="https://www.sertica.com/modules/sertica-app/" TargetMode="External"/><Relationship Id="rId36" Type="http://schemas.openxmlformats.org/officeDocument/2006/relationships/hyperlink" Target="https://www.helmoperations.com/" TargetMode="External"/><Relationship Id="rId37" Type="http://schemas.openxmlformats.org/officeDocument/2006/relationships/hyperlink" Target="https://www.helmoperations.com/logistics" TargetMode="External"/><Relationship Id="rId38" Type="http://schemas.openxmlformats.org/officeDocument/2006/relationships/hyperlink" Target="https://www.mariapps.com/" TargetMode="External"/><Relationship Id="rId39" Type="http://schemas.openxmlformats.org/officeDocument/2006/relationships/hyperlink" Target="https://www.imo.org/en/ourwork/humanelement/pages/ismcode.aspx" TargetMode="External"/><Relationship Id="rId40" Type="http://schemas.openxmlformats.org/officeDocument/2006/relationships/hyperlink" Target="https://www.imo.org/en/mediacentre/pressbriefings/pages/cii-and-eexi-entry-into-force.aspx" TargetMode="External"/><Relationship Id="rId41" Type="http://schemas.openxmlformats.org/officeDocument/2006/relationships/hyperlink" Target="https://climate.ec.europa.eu/areas-action/transport-decarbonisation/reducing-emissions-shipping-sector/faq-monitoring-reporting-and-verification-maritime-transport-emissions_en" TargetMode="External"/><Relationship Id="rId42" Type="http://schemas.openxmlformats.org/officeDocument/2006/relationships/hyperlink" Target="https://wwwcdn.imo.org/localresources/en/OurWork/Facilitation/FAL%20related%20nonmandatory%20documents/MSC-FAL.1-Circ.3-Rev.4.pdf" TargetMode="External"/><Relationship Id="rId43" Type="http://schemas.openxmlformats.org/officeDocument/2006/relationships/hyperlink" Target="https://iacs.org.uk/news/iacs-ur-e26-and-e27-press-release" TargetMode="External"/><Relationship Id="rId44" Type="http://schemas.openxmlformats.org/officeDocument/2006/relationships/hyperlink" Target="https://wwwcdn.imo.org/localresources/en/OurWork/Environment/Documents/MEPC.312%2874%29.pdf" TargetMode="External"/><Relationship Id="rId45" Type="http://schemas.openxmlformats.org/officeDocument/2006/relationships/hyperlink" Target="https://tc.canada.ca/en/marine-transportation/marine-safety/ship-safety-bulletins/requirements-use-electronic-record-books-system-ssb-no-08-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tam ürün teslim yol haritası</dc:title>
  <dc:subject>2027 Q3 ve Q4 hedef penceresi için tam kapsam uygulama ve kabul planı</dc:subject>
  <dc:creator>POSEIDON</dc:creator>
  <cp:keywords>POSEIDON, v46.3, tam ürün, teslim planı, UAT, Q3 Q4 2027</cp:keywords>
  <dc:description>generated by python-docx</dc:description>
  <cp:lastModifiedBy/>
  <cp:revision>1</cp:revision>
  <dcterms:created xsi:type="dcterms:W3CDTF">2013-12-23T23:15:00Z</dcterms:created>
  <dcterms:modified xsi:type="dcterms:W3CDTF">2013-12-23T23:15:00Z</dcterms:modified>
  <cp:category/>
</cp:coreProperties>
</file>