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Написание сетевого чата. Часть II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d5d6d"/>
          <w:sz w:val="48"/>
          <w:szCs w:val="48"/>
        </w:rPr>
      </w:pPr>
      <w:r w:rsidDel="00000000" w:rsidR="00000000" w:rsidRPr="00000000">
        <w:rPr>
          <w:color w:val="99a8b7"/>
          <w:sz w:val="32"/>
          <w:szCs w:val="32"/>
          <w:highlight w:val="white"/>
          <w:rtl w:val="0"/>
        </w:rPr>
        <w:t xml:space="preserve">Разработка интерфейса для клиентской части. Авторизация. Механизмы взаимодействия клиента и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8guoejc1p34q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Серверная часть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Клиентская часть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julqsbutf8g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zaytdvsrb9z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Серверная часть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i w:val="1"/>
          <w:color w:val="000000"/>
          <w:sz w:val="16"/>
          <w:szCs w:val="16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* При рассмотрении серверной и клиентской части не будут рассматриваться моменты, описанные в методичках 6-7.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класс MyServer добавилось два метода sendMsgToClient() и broadcastClientsList(). Метод sendMsgToClient() отсылает сообщение от клиента </w:t>
      </w:r>
      <w:r w:rsidDel="00000000" w:rsidR="00000000" w:rsidRPr="00000000">
        <w:rPr>
          <w:i w:val="1"/>
          <w:color w:val="000000"/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клиенту с указанным ником(</w:t>
      </w:r>
      <w:r w:rsidDel="00000000" w:rsidR="00000000" w:rsidRPr="00000000">
        <w:rPr>
          <w:i w:val="1"/>
          <w:color w:val="000000"/>
          <w:rtl w:val="0"/>
        </w:rPr>
        <w:t xml:space="preserve">nickTo</w:t>
      </w:r>
      <w:r w:rsidDel="00000000" w:rsidR="00000000" w:rsidRPr="00000000">
        <w:rPr>
          <w:color w:val="000000"/>
          <w:rtl w:val="0"/>
        </w:rPr>
        <w:t xml:space="preserve">), если пользователя-получателя нет в списке клиентов, отправителю сообщается об этом. Метод broadcastClientsList() формирует список участников чата в виде строки «/clients nick1 nick2 nick3...» и рассылает его всем клиентам. При вызове методов subscribe() и unsubscribe(), то есть изменении списка клиентов на сервере производится авторассылка нового списка клиентов всем пользователям.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MyServer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synchronized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sendMsgToClient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nickTo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nickTo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"от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"клиенту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nickTo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"Участника с ником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nickTo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нет в чат-комнате"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synchronized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broadcastClientList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StringBuilder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StringBuilder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"/clients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sb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broadcastMsg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synchronized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unsubscribe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broadcastClientsList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synchronized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subscribe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broadcastClientsList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  <w:rtl w:val="0"/>
        </w:rPr>
        <w:t xml:space="preserve">Цикл обработки сообщений в классе ClientHandler также претерпел некоторые изменения. Как только от клиента приходит сообщение, производится проверка на наличие служебных команд, начинающихся с символа /, если такой символ стоит на первом месте, обрабатываем пришедшую команду, если нет - делаем рассылку сообщения всем участникам чата.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  <w:rtl w:val="0"/>
        </w:rPr>
        <w:t xml:space="preserve">В качестве служебной команды добавлена возможность отсылки личных сообщений через шаблон «/w имя_получателя сообщение», если сервер получает такое сообщение, извлекает имя_получателя и текстовое сообщение, после чего через метод сервера sendMsgToClient() отсылает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a6a6a6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readUTF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startsWith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"/end"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startsWith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"/w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tokens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"\\s"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tokens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substring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sendMsgToClient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broadcastMsg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Клиентская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Клиентская часть изменилась незначительно. Обработка сообщений перенесена в метод start(), то есть подключение к серверу, создание объектов типа DataInputStream и DataOutputStream, запуск потока чтения сообщений с сервера. При попытке нажать на кнопку авторизации производится проверка на подключение к серверу, если его ещ</w:t>
      </w:r>
      <w:r w:rsidDel="00000000" w:rsidR="00000000" w:rsidRPr="00000000">
        <w:rPr>
          <w:color w:val="000000"/>
          <w:rtl w:val="0"/>
        </w:rPr>
        <w:t xml:space="preserve">ё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 было или произошел обрыв соединения, метод onAuthClick() автоматически запустит метод start() для подключения к серверу.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 авторизации от сервера приходит сообщение формата «/authok nick», т.е. клиент узнает, под каким ником авторизовался. Если по какой-то причине соединение с сервером обрывается, клиентская часть «обнуляет» авторизацию, сбрасывает ник и закрывает сокет.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start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setAuthorized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socket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Socket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vertAlign w:val="baseline"/>
                <w:rtl w:val="0"/>
              </w:rPr>
              <w:t xml:space="preserve">"localhost"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vertAlign w:val="baseline"/>
                <w:rtl w:val="0"/>
              </w:rPr>
              <w:t xml:space="preserve">8189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DataInputStream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socket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getInputStream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DataOutputStream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socket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getOutputStream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t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-&gt;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str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readUTF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startsWith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vertAlign w:val="baseline"/>
                <w:rtl w:val="0"/>
              </w:rPr>
              <w:t xml:space="preserve">"/authok"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    setAuthorized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    myNick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vertAlign w:val="baseline"/>
                <w:rtl w:val="0"/>
              </w:rPr>
              <w:t xml:space="preserve">"\\s"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)[</w:t>
            </w:r>
            <w:r w:rsidDel="00000000" w:rsidR="00000000" w:rsidRPr="00000000">
              <w:rPr>
                <w:color w:val="006666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textArea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appendText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str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vertAlign w:val="baseline"/>
                <w:rtl w:val="0"/>
              </w:rPr>
              <w:t xml:space="preserve">"\n"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finally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setAuthorized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socket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myNick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    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showAlert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vertAlign w:val="baseline"/>
                <w:rtl w:val="0"/>
              </w:rPr>
              <w:t xml:space="preserve">"Не удалось подключиться к серверу"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a6a6a6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onAuthClick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socket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isClosed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"/auth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passField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loginField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setText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passField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setText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Разобраться с кодом.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Добавить отключение неавторизованных пользователей по таймауту (120 сек. 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 после подключения клиента, и если он не авторизовался за это время, закрываем соединение).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283"/>
        <w:contextualSpacing w:val="1"/>
        <w:jc w:val="both"/>
        <w:rPr/>
      </w:pPr>
      <w:r w:rsidDel="00000000" w:rsidR="00000000" w:rsidRPr="00000000">
        <w:rPr>
          <w:i w:val="0"/>
          <w:smallCaps w:val="0"/>
          <w:strike w:val="0"/>
          <w:color w:val="3c4144"/>
          <w:sz w:val="20"/>
          <w:szCs w:val="20"/>
          <w:highlight w:val="white"/>
          <w:u w:val="none"/>
          <w:vertAlign w:val="baseline"/>
          <w:rtl w:val="0"/>
        </w:rPr>
        <w:t xml:space="preserve">Кей С. Хорстманн, Гари Корнелл Java. Библиотека профессионала. Том 1. Основы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 Пер. с англ. - М.: Вильямс, 2014. - 864 с.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283"/>
        <w:contextualSpacing w:val="0"/>
        <w:jc w:val="both"/>
        <w:rPr/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Философия Java // 4-е изд.: Пер. с англ. – СПб.: Питер, 2016. – 1168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283"/>
        <w:contextualSpacing w:val="1"/>
        <w:jc w:val="both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Г. Шилдт Java 8. Полное руководство // 9-е изд.: Пер. с англ. - М.: Вильямс, 2015. - 1376 с.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283"/>
        <w:contextualSpacing w:val="0"/>
        <w:jc w:val="both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Г. Шилдт Java 8: Руководство для начинающих. // 6-е изд.: Пер. с англ. - М.: Вильямс, 2015. - 720 с.</w:t>
      </w:r>
    </w:p>
    <w:sectPr>
      <w:headerReference r:id="rId5" w:type="first"/>
      <w:footerReference r:id="rId6" w:type="default"/>
      <w:pgSz w:h="16838" w:w="11906"/>
      <w:pgMar w:bottom="1133" w:top="1133" w:left="1133" w:right="1133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92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-838516</wp:posOffset>
              </wp:positionH>
              <wp:positionV relativeFrom="paragraph">
                <wp:posOffset>-57149</wp:posOffset>
              </wp:positionV>
              <wp:extent cx="7569200" cy="119380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64258" y="3186592"/>
                        <a:ext cx="7563484" cy="118681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-838516</wp:posOffset>
              </wp:positionH>
              <wp:positionV relativeFrom="paragraph">
                <wp:posOffset>-57149</wp:posOffset>
              </wp:positionV>
              <wp:extent cx="7569200" cy="1193800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4629150</wp:posOffset>
          </wp:positionH>
          <wp:positionV relativeFrom="paragraph">
            <wp:posOffset>523875</wp:posOffset>
          </wp:positionV>
          <wp:extent cx="1254125" cy="1348105"/>
          <wp:effectExtent b="0" l="0" r="0" t="0"/>
          <wp:wrapTopAndBottom distB="0" distT="0"/>
          <wp:docPr descr="Image_0" id="1" name="image2.png"/>
          <a:graphic>
            <a:graphicData uri="http://schemas.openxmlformats.org/drawingml/2006/picture">
              <pic:pic>
                <pic:nvPicPr>
                  <pic:cNvPr descr="Image_0" id="0" name="image2.png"/>
                  <pic:cNvPicPr preferRelativeResize="0"/>
                </pic:nvPicPr>
                <pic:blipFill>
                  <a:blip r:embed="rId2"/>
                  <a:srcRect b="0" l="77247" r="0" t="0"/>
                  <a:stretch>
                    <a:fillRect/>
                  </a:stretch>
                </pic:blipFill>
                <pic:spPr>
                  <a:xfrm>
                    <a:off x="0" y="0"/>
                    <a:ext cx="1254125" cy="13481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-114299</wp:posOffset>
              </wp:positionH>
              <wp:positionV relativeFrom="paragraph">
                <wp:posOffset>523875</wp:posOffset>
              </wp:positionV>
              <wp:extent cx="5511800" cy="1473200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93275" y="3048163"/>
                        <a:ext cx="5505449" cy="1463674"/>
                      </a:xfrm>
                      <a:custGeom>
                        <a:pathLst>
                          <a:path extrusionOk="0" h="1463675" w="5505450">
                            <a:moveTo>
                              <a:pt x="0" y="0"/>
                            </a:moveTo>
                            <a:lnTo>
                              <a:pt x="0" y="1463675"/>
                            </a:lnTo>
                            <a:lnTo>
                              <a:pt x="5505450" y="1463675"/>
                            </a:lnTo>
                            <a:lnTo>
                              <a:pt x="55054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Java. Уровень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8</w:t>
                          </w:r>
                        </w:p>
                      </w:txbxContent>
                    </wps:txbx>
                    <wps:bodyPr anchorCtr="0" anchor="t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</wp:posOffset>
              </wp:positionH>
              <wp:positionV relativeFrom="paragraph">
                <wp:posOffset>523875</wp:posOffset>
              </wp:positionV>
              <wp:extent cx="5511800" cy="1473200"/>
              <wp:effectExtent b="0" l="0" r="0" t="0"/>
              <wp:wrapTopAndBottom distB="0" dist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7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spacing w:before="9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2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3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