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60" w:before="0"/>
        <w:jc w:val="center"/>
      </w:pPr>
      <w:r>
        <w:rPr>
          <w:rFonts w:ascii="Arial" w:cs="Arial" w:eastAsia="Arial" w:hAnsi="Arial"/>
          <w:color w:val="888888"/>
          <w:sz w:val="28"/>
          <w:szCs w:val="28"/>
        </w:rPr>
        <w:t xml:space="preserve">SAPFM Member Desktop</w:t>
      </w:r>
    </w:p>
    <w:p>
      <w:pPr>
        <w:spacing w:after="120" w:before="0"/>
        <w:jc w:val="center"/>
      </w:pPr>
      <w:r>
        <w:rPr>
          <w:rFonts w:ascii="Arial" w:cs="Arial" w:eastAsia="Arial" w:hAnsi="Arial"/>
          <w:b/>
          <w:bCs/>
          <w:color w:val="1E4B8C"/>
          <w:sz w:val="48"/>
          <w:szCs w:val="48"/>
        </w:rPr>
        <w:t xml:space="preserve">Card Catalog — Reference Library</w:t>
      </w:r>
    </w:p>
    <w:p>
      <w:pPr>
        <w:pBdr>
          <w:bottom w:val="single" w:color="8B6914" w:sz="6" w:space="1"/>
        </w:pBdr>
        <w:spacing w:after="240" w:before="0"/>
        <w:jc w:val="center"/>
      </w:pPr>
      <w:r>
        <w:rPr>
          <w:rFonts w:ascii="Arial" w:cs="Arial" w:eastAsia="Arial" w:hAnsi="Arial"/>
          <w:i/>
          <w:iCs/>
          <w:color w:val="8B6914"/>
          <w:sz w:val="28"/>
          <w:szCs w:val="28"/>
        </w:rPr>
        <w:t xml:space="preserve">Chipstone American Furniture — POC Kickoff Package</w:t>
      </w:r>
    </w:p>
    <w:p>
      <w:pPr>
        <w:spacing w:before="240"/>
      </w:pPr>
    </w:p>
    <w:p>
      <w:pPr>
        <w:jc w:val="center"/>
      </w:pPr>
      <w:r>
        <w:rPr>
          <w:rFonts w:ascii="Arial" w:cs="Arial" w:eastAsia="Arial" w:hAnsi="Arial"/>
          <w:color w:val="666666"/>
          <w:sz w:val="22"/>
          <w:szCs w:val="22"/>
        </w:rPr>
        <w:t xml:space="preserve">Project Brief  ·  Schema  ·  Controlled Vocabularies  ·  Sample Cards</w:t>
      </w:r>
    </w:p>
    <w:p>
      <w:pPr>
        <w:spacing w:before="120"/>
        <w:jc w:val="center"/>
      </w:pPr>
      <w:r>
        <w:rPr>
          <w:rFonts w:ascii="Arial" w:cs="Arial" w:eastAsia="Arial" w:hAnsi="Arial"/>
          <w:color w:val="888888"/>
          <w:sz w:val="22"/>
          <w:szCs w:val="22"/>
        </w:rPr>
        <w:t xml:space="preserve">April 2026</w:t>
      </w:r>
    </w:p>
    <w:p>
      <w:r>
        <w:br w:type="page"/>
      </w:r>
    </w:p>
    <w:p>
      <w:pPr>
        <w:shd w:fill="1E4B8C" w:val="clear"/>
        <w:spacing w:after="120" w:before="320"/>
      </w:pPr>
      <w:r>
        <w:rPr>
          <w:rFonts w:ascii="Arial" w:cs="Arial" w:eastAsia="Arial" w:hAnsi="Arial"/>
          <w:b/>
          <w:bCs/>
          <w:color w:val="FFFFFF"/>
          <w:sz w:val="24"/>
          <w:szCs w:val="24"/>
        </w:rPr>
        <w:t xml:space="preserve">  PART 1 — PROJECT BRIEF  </w:t>
      </w:r>
    </w:p>
    <w:p>
      <w:pPr>
        <w:pStyle w:val="Heading1"/>
        <w:spacing w:after="120" w:before="360"/>
      </w:pPr>
      <w:r>
        <w:rPr>
          <w:rFonts w:ascii="Arial" w:cs="Arial" w:eastAsia="Arial" w:hAnsi="Arial"/>
          <w:b/>
          <w:bCs/>
          <w:color w:val="1E4B8C"/>
          <w:sz w:val="32"/>
          <w:szCs w:val="32"/>
        </w:rPr>
        <w:t xml:space="preserve">What We Are Building</w:t>
      </w:r>
    </w:p>
    <w:p>
      <w:pPr>
        <w:spacing w:after="80" w:before="80"/>
      </w:pPr>
      <w:r>
        <w:rPr>
          <w:rFonts w:ascii="Arial" w:cs="Arial" w:eastAsia="Arial" w:hAnsi="Arial"/>
          <w:color w:val="444444"/>
          <w:sz w:val="22"/>
          <w:szCs w:val="22"/>
        </w:rPr>
        <w:t xml:space="preserve">The SAPFM Card Catalog is a human-curated, topic-organized reference index for the Member Desktop. Each entry — a "card" — describes one article, chapter, or publication relevant to American period furniture making, and links directly to where it can be read or downloaded.</w:t>
      </w:r>
    </w:p>
    <w:p>
      <w:pPr>
        <w:spacing w:after="80" w:before="80"/>
      </w:pPr>
      <w:r>
        <w:rPr>
          <w:rFonts w:ascii="Arial" w:cs="Arial" w:eastAsia="Arial" w:hAnsi="Arial"/>
          <w:color w:val="444444"/>
          <w:sz w:val="22"/>
          <w:szCs w:val="22"/>
        </w:rPr>
        <w:t xml:space="preserve">The catalog is not a search engine. It is an annotated bibliography organized the way a furniture maker thinks — by period, form, region, and technique — rather than by publication date or author. Its value is editorial: the curation and description represent SAPFM's collective scholarly judgment about what is worth reading and why.</w:t>
      </w:r>
    </w:p>
    <w:p>
      <w:pPr>
        <w:pBdr>
          <w:bottom w:val="single" w:color="CCCCCC" w:sz="4" w:space="1"/>
        </w:pBdr>
        <w:spacing w:after="160" w:before="160"/>
      </w:pPr>
    </w:p>
    <w:p>
      <w:pPr>
        <w:pStyle w:val="Heading2"/>
        <w:spacing w:after="100" w:before="280"/>
      </w:pPr>
      <w:r>
        <w:rPr>
          <w:rFonts w:ascii="Arial" w:cs="Arial" w:eastAsia="Arial" w:hAnsi="Arial"/>
          <w:b/>
          <w:bCs/>
          <w:color w:val="1E4B8C"/>
          <w:sz w:val="26"/>
          <w:szCs w:val="26"/>
        </w:rPr>
        <w:t xml:space="preserve">The Card Catalog Metaphor</w:t>
      </w:r>
    </w:p>
    <w:p>
      <w:pPr>
        <w:spacing w:after="80" w:before="80"/>
      </w:pPr>
      <w:r>
        <w:rPr>
          <w:rFonts w:ascii="Arial" w:cs="Arial" w:eastAsia="Arial" w:hAnsi="Arial"/>
          <w:color w:val="444444"/>
          <w:sz w:val="22"/>
          <w:szCs w:val="22"/>
        </w:rPr>
        <w:t xml:space="preserve">The library card catalog is the organizing metaphor throughout the product. It is immediately understood, implies curated authority, and accurately describes what is being built. A reference librarian's card catalog — not a wiki, not a search index, not a feed.</w:t>
      </w:r>
    </w:p>
    <w:p>
      <w:pPr>
        <w:spacing w:after="80" w:before="80"/>
      </w:pPr>
      <w:r>
        <w:rPr>
          <w:rFonts w:ascii="Arial" w:cs="Arial" w:eastAsia="Arial" w:hAnsi="Arial"/>
          <w:color w:val="444444"/>
          <w:sz w:val="22"/>
          <w:szCs w:val="22"/>
        </w:rPr>
        <w:t xml:space="preserve">Each card represents one unit of scholarship. For journal articles (Chipstone American Furniture), that unit is the article. For books with distinct chapters (Met Publications, Winterthur catalogs), the unit is the chapter or section. The card surfaces the article or chapter, not the whole publication.</w:t>
      </w:r>
    </w:p>
    <w:p>
      <w:pPr>
        <w:pBdr>
          <w:bottom w:val="single" w:color="CCCCCC" w:sz="4" w:space="1"/>
        </w:pBdr>
        <w:spacing w:after="160" w:before="160"/>
      </w:pPr>
    </w:p>
    <w:p>
      <w:pPr>
        <w:pStyle w:val="Heading2"/>
        <w:spacing w:after="100" w:before="280"/>
      </w:pPr>
      <w:r>
        <w:rPr>
          <w:rFonts w:ascii="Arial" w:cs="Arial" w:eastAsia="Arial" w:hAnsi="Arial"/>
          <w:b/>
          <w:bCs/>
          <w:color w:val="1E4B8C"/>
          <w:sz w:val="26"/>
          <w:szCs w:val="26"/>
        </w:rPr>
        <w:t xml:space="preserve">Why Chipstone American Furniture First</w:t>
      </w:r>
    </w:p>
    <w:p>
      <w:pPr>
        <w:spacing w:after="80" w:before="80"/>
      </w:pPr>
      <w:r>
        <w:rPr>
          <w:rFonts w:ascii="Arial" w:cs="Arial" w:eastAsia="Arial" w:hAnsi="Arial"/>
          <w:color w:val="444444"/>
          <w:sz w:val="22"/>
          <w:szCs w:val="22"/>
        </w:rPr>
        <w:t xml:space="preserve">The Chipstone Foundation's annual American Furniture journal (1993–present) is the field's journal of record for American furniture scholarship. Its articles are:</w:t>
      </w:r>
    </w:p>
    <w:p>
      <w:pPr>
        <w:pStyle w:val="ListParagraph"/>
        <w:numPr>
          <w:ilvl w:val="0"/>
          <w:numId w:val="2"/>
        </w:numPr>
        <w:spacing w:after="40" w:before="40"/>
      </w:pPr>
      <w:r>
        <w:rPr>
          <w:rFonts w:ascii="Arial" w:cs="Arial" w:eastAsia="Arial" w:hAnsi="Arial"/>
          <w:color w:val="444444"/>
          <w:sz w:val="22"/>
          <w:szCs w:val="22"/>
        </w:rPr>
        <w:t xml:space="preserve">Freely readable online at chipstone.org, article by article</w:t>
      </w:r>
    </w:p>
    <w:p>
      <w:pPr>
        <w:pStyle w:val="ListParagraph"/>
        <w:numPr>
          <w:ilvl w:val="0"/>
          <w:numId w:val="2"/>
        </w:numPr>
        <w:spacing w:after="40" w:before="40"/>
      </w:pPr>
      <w:r>
        <w:rPr>
          <w:rFonts w:ascii="Arial" w:cs="Arial" w:eastAsia="Arial" w:hAnsi="Arial"/>
          <w:color w:val="444444"/>
          <w:sz w:val="22"/>
          <w:szCs w:val="22"/>
        </w:rPr>
        <w:t xml:space="preserve">Not organized by topic — only chronologically by issue</w:t>
      </w:r>
    </w:p>
    <w:p>
      <w:pPr>
        <w:pStyle w:val="ListParagraph"/>
        <w:numPr>
          <w:ilvl w:val="0"/>
          <w:numId w:val="2"/>
        </w:numPr>
        <w:spacing w:after="40" w:before="40"/>
      </w:pPr>
      <w:r>
        <w:rPr>
          <w:rFonts w:ascii="Arial" w:cs="Arial" w:eastAsia="Arial" w:hAnsi="Arial"/>
          <w:color w:val="444444"/>
          <w:sz w:val="22"/>
          <w:szCs w:val="22"/>
        </w:rPr>
        <w:t xml:space="preserve">Not searchable in a way that serves a maker's research workflow</w:t>
      </w:r>
    </w:p>
    <w:p>
      <w:pPr>
        <w:pStyle w:val="ListParagraph"/>
        <w:numPr>
          <w:ilvl w:val="0"/>
          <w:numId w:val="2"/>
        </w:numPr>
        <w:spacing w:after="40" w:before="40"/>
      </w:pPr>
      <w:r>
        <w:rPr>
          <w:rFonts w:ascii="Arial" w:cs="Arial" w:eastAsia="Arial" w:hAnsi="Arial"/>
          <w:color w:val="444444"/>
          <w:sz w:val="22"/>
          <w:szCs w:val="22"/>
        </w:rPr>
        <w:t xml:space="preserve">Of consistently high scholarly quality, peer-reviewed</w:t>
      </w:r>
    </w:p>
    <w:p>
      <w:pPr>
        <w:pStyle w:val="ListParagraph"/>
        <w:numPr>
          <w:ilvl w:val="0"/>
          <w:numId w:val="2"/>
        </w:numPr>
        <w:spacing w:after="40" w:before="40"/>
      </w:pPr>
      <w:r>
        <w:rPr>
          <w:rFonts w:ascii="Arial" w:cs="Arial" w:eastAsia="Arial" w:hAnsi="Arial"/>
          <w:color w:val="444444"/>
          <w:sz w:val="22"/>
          <w:szCs w:val="22"/>
        </w:rPr>
        <w:t xml:space="preserve">Directly relevant to SAPFM's membership interest in period construction, attribution, and regional style</w:t>
      </w:r>
    </w:p>
    <w:p>
      <w:pPr>
        <w:spacing w:before="80"/>
      </w:pPr>
    </w:p>
    <w:p>
      <w:pPr>
        <w:spacing w:after="80" w:before="80"/>
      </w:pPr>
      <w:r>
        <w:rPr>
          <w:rFonts w:ascii="Arial" w:cs="Arial" w:eastAsia="Arial" w:hAnsi="Arial"/>
          <w:color w:val="444444"/>
          <w:sz w:val="22"/>
          <w:szCs w:val="22"/>
        </w:rPr>
        <w:t xml:space="preserve">The gap Chipstone has not filled is a topic-organized, maker-centric entry point into 30 years of scholarship. SAPFM is uniquely positioned to fill it.</w:t>
      </w:r>
    </w:p>
    <w:p>
      <w:pPr>
        <w:pBdr>
          <w:bottom w:val="single" w:color="CCCCCC" w:sz="4" w:space="1"/>
        </w:pBdr>
        <w:spacing w:after="160" w:before="160"/>
      </w:pPr>
    </w:p>
    <w:p>
      <w:pPr>
        <w:pStyle w:val="Heading2"/>
        <w:spacing w:after="100" w:before="280"/>
      </w:pPr>
      <w:r>
        <w:rPr>
          <w:rFonts w:ascii="Arial" w:cs="Arial" w:eastAsia="Arial" w:hAnsi="Arial"/>
          <w:b/>
          <w:bCs/>
          <w:color w:val="1E4B8C"/>
          <w:sz w:val="26"/>
          <w:szCs w:val="26"/>
        </w:rPr>
        <w:t xml:space="preserve">What "Our Work" Means Legally</w:t>
      </w:r>
    </w:p>
    <w:p>
      <w:pPr>
        <w:spacing w:after="80" w:before="80"/>
      </w:pPr>
      <w:r>
        <w:rPr>
          <w:rFonts w:ascii="Arial" w:cs="Arial" w:eastAsia="Arial" w:hAnsi="Arial"/>
          <w:color w:val="444444"/>
          <w:sz w:val="22"/>
          <w:szCs w:val="22"/>
        </w:rPr>
        <w:t xml:space="preserve">Linking to content is not a copyright issue. An annotated index is a legitimate scholarly form with no legal exposure, provided:</w:t>
      </w:r>
    </w:p>
    <w:p>
      <w:pPr>
        <w:pStyle w:val="ListParagraph"/>
        <w:numPr>
          <w:ilvl w:val="0"/>
          <w:numId w:val="2"/>
        </w:numPr>
        <w:spacing w:after="40" w:before="40"/>
      </w:pPr>
      <w:r>
        <w:rPr>
          <w:rFonts w:ascii="Arial" w:cs="Arial" w:eastAsia="Arial" w:hAnsi="Arial"/>
          <w:color w:val="444444"/>
          <w:sz w:val="22"/>
          <w:szCs w:val="22"/>
        </w:rPr>
        <w:t xml:space="preserve">Card titles and author names are factual (not copyrightable)</w:t>
      </w:r>
    </w:p>
    <w:p>
      <w:pPr>
        <w:pStyle w:val="ListParagraph"/>
        <w:numPr>
          <w:ilvl w:val="0"/>
          <w:numId w:val="2"/>
        </w:numPr>
        <w:spacing w:after="40" w:before="40"/>
      </w:pPr>
      <w:r>
        <w:rPr>
          <w:rFonts w:ascii="Arial" w:cs="Arial" w:eastAsia="Arial" w:hAnsi="Arial"/>
          <w:color w:val="444444"/>
          <w:sz w:val="22"/>
          <w:szCs w:val="22"/>
        </w:rPr>
        <w:t xml:space="preserve">Descriptions are written in original prose (our work, not reproduced text)</w:t>
      </w:r>
    </w:p>
    <w:p>
      <w:pPr>
        <w:pStyle w:val="ListParagraph"/>
        <w:numPr>
          <w:ilvl w:val="0"/>
          <w:numId w:val="2"/>
        </w:numPr>
        <w:spacing w:after="40" w:before="40"/>
      </w:pPr>
      <w:r>
        <w:rPr>
          <w:rFonts w:ascii="Arial" w:cs="Arial" w:eastAsia="Arial" w:hAnsi="Arial"/>
          <w:color w:val="444444"/>
          <w:sz w:val="22"/>
          <w:szCs w:val="22"/>
        </w:rPr>
        <w:t xml:space="preserve">Tags and controlled vocabulary assignments are our editorial judgment</w:t>
      </w:r>
    </w:p>
    <w:p>
      <w:pPr>
        <w:pStyle w:val="ListParagraph"/>
        <w:numPr>
          <w:ilvl w:val="0"/>
          <w:numId w:val="2"/>
        </w:numPr>
        <w:spacing w:after="40" w:before="40"/>
      </w:pPr>
      <w:r>
        <w:rPr>
          <w:rFonts w:ascii="Arial" w:cs="Arial" w:eastAsia="Arial" w:hAnsi="Arial"/>
          <w:color w:val="444444"/>
          <w:sz w:val="22"/>
          <w:szCs w:val="22"/>
        </w:rPr>
        <w:t xml:space="preserve">URLs point to the source institution's own pages</w:t>
      </w:r>
    </w:p>
    <w:p>
      <w:pPr>
        <w:spacing w:before="80"/>
      </w:pPr>
    </w:p>
    <w:p>
      <w:pPr>
        <w:spacing w:after="80" w:before="80"/>
      </w:pPr>
      <w:r>
        <w:rPr>
          <w:rFonts w:ascii="Arial" w:cs="Arial" w:eastAsia="Arial" w:hAnsi="Arial"/>
          <w:color w:val="444444"/>
          <w:sz w:val="22"/>
          <w:szCs w:val="22"/>
        </w:rPr>
        <w:t xml:space="preserve">We do not reproduce article text. We describe it and point to it. This is how indexes, bibliographies, and finding aids have worked for centuries.</w:t>
      </w:r>
    </w:p>
    <w:p>
      <w:pPr>
        <w:pBdr>
          <w:bottom w:val="single" w:color="CCCCCC" w:sz="4" w:space="1"/>
        </w:pBdr>
        <w:spacing w:after="160" w:before="160"/>
      </w:pPr>
    </w:p>
    <w:p>
      <w:pPr>
        <w:pStyle w:val="Heading2"/>
        <w:spacing w:after="100" w:before="280"/>
      </w:pPr>
      <w:r>
        <w:rPr>
          <w:rFonts w:ascii="Arial" w:cs="Arial" w:eastAsia="Arial" w:hAnsi="Arial"/>
          <w:b/>
          <w:bCs/>
          <w:color w:val="1E4B8C"/>
          <w:sz w:val="26"/>
          <w:szCs w:val="26"/>
        </w:rPr>
        <w:t xml:space="preserve">The Frothless-Wiki Contribution Model</w:t>
      </w:r>
    </w:p>
    <w:p>
      <w:pPr>
        <w:spacing w:after="80" w:before="80"/>
      </w:pPr>
      <w:r>
        <w:rPr>
          <w:rFonts w:ascii="Arial" w:cs="Arial" w:eastAsia="Arial" w:hAnsi="Arial"/>
          <w:color w:val="444444"/>
          <w:sz w:val="22"/>
          <w:szCs w:val="22"/>
        </w:rPr>
        <w:t xml:space="preserve">The Card Catalog operates on the same moderated contribution model established for the Museum Shows feed and being generalized across the Member Desktop:</w:t>
      </w:r>
    </w:p>
    <w:p>
      <w:pPr>
        <w:pStyle w:val="ListParagraph"/>
        <w:numPr>
          <w:ilvl w:val="0"/>
          <w:numId w:val="2"/>
        </w:numPr>
        <w:spacing w:after="40" w:before="40"/>
      </w:pPr>
      <w:r>
        <w:rPr>
          <w:rFonts w:ascii="Arial" w:cs="Arial" w:eastAsia="Arial" w:hAnsi="Arial"/>
          <w:color w:val="444444"/>
          <w:sz w:val="22"/>
          <w:szCs w:val="22"/>
        </w:rPr>
        <w:t xml:space="preserve">Any member can submit a card via a structured form</w:t>
      </w:r>
    </w:p>
    <w:p>
      <w:pPr>
        <w:pStyle w:val="ListParagraph"/>
        <w:numPr>
          <w:ilvl w:val="0"/>
          <w:numId w:val="2"/>
        </w:numPr>
        <w:spacing w:after="40" w:before="40"/>
      </w:pPr>
      <w:r>
        <w:rPr>
          <w:rFonts w:ascii="Arial" w:cs="Arial" w:eastAsia="Arial" w:hAnsi="Arial"/>
          <w:color w:val="444444"/>
          <w:sz w:val="22"/>
          <w:szCs w:val="22"/>
        </w:rPr>
        <w:t xml:space="preserve">Submissions enter a moderation queue</w:t>
      </w:r>
    </w:p>
    <w:p>
      <w:pPr>
        <w:pStyle w:val="ListParagraph"/>
        <w:numPr>
          <w:ilvl w:val="0"/>
          <w:numId w:val="2"/>
        </w:numPr>
        <w:spacing w:after="40" w:before="40"/>
      </w:pPr>
      <w:r>
        <w:rPr>
          <w:rFonts w:ascii="Arial" w:cs="Arial" w:eastAsia="Arial" w:hAnsi="Arial"/>
          <w:color w:val="444444"/>
          <w:sz w:val="22"/>
          <w:szCs w:val="22"/>
        </w:rPr>
        <w:t xml:space="preserve">An editorial group reviews, edits for consistency, and approves</w:t>
      </w:r>
    </w:p>
    <w:p>
      <w:pPr>
        <w:pStyle w:val="ListParagraph"/>
        <w:numPr>
          <w:ilvl w:val="0"/>
          <w:numId w:val="2"/>
        </w:numPr>
        <w:spacing w:after="40" w:before="40"/>
      </w:pPr>
      <w:r>
        <w:rPr>
          <w:rFonts w:ascii="Arial" w:cs="Arial" w:eastAsia="Arial" w:hAnsi="Arial"/>
          <w:color w:val="444444"/>
          <w:sz w:val="22"/>
          <w:szCs w:val="22"/>
        </w:rPr>
        <w:t xml:space="preserve">Approved cards merge into the canonical index with contributor attribution</w:t>
      </w:r>
    </w:p>
    <w:p>
      <w:pPr>
        <w:pStyle w:val="ListParagraph"/>
        <w:numPr>
          <w:ilvl w:val="0"/>
          <w:numId w:val="2"/>
        </w:numPr>
        <w:spacing w:after="40" w:before="40"/>
      </w:pPr>
      <w:r>
        <w:rPr>
          <w:rFonts w:ascii="Arial" w:cs="Arial" w:eastAsia="Arial" w:hAnsi="Arial"/>
          <w:color w:val="444444"/>
          <w:sz w:val="22"/>
          <w:szCs w:val="22"/>
        </w:rPr>
        <w:t xml:space="preserve">"Contributed by [Member Name]" appears on approved cards</w:t>
      </w:r>
    </w:p>
    <w:p>
      <w:pPr>
        <w:spacing w:before="80"/>
      </w:pPr>
    </w:p>
    <w:p>
      <w:pPr>
        <w:spacing w:after="80" w:before="80"/>
      </w:pPr>
      <w:r>
        <w:rPr>
          <w:rFonts w:ascii="Arial" w:cs="Arial" w:eastAsia="Arial" w:hAnsi="Arial"/>
          <w:color w:val="444444"/>
          <w:sz w:val="22"/>
          <w:szCs w:val="22"/>
        </w:rPr>
        <w:t xml:space="preserve">This achieves wiki-style distributed expertise without the quality degradation of open editing. The friction is at the output end (moderation), not the input end (submission). A slow, careful, reliable index is the right character for a scholarly reference resource.</w:t>
      </w:r>
    </w:p>
    <w:p>
      <w:pPr>
        <w:pBdr>
          <w:bottom w:val="single" w:color="CCCCCC" w:sz="4" w:space="1"/>
        </w:pBdr>
        <w:spacing w:after="160" w:before="160"/>
      </w:pPr>
    </w:p>
    <w:p>
      <w:pPr>
        <w:pStyle w:val="Heading2"/>
        <w:spacing w:after="100" w:before="280"/>
      </w:pPr>
      <w:r>
        <w:rPr>
          <w:rFonts w:ascii="Arial" w:cs="Arial" w:eastAsia="Arial" w:hAnsi="Arial"/>
          <w:b/>
          <w:bCs/>
          <w:color w:val="1E4B8C"/>
          <w:sz w:val="26"/>
          <w:szCs w:val="26"/>
        </w:rPr>
        <w:t xml:space="preserve">Phased Scope</w:t>
      </w:r>
    </w:p>
    <w:p>
      <w:pPr>
        <w:spacing w:after="80" w:before="80"/>
      </w:pPr>
      <w:r>
        <w:rPr>
          <w:rFonts w:ascii="Arial" w:cs="Arial" w:eastAsia="Arial" w:hAnsi="Arial"/>
          <w:color w:val="444444"/>
          <w:sz w:val="22"/>
          <w:szCs w:val="22"/>
        </w:rPr>
        <w:t xml:space="preserve">Phase 1 — Chipstone POC (this document):</w:t>
      </w:r>
    </w:p>
    <w:p>
      <w:pPr>
        <w:pStyle w:val="ListParagraph"/>
        <w:numPr>
          <w:ilvl w:val="0"/>
          <w:numId w:val="2"/>
        </w:numPr>
        <w:spacing w:after="40" w:before="40"/>
      </w:pPr>
      <w:r>
        <w:rPr>
          <w:rFonts w:ascii="Arial" w:cs="Arial" w:eastAsia="Arial" w:hAnsi="Arial"/>
          <w:color w:val="444444"/>
          <w:sz w:val="22"/>
          <w:szCs w:val="22"/>
        </w:rPr>
        <w:t xml:space="preserve">D1 schema for library_cards and submissions tables</w:t>
      </w:r>
    </w:p>
    <w:p>
      <w:pPr>
        <w:pStyle w:val="ListParagraph"/>
        <w:numPr>
          <w:ilvl w:val="0"/>
          <w:numId w:val="2"/>
        </w:numPr>
        <w:spacing w:after="40" w:before="40"/>
      </w:pPr>
      <w:r>
        <w:rPr>
          <w:rFonts w:ascii="Arial" w:cs="Arial" w:eastAsia="Arial" w:hAnsi="Arial"/>
          <w:color w:val="444444"/>
          <w:sz w:val="22"/>
          <w:szCs w:val="22"/>
        </w:rPr>
        <w:t xml:space="preserve">Worker endpoints: list, get, submit, moderate</w:t>
      </w:r>
    </w:p>
    <w:p>
      <w:pPr>
        <w:pStyle w:val="ListParagraph"/>
        <w:numPr>
          <w:ilvl w:val="0"/>
          <w:numId w:val="2"/>
        </w:numPr>
        <w:spacing w:after="40" w:before="40"/>
      </w:pPr>
      <w:r>
        <w:rPr>
          <w:rFonts w:ascii="Arial" w:cs="Arial" w:eastAsia="Arial" w:hAnsi="Arial"/>
          <w:color w:val="444444"/>
          <w:sz w:val="22"/>
          <w:szCs w:val="22"/>
        </w:rPr>
        <w:t xml:space="preserve">Member-facing browse UI: faceted by period, form, region, topic</w:t>
      </w:r>
    </w:p>
    <w:p>
      <w:pPr>
        <w:pStyle w:val="ListParagraph"/>
        <w:numPr>
          <w:ilvl w:val="0"/>
          <w:numId w:val="2"/>
        </w:numPr>
        <w:spacing w:after="40" w:before="40"/>
      </w:pPr>
      <w:r>
        <w:rPr>
          <w:rFonts w:ascii="Arial" w:cs="Arial" w:eastAsia="Arial" w:hAnsi="Arial"/>
          <w:color w:val="444444"/>
          <w:sz w:val="22"/>
          <w:szCs w:val="22"/>
        </w:rPr>
        <w:t xml:space="preserve">Card detail view with article link</w:t>
      </w:r>
    </w:p>
    <w:p>
      <w:pPr>
        <w:pStyle w:val="ListParagraph"/>
        <w:numPr>
          <w:ilvl w:val="0"/>
          <w:numId w:val="2"/>
        </w:numPr>
        <w:spacing w:after="40" w:before="40"/>
      </w:pPr>
      <w:r>
        <w:rPr>
          <w:rFonts w:ascii="Arial" w:cs="Arial" w:eastAsia="Arial" w:hAnsi="Arial"/>
          <w:color w:val="444444"/>
          <w:sz w:val="22"/>
          <w:szCs w:val="22"/>
        </w:rPr>
        <w:t xml:space="preserve">Admin moderation queue</w:t>
      </w:r>
    </w:p>
    <w:p>
      <w:pPr>
        <w:pStyle w:val="ListParagraph"/>
        <w:numPr>
          <w:ilvl w:val="0"/>
          <w:numId w:val="2"/>
        </w:numPr>
        <w:spacing w:after="40" w:before="40"/>
      </w:pPr>
      <w:r>
        <w:rPr>
          <w:rFonts w:ascii="Arial" w:cs="Arial" w:eastAsia="Arial" w:hAnsi="Arial"/>
          <w:color w:val="444444"/>
          <w:sz w:val="22"/>
          <w:szCs w:val="22"/>
        </w:rPr>
        <w:t xml:space="preserve">Seed data: 8 cards from American Furniture 1996 (see Part 3)</w:t>
      </w:r>
    </w:p>
    <w:p>
      <w:pPr>
        <w:spacing w:before="80"/>
      </w:pPr>
    </w:p>
    <w:p>
      <w:pPr>
        <w:spacing w:after="80" w:before="80"/>
      </w:pPr>
      <w:r>
        <w:rPr>
          <w:rFonts w:ascii="Arial" w:cs="Arial" w:eastAsia="Arial" w:hAnsi="Arial"/>
          <w:color w:val="444444"/>
          <w:sz w:val="22"/>
          <w:szCs w:val="22"/>
        </w:rPr>
        <w:t xml:space="preserve">Phase 2 — Expand corpus:</w:t>
      </w:r>
    </w:p>
    <w:p>
      <w:pPr>
        <w:pStyle w:val="ListParagraph"/>
        <w:numPr>
          <w:ilvl w:val="0"/>
          <w:numId w:val="2"/>
        </w:numPr>
        <w:spacing w:after="40" w:before="40"/>
      </w:pPr>
      <w:r>
        <w:rPr>
          <w:rFonts w:ascii="Arial" w:cs="Arial" w:eastAsia="Arial" w:hAnsi="Arial"/>
          <w:color w:val="444444"/>
          <w:sz w:val="22"/>
          <w:szCs w:val="22"/>
        </w:rPr>
        <w:t xml:space="preserve">Remaining Chipstone issues (1993–2023, ~300 additional cards)</w:t>
      </w:r>
    </w:p>
    <w:p>
      <w:pPr>
        <w:pStyle w:val="ListParagraph"/>
        <w:numPr>
          <w:ilvl w:val="0"/>
          <w:numId w:val="2"/>
        </w:numPr>
        <w:spacing w:after="40" w:before="40"/>
      </w:pPr>
      <w:r>
        <w:rPr>
          <w:rFonts w:ascii="Arial" w:cs="Arial" w:eastAsia="Arial" w:hAnsi="Arial"/>
          <w:color w:val="444444"/>
          <w:sz w:val="22"/>
          <w:szCs w:val="22"/>
        </w:rPr>
        <w:t xml:space="preserve">Met Publications American Wing titles (chapter-level cards, free PDF)</w:t>
      </w:r>
    </w:p>
    <w:p>
      <w:pPr>
        <w:pStyle w:val="ListParagraph"/>
        <w:numPr>
          <w:ilvl w:val="0"/>
          <w:numId w:val="2"/>
        </w:numPr>
        <w:spacing w:after="40" w:before="40"/>
      </w:pPr>
      <w:r>
        <w:rPr>
          <w:rFonts w:ascii="Arial" w:cs="Arial" w:eastAsia="Arial" w:hAnsi="Arial"/>
          <w:color w:val="444444"/>
          <w:sz w:val="22"/>
          <w:szCs w:val="22"/>
        </w:rPr>
        <w:t xml:space="preserve">Winterthur trade catalogs on Internet Archive (public domain)</w:t>
      </w:r>
    </w:p>
    <w:p>
      <w:pPr>
        <w:pStyle w:val="ListParagraph"/>
        <w:numPr>
          <w:ilvl w:val="0"/>
          <w:numId w:val="2"/>
        </w:numPr>
        <w:spacing w:after="40" w:before="40"/>
      </w:pPr>
      <w:r>
        <w:rPr>
          <w:rFonts w:ascii="Arial" w:cs="Arial" w:eastAsia="Arial" w:hAnsi="Arial"/>
          <w:color w:val="444444"/>
          <w:sz w:val="22"/>
          <w:szCs w:val="22"/>
        </w:rPr>
        <w:t xml:space="preserve">Ward annual bibliography entries as citation-only cards</w:t>
      </w:r>
    </w:p>
    <w:p>
      <w:pPr>
        <w:spacing w:before="80"/>
      </w:pPr>
    </w:p>
    <w:p>
      <w:pPr>
        <w:spacing w:after="80" w:before="80"/>
      </w:pPr>
      <w:r>
        <w:rPr>
          <w:rFonts w:ascii="Arial" w:cs="Arial" w:eastAsia="Arial" w:hAnsi="Arial"/>
          <w:color w:val="444444"/>
          <w:sz w:val="22"/>
          <w:szCs w:val="22"/>
        </w:rPr>
        <w:t xml:space="preserve">Phase 3 — Additional sources:</w:t>
      </w:r>
    </w:p>
    <w:p>
      <w:pPr>
        <w:pStyle w:val="ListParagraph"/>
        <w:numPr>
          <w:ilvl w:val="0"/>
          <w:numId w:val="2"/>
        </w:numPr>
        <w:spacing w:after="40" w:before="40"/>
      </w:pPr>
      <w:r>
        <w:rPr>
          <w:rFonts w:ascii="Arial" w:cs="Arial" w:eastAsia="Arial" w:hAnsi="Arial"/>
          <w:color w:val="444444"/>
          <w:sz w:val="22"/>
          <w:szCs w:val="22"/>
        </w:rPr>
        <w:t xml:space="preserve">MESDA Journal (Museum of Early Southern Decorative Arts — freely online)</w:t>
      </w:r>
    </w:p>
    <w:p>
      <w:pPr>
        <w:pStyle w:val="ListParagraph"/>
        <w:numPr>
          <w:ilvl w:val="0"/>
          <w:numId w:val="2"/>
        </w:numPr>
        <w:spacing w:after="40" w:before="40"/>
      </w:pPr>
      <w:r>
        <w:rPr>
          <w:rFonts w:ascii="Arial" w:cs="Arial" w:eastAsia="Arial" w:hAnsi="Arial"/>
          <w:color w:val="444444"/>
          <w:sz w:val="22"/>
          <w:szCs w:val="22"/>
        </w:rPr>
        <w:t xml:space="preserve">Period design books: Chippendale Director, Hepplewhite, Sheraton (Internet Archive, public domain)</w:t>
      </w:r>
    </w:p>
    <w:p>
      <w:pPr>
        <w:pStyle w:val="ListParagraph"/>
        <w:numPr>
          <w:ilvl w:val="0"/>
          <w:numId w:val="2"/>
        </w:numPr>
        <w:spacing w:after="40" w:before="40"/>
      </w:pPr>
      <w:r>
        <w:rPr>
          <w:rFonts w:ascii="Arial" w:cs="Arial" w:eastAsia="Arial" w:hAnsi="Arial"/>
          <w:color w:val="444444"/>
          <w:sz w:val="22"/>
          <w:szCs w:val="22"/>
        </w:rPr>
        <w:t xml:space="preserve">Member-contributed cards from books they personally own</w:t>
      </w:r>
    </w:p>
    <w:p>
      <w:r>
        <w:br w:type="page"/>
      </w:r>
    </w:p>
    <w:p>
      <w:pPr>
        <w:shd w:fill="1E4B8C" w:val="clear"/>
        <w:spacing w:after="120" w:before="320"/>
      </w:pPr>
      <w:r>
        <w:rPr>
          <w:rFonts w:ascii="Arial" w:cs="Arial" w:eastAsia="Arial" w:hAnsi="Arial"/>
          <w:b/>
          <w:bCs/>
          <w:color w:val="FFFFFF"/>
          <w:sz w:val="24"/>
          <w:szCs w:val="24"/>
        </w:rPr>
        <w:t xml:space="preserve">  PART 2 — SCHEMA  </w:t>
      </w:r>
    </w:p>
    <w:p>
      <w:pPr>
        <w:pStyle w:val="Heading1"/>
        <w:spacing w:after="120" w:before="360"/>
      </w:pPr>
      <w:r>
        <w:rPr>
          <w:rFonts w:ascii="Arial" w:cs="Arial" w:eastAsia="Arial" w:hAnsi="Arial"/>
          <w:b/>
          <w:bCs/>
          <w:color w:val="1E4B8C"/>
          <w:sz w:val="32"/>
          <w:szCs w:val="32"/>
        </w:rPr>
        <w:t xml:space="preserve">D1 Database Schema</w:t>
      </w:r>
    </w:p>
    <w:p>
      <w:pPr>
        <w:pStyle w:val="Heading2"/>
        <w:spacing w:after="100" w:before="280"/>
      </w:pPr>
      <w:r>
        <w:rPr>
          <w:rFonts w:ascii="Arial" w:cs="Arial" w:eastAsia="Arial" w:hAnsi="Arial"/>
          <w:b/>
          <w:bCs/>
          <w:color w:val="1E4B8C"/>
          <w:sz w:val="26"/>
          <w:szCs w:val="26"/>
        </w:rPr>
        <w:t xml:space="preserve">library_cards</w:t>
      </w:r>
    </w:p>
    <w:p>
      <w:pPr>
        <w:spacing w:after="80" w:before="80"/>
      </w:pPr>
      <w:r>
        <w:rPr>
          <w:rFonts w:ascii="Arial" w:cs="Arial" w:eastAsia="Arial" w:hAnsi="Arial"/>
          <w:color w:val="444444"/>
          <w:sz w:val="22"/>
          <w:szCs w:val="22"/>
        </w:rPr>
        <w:t xml:space="preserve">The canonical card table. One row per indexable unit of scholarship (article, chapter, or book).</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5400"/>
      </w:tblGrid>
      <w:tr>
        <w:tc>
          <w:tcPr>
            <w:tcW w:type="dxa" w:w="2160"/>
            <w:tcBorders>
              <w:top w:val="single" w:color="CCCCCC" w:sz="1"/>
              <w:left w:val="single" w:color="CCCCCC" w:sz="1"/>
              <w:bottom w:val="single" w:color="CCCCCC" w:sz="1"/>
              <w:right w:val="single" w:color="CCCCCC" w:sz="1"/>
            </w:tcBorders>
            <w:shd w:fill="1E4B8C"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E4B8C"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400"/>
            <w:tcBorders>
              <w:top w:val="single" w:color="CCCCCC" w:sz="1"/>
              <w:left w:val="single" w:color="CCCCCC" w:sz="1"/>
              <w:bottom w:val="single" w:color="CCCCCC" w:sz="1"/>
              <w:right w:val="single" w:color="CCCCCC" w:sz="1"/>
            </w:tcBorders>
            <w:shd w:fill="1E4B8C"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00000"/>
                <w:sz w:val="18"/>
                <w:szCs w:val="18"/>
              </w:rPr>
              <w:t xml:space="preserve">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8B6914"/>
                <w:sz w:val="18"/>
                <w:szCs w:val="18"/>
              </w:rPr>
              <w:t xml:space="preserve">INTEGER</w:t>
            </w:r>
          </w:p>
        </w:tc>
        <w:tc>
          <w:tcPr>
            <w:tcW w:type="dxa" w:w="5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444444"/>
                <w:sz w:val="18"/>
                <w:szCs w:val="18"/>
              </w:rPr>
              <w:t xml:space="preserve">Primary key, auto-increment</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00000"/>
                <w:sz w:val="18"/>
                <w:szCs w:val="18"/>
              </w:rPr>
              <w:t xml:space="preserve">title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8B6914"/>
                <w:sz w:val="18"/>
                <w:szCs w:val="18"/>
              </w:rPr>
              <w:t xml:space="preserve">TEXT</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Full article or chapter title — not abbreviated</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00000"/>
                <w:sz w:val="18"/>
                <w:szCs w:val="18"/>
              </w:rPr>
              <w:t xml:space="preserve">authors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8B6914"/>
                <w:sz w:val="18"/>
                <w:szCs w:val="18"/>
              </w:rPr>
              <w:t xml:space="preserve">TEXT</w:t>
            </w:r>
          </w:p>
        </w:tc>
        <w:tc>
          <w:tcPr>
            <w:tcW w:type="dxa" w:w="5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444444"/>
                <w:sz w:val="18"/>
                <w:szCs w:val="18"/>
              </w:rPr>
              <w:t xml:space="preserve">JSON array of author name strings</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00000"/>
                <w:sz w:val="18"/>
                <w:szCs w:val="18"/>
              </w:rPr>
              <w:t xml:space="preserve">year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8B6914"/>
                <w:sz w:val="18"/>
                <w:szCs w:val="18"/>
              </w:rPr>
              <w:t xml:space="preserve">INTEGER</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Publication year</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00000"/>
                <w:sz w:val="18"/>
                <w:szCs w:val="18"/>
              </w:rPr>
              <w:t xml:space="preserve">source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8B6914"/>
                <w:sz w:val="18"/>
                <w:szCs w:val="18"/>
              </w:rPr>
              <w:t xml:space="preserve">TEXT</w:t>
            </w:r>
          </w:p>
        </w:tc>
        <w:tc>
          <w:tcPr>
            <w:tcW w:type="dxa" w:w="5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444444"/>
                <w:sz w:val="18"/>
                <w:szCs w:val="18"/>
              </w:rPr>
              <w:t xml:space="preserve">Human-readable source label, e.g. 'Chipstone — American Furniture'</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00000"/>
                <w:sz w:val="18"/>
                <w:szCs w:val="18"/>
              </w:rPr>
              <w:t xml:space="preserve">source_key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8B6914"/>
                <w:sz w:val="18"/>
                <w:szCs w:val="18"/>
              </w:rPr>
              <w:t xml:space="preserve">TEXT</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Machine key: 'chipstone', 'met', 'winterthur', 'mesda', etc.</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00000"/>
                <w:sz w:val="18"/>
                <w:szCs w:val="18"/>
              </w:rPr>
              <w:t xml:space="preserve">card_type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8B6914"/>
                <w:sz w:val="18"/>
                <w:szCs w:val="18"/>
              </w:rPr>
              <w:t xml:space="preserve">TEXT</w:t>
            </w:r>
          </w:p>
        </w:tc>
        <w:tc>
          <w:tcPr>
            <w:tcW w:type="dxa" w:w="5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444444"/>
                <w:sz w:val="18"/>
                <w:szCs w:val="18"/>
              </w:rPr>
              <w:t xml:space="preserve">'article', 'chapter', 'book', 'catalog'</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00000"/>
                <w:sz w:val="18"/>
                <w:szCs w:val="18"/>
              </w:rPr>
              <w:t xml:space="preserve">parent_id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8B6914"/>
                <w:sz w:val="18"/>
                <w:szCs w:val="18"/>
              </w:rPr>
              <w:t xml:space="preserve">INTEGER</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For chapter cards: FK to the parent book card. NULL for top-level.</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00000"/>
                <w:sz w:val="18"/>
                <w:szCs w:val="18"/>
              </w:rPr>
              <w:t xml:space="preserve">page_start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8B6914"/>
                <w:sz w:val="18"/>
                <w:szCs w:val="18"/>
              </w:rPr>
              <w:t xml:space="preserve">INTEGER</w:t>
            </w:r>
          </w:p>
        </w:tc>
        <w:tc>
          <w:tcPr>
            <w:tcW w:type="dxa" w:w="5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444444"/>
                <w:sz w:val="18"/>
                <w:szCs w:val="18"/>
              </w:rPr>
              <w:t xml:space="preserve">First page (chapters/articles with page refs). NULL if not applicable.</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00000"/>
                <w:sz w:val="18"/>
                <w:szCs w:val="18"/>
              </w:rPr>
              <w:t xml:space="preserve">page_end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8B6914"/>
                <w:sz w:val="18"/>
                <w:szCs w:val="18"/>
              </w:rPr>
              <w:t xml:space="preserve">INTEGER</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Last page. NULL if not applicable.</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00000"/>
                <w:sz w:val="18"/>
                <w:szCs w:val="18"/>
              </w:rPr>
              <w:t xml:space="preserve">description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8B6914"/>
                <w:sz w:val="18"/>
                <w:szCs w:val="18"/>
              </w:rPr>
              <w:t xml:space="preserve">TEXT</w:t>
            </w:r>
          </w:p>
        </w:tc>
        <w:tc>
          <w:tcPr>
            <w:tcW w:type="dxa" w:w="5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444444"/>
                <w:sz w:val="18"/>
                <w:szCs w:val="18"/>
              </w:rPr>
              <w:t xml:space="preserve">Original 2–4 sentence description written by SAPFM editorial. NOT reproduced text.</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00000"/>
                <w:sz w:val="18"/>
                <w:szCs w:val="18"/>
              </w:rPr>
              <w:t xml:space="preserve">period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8B6914"/>
                <w:sz w:val="18"/>
                <w:szCs w:val="18"/>
              </w:rPr>
              <w:t xml:space="preserve">TEXT</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JSON array — controlled vocab (see below)</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00000"/>
                <w:sz w:val="18"/>
                <w:szCs w:val="18"/>
              </w:rPr>
              <w:t xml:space="preserve">form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8B6914"/>
                <w:sz w:val="18"/>
                <w:szCs w:val="18"/>
              </w:rPr>
              <w:t xml:space="preserve">TEXT</w:t>
            </w:r>
          </w:p>
        </w:tc>
        <w:tc>
          <w:tcPr>
            <w:tcW w:type="dxa" w:w="5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444444"/>
                <w:sz w:val="18"/>
                <w:szCs w:val="18"/>
              </w:rPr>
              <w:t xml:space="preserve">JSON array — controlled vocab</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00000"/>
                <w:sz w:val="18"/>
                <w:szCs w:val="18"/>
              </w:rPr>
              <w:t xml:space="preserve">region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8B6914"/>
                <w:sz w:val="18"/>
                <w:szCs w:val="18"/>
              </w:rPr>
              <w:t xml:space="preserve">TEXT</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JSON array — controlled vocab</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00000"/>
                <w:sz w:val="18"/>
                <w:szCs w:val="18"/>
              </w:rPr>
              <w:t xml:space="preserve">topic</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8B6914"/>
                <w:sz w:val="18"/>
                <w:szCs w:val="18"/>
              </w:rPr>
              <w:t xml:space="preserve">TEXT</w:t>
            </w:r>
          </w:p>
        </w:tc>
        <w:tc>
          <w:tcPr>
            <w:tcW w:type="dxa" w:w="5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444444"/>
                <w:sz w:val="18"/>
                <w:szCs w:val="18"/>
              </w:rPr>
              <w:t xml:space="preserve">JSON array — controlled vocab</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00000"/>
                <w:sz w:val="18"/>
                <w:szCs w:val="18"/>
              </w:rPr>
              <w:t xml:space="preserve">makers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8B6914"/>
                <w:sz w:val="18"/>
                <w:szCs w:val="18"/>
              </w:rPr>
              <w:t xml:space="preserve">TEXT</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JSON array of craftsman/maker names mentioned</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00000"/>
                <w:sz w:val="18"/>
                <w:szCs w:val="18"/>
              </w:rPr>
              <w:t xml:space="preserve">is_free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8B6914"/>
                <w:sz w:val="18"/>
                <w:szCs w:val="18"/>
              </w:rPr>
              <w:t xml:space="preserve">INTEGER</w:t>
            </w:r>
          </w:p>
        </w:tc>
        <w:tc>
          <w:tcPr>
            <w:tcW w:type="dxa" w:w="5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444444"/>
                <w:sz w:val="18"/>
                <w:szCs w:val="18"/>
              </w:rPr>
              <w:t xml:space="preserve">1 = freely readable online. 0 = citation-only (purchase/library)</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00000"/>
                <w:sz w:val="18"/>
                <w:szCs w:val="18"/>
              </w:rPr>
              <w:t xml:space="preserve">view_url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8B6914"/>
                <w:sz w:val="18"/>
                <w:szCs w:val="18"/>
              </w:rPr>
              <w:t xml:space="preserve">TEXT</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Direct link to article/chapter viewer (HTML or PDF viewer)</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00000"/>
                <w:sz w:val="18"/>
                <w:szCs w:val="18"/>
              </w:rPr>
              <w:t xml:space="preserve">download_url</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8B6914"/>
                <w:sz w:val="18"/>
                <w:szCs w:val="18"/>
              </w:rPr>
              <w:t xml:space="preserve">TEXT</w:t>
            </w:r>
          </w:p>
        </w:tc>
        <w:tc>
          <w:tcPr>
            <w:tcW w:type="dxa" w:w="5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444444"/>
                <w:sz w:val="18"/>
                <w:szCs w:val="18"/>
              </w:rPr>
              <w:t xml:space="preserve">Direct PDF download URL if available. NULL otherwise.</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00000"/>
                <w:sz w:val="18"/>
                <w:szCs w:val="18"/>
              </w:rPr>
              <w:t xml:space="preserve">contributed_by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8B6914"/>
                <w:sz w:val="18"/>
                <w:szCs w:val="18"/>
              </w:rPr>
              <w:t xml:space="preserve">TEXT</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Member ID if member-contributed. NULL if staff-generated.</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00000"/>
                <w:sz w:val="18"/>
                <w:szCs w:val="18"/>
              </w:rPr>
              <w:t xml:space="preserve">contributor_name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8B6914"/>
                <w:sz w:val="18"/>
                <w:szCs w:val="18"/>
              </w:rPr>
              <w:t xml:space="preserve">TEXT</w:t>
            </w:r>
          </w:p>
        </w:tc>
        <w:tc>
          <w:tcPr>
            <w:tcW w:type="dxa" w:w="5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444444"/>
                <w:sz w:val="18"/>
                <w:szCs w:val="18"/>
              </w:rPr>
              <w:t xml:space="preserve">Display name for attribution on card detail</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00000"/>
                <w:sz w:val="18"/>
                <w:szCs w:val="18"/>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8B6914"/>
                <w:sz w:val="18"/>
                <w:szCs w:val="18"/>
              </w:rPr>
              <w:t xml:space="preserve">TEXT</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'approved' (all visible cards). Cards enter via submissions table.</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00000"/>
                <w:sz w:val="18"/>
                <w:szCs w:val="18"/>
              </w:rPr>
              <w:t xml:space="preserve">created_at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8B6914"/>
                <w:sz w:val="18"/>
                <w:szCs w:val="18"/>
              </w:rPr>
              <w:t xml:space="preserve">TEXT</w:t>
            </w:r>
          </w:p>
        </w:tc>
        <w:tc>
          <w:tcPr>
            <w:tcW w:type="dxa" w:w="5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444444"/>
                <w:sz w:val="18"/>
                <w:szCs w:val="18"/>
              </w:rPr>
              <w:t xml:space="preserve">ISO datetime</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00000"/>
                <w:sz w:val="18"/>
                <w:szCs w:val="18"/>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8B6914"/>
                <w:sz w:val="18"/>
                <w:szCs w:val="18"/>
              </w:rPr>
              <w:t xml:space="preserve">TEXT</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ISO datetime</w:t>
            </w:r>
          </w:p>
        </w:tc>
      </w:tr>
    </w:tbl>
    <w:p>
      <w:pPr>
        <w:spacing w:before="240"/>
      </w:pPr>
    </w:p>
    <w:p>
      <w:pPr>
        <w:pStyle w:val="Heading2"/>
        <w:spacing w:after="100" w:before="280"/>
      </w:pPr>
      <w:r>
        <w:rPr>
          <w:rFonts w:ascii="Arial" w:cs="Arial" w:eastAsia="Arial" w:hAnsi="Arial"/>
          <w:b/>
          <w:bCs/>
          <w:color w:val="1E4B8C"/>
          <w:sz w:val="26"/>
          <w:szCs w:val="26"/>
        </w:rPr>
        <w:t xml:space="preserve">submissions</w:t>
      </w:r>
    </w:p>
    <w:p>
      <w:pPr>
        <w:spacing w:after="80" w:before="80"/>
      </w:pPr>
      <w:r>
        <w:rPr>
          <w:rFonts w:ascii="Arial" w:cs="Arial" w:eastAsia="Arial" w:hAnsi="Arial"/>
          <w:color w:val="444444"/>
          <w:sz w:val="22"/>
          <w:szCs w:val="22"/>
        </w:rPr>
        <w:t xml:space="preserve">Member-submitted card candidates awaiting editorial review. On approval, a row is written to library_cards and the submission status updated.</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5400"/>
      </w:tblGrid>
      <w:tr>
        <w:tc>
          <w:tcPr>
            <w:tcW w:type="dxa" w:w="2160"/>
            <w:tcBorders>
              <w:top w:val="single" w:color="CCCCCC" w:sz="1"/>
              <w:left w:val="single" w:color="CCCCCC" w:sz="1"/>
              <w:bottom w:val="single" w:color="CCCCCC" w:sz="1"/>
              <w:right w:val="single" w:color="CCCCCC" w:sz="1"/>
            </w:tcBorders>
            <w:shd w:fill="1E4B8C"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E4B8C"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400"/>
            <w:tcBorders>
              <w:top w:val="single" w:color="CCCCCC" w:sz="1"/>
              <w:left w:val="single" w:color="CCCCCC" w:sz="1"/>
              <w:bottom w:val="single" w:color="CCCCCC" w:sz="1"/>
              <w:right w:val="single" w:color="CCCCCC" w:sz="1"/>
            </w:tcBorders>
            <w:shd w:fill="1E4B8C"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00000"/>
                <w:sz w:val="18"/>
                <w:szCs w:val="18"/>
              </w:rPr>
              <w:t xml:space="preserve">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8B6914"/>
                <w:sz w:val="18"/>
                <w:szCs w:val="18"/>
              </w:rPr>
              <w:t xml:space="preserve">INTEGER</w:t>
            </w:r>
          </w:p>
        </w:tc>
        <w:tc>
          <w:tcPr>
            <w:tcW w:type="dxa" w:w="5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444444"/>
                <w:sz w:val="18"/>
                <w:szCs w:val="18"/>
              </w:rPr>
              <w:t xml:space="preserve">Primary key</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00000"/>
                <w:sz w:val="18"/>
                <w:szCs w:val="18"/>
              </w:rPr>
              <w:t xml:space="preserve">entity_type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8B6914"/>
                <w:sz w:val="18"/>
                <w:szCs w:val="18"/>
              </w:rPr>
              <w:t xml:space="preserve">TEXT</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'library_card' — extensible to other entity types</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00000"/>
                <w:sz w:val="18"/>
                <w:szCs w:val="18"/>
              </w:rPr>
              <w:t xml:space="preserve">entity_id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8B6914"/>
                <w:sz w:val="18"/>
                <w:szCs w:val="18"/>
              </w:rPr>
              <w:t xml:space="preserve">INTEGER</w:t>
            </w:r>
          </w:p>
        </w:tc>
        <w:tc>
          <w:tcPr>
            <w:tcW w:type="dxa" w:w="5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444444"/>
                <w:sz w:val="18"/>
                <w:szCs w:val="18"/>
              </w:rPr>
              <w:t xml:space="preserve">NULL for new cards. Populated if correcting an existing card.</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00000"/>
                <w:sz w:val="18"/>
                <w:szCs w:val="18"/>
              </w:rPr>
              <w:t xml:space="preserve">payload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8B6914"/>
                <w:sz w:val="18"/>
                <w:szCs w:val="18"/>
              </w:rPr>
              <w:t xml:space="preserve">TEXT</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JSON blob — same fields as library_cards, minus system fields</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00000"/>
                <w:sz w:val="18"/>
                <w:szCs w:val="18"/>
              </w:rPr>
              <w:t xml:space="preserve">submitted_by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8B6914"/>
                <w:sz w:val="18"/>
                <w:szCs w:val="18"/>
              </w:rPr>
              <w:t xml:space="preserve">TEXT</w:t>
            </w:r>
          </w:p>
        </w:tc>
        <w:tc>
          <w:tcPr>
            <w:tcW w:type="dxa" w:w="5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444444"/>
                <w:sz w:val="18"/>
                <w:szCs w:val="18"/>
              </w:rPr>
              <w:t xml:space="preserve">PMPro member ID</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00000"/>
                <w:sz w:val="18"/>
                <w:szCs w:val="18"/>
              </w:rPr>
              <w:t xml:space="preserve">submitter_name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8B6914"/>
                <w:sz w:val="18"/>
                <w:szCs w:val="18"/>
              </w:rPr>
              <w:t xml:space="preserve">TEXT</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Display name, captured at submit time</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00000"/>
                <w:sz w:val="18"/>
                <w:szCs w:val="18"/>
              </w:rPr>
              <w:t xml:space="preserve">status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8B6914"/>
                <w:sz w:val="18"/>
                <w:szCs w:val="18"/>
              </w:rPr>
              <w:t xml:space="preserve">TEXT</w:t>
            </w:r>
          </w:p>
        </w:tc>
        <w:tc>
          <w:tcPr>
            <w:tcW w:type="dxa" w:w="5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444444"/>
                <w:sz w:val="18"/>
                <w:szCs w:val="18"/>
              </w:rPr>
              <w:t xml:space="preserve">'pending', 'approved', 'rejected', 'revision_requested'</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00000"/>
                <w:sz w:val="18"/>
                <w:szCs w:val="18"/>
              </w:rPr>
              <w:t xml:space="preserve">reviewer_notes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8B6914"/>
                <w:sz w:val="18"/>
                <w:szCs w:val="18"/>
              </w:rPr>
              <w:t xml:space="preserve">TEXT</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Editor feedback visible to submitter</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00000"/>
                <w:sz w:val="18"/>
                <w:szCs w:val="18"/>
              </w:rPr>
              <w:t xml:space="preserve">reviewed_by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8B6914"/>
                <w:sz w:val="18"/>
                <w:szCs w:val="18"/>
              </w:rPr>
              <w:t xml:space="preserve">TEXT</w:t>
            </w:r>
          </w:p>
        </w:tc>
        <w:tc>
          <w:tcPr>
            <w:tcW w:type="dxa" w:w="5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444444"/>
                <w:sz w:val="18"/>
                <w:szCs w:val="18"/>
              </w:rPr>
              <w:t xml:space="preserve">Admin user ID</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00000"/>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8B6914"/>
                <w:sz w:val="18"/>
                <w:szCs w:val="18"/>
              </w:rPr>
              <w:t xml:space="preserve">TEXT</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ISO datetime</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00000"/>
                <w:sz w:val="18"/>
                <w:szCs w:val="18"/>
              </w:rPr>
              <w:t xml:space="preserve">updated_at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8B6914"/>
                <w:sz w:val="18"/>
                <w:szCs w:val="18"/>
              </w:rPr>
              <w:t xml:space="preserve">TEXT</w:t>
            </w:r>
          </w:p>
        </w:tc>
        <w:tc>
          <w:tcPr>
            <w:tcW w:type="dxa" w:w="5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444444"/>
                <w:sz w:val="18"/>
                <w:szCs w:val="18"/>
              </w:rPr>
              <w:t xml:space="preserve">ISO datetime</w:t>
            </w:r>
          </w:p>
        </w:tc>
      </w:tr>
    </w:tbl>
    <w:p>
      <w:pPr>
        <w:spacing w:before="240"/>
      </w:pPr>
    </w:p>
    <w:p>
      <w:pPr>
        <w:pStyle w:val="Heading2"/>
        <w:spacing w:after="100" w:before="280"/>
      </w:pPr>
      <w:r>
        <w:rPr>
          <w:rFonts w:ascii="Arial" w:cs="Arial" w:eastAsia="Arial" w:hAnsi="Arial"/>
          <w:b/>
          <w:bCs/>
          <w:color w:val="1E4B8C"/>
          <w:sz w:val="26"/>
          <w:szCs w:val="26"/>
        </w:rPr>
        <w:t xml:space="preserve">Worker Endpoints</w:t>
      </w:r>
    </w:p>
    <w:p>
      <w:pPr>
        <w:spacing w:after="80" w:before="80"/>
      </w:pPr>
      <w:r>
        <w:rPr>
          <w:rFonts w:ascii="Arial" w:cs="Arial" w:eastAsia="Arial" w:hAnsi="Arial"/>
          <w:color w:val="444444"/>
          <w:sz w:val="22"/>
          <w:szCs w:val="22"/>
        </w:rPr>
        <w:t xml:space="preserve">All endpoints under /api/library/ on the SAPFM Cloudflare Worker.</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5400"/>
      </w:tblGrid>
      <w:tr>
        <w:tc>
          <w:tcPr>
            <w:tcW w:type="dxa" w:w="2160"/>
            <w:tcBorders>
              <w:top w:val="single" w:color="CCCCCC" w:sz="1"/>
              <w:left w:val="single" w:color="CCCCCC" w:sz="1"/>
              <w:bottom w:val="single" w:color="CCCCCC" w:sz="1"/>
              <w:right w:val="single" w:color="CCCCCC" w:sz="1"/>
            </w:tcBorders>
            <w:shd w:fill="1E4B8C"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E4B8C"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400"/>
            <w:tcBorders>
              <w:top w:val="single" w:color="CCCCCC" w:sz="1"/>
              <w:left w:val="single" w:color="CCCCCC" w:sz="1"/>
              <w:bottom w:val="single" w:color="CCCCCC" w:sz="1"/>
              <w:right w:val="single" w:color="CCCCCC" w:sz="1"/>
            </w:tcBorders>
            <w:shd w:fill="1E4B8C"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00000"/>
                <w:sz w:val="18"/>
                <w:szCs w:val="18"/>
              </w:rPr>
              <w:t xml:space="preserve">GET  /cards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8B6914"/>
                <w:sz w:val="18"/>
                <w:szCs w:val="18"/>
              </w:rPr>
              <w:t xml:space="preserve">—</w:t>
            </w:r>
          </w:p>
        </w:tc>
        <w:tc>
          <w:tcPr>
            <w:tcW w:type="dxa" w:w="5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444444"/>
                <w:sz w:val="18"/>
                <w:szCs w:val="18"/>
              </w:rPr>
              <w:t xml:space="preserve">List cards. Accepts query params: period, form, region, topic, source_key, q (text search on title/description/makers)</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00000"/>
                <w:sz w:val="18"/>
                <w:szCs w:val="18"/>
              </w:rPr>
              <w:t xml:space="preserve">GET  /cards/:id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8B6914"/>
                <w:sz w:val="18"/>
                <w:szCs w:val="18"/>
              </w:rPr>
              <w:t xml:space="preserve">—</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Single card detail</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00000"/>
                <w:sz w:val="18"/>
                <w:szCs w:val="18"/>
              </w:rPr>
              <w:t xml:space="preserve">POST /submissions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8B6914"/>
                <w:sz w:val="18"/>
                <w:szCs w:val="18"/>
              </w:rPr>
              <w:t xml:space="preserve">Member</w:t>
            </w:r>
          </w:p>
        </w:tc>
        <w:tc>
          <w:tcPr>
            <w:tcW w:type="dxa" w:w="5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444444"/>
                <w:sz w:val="18"/>
                <w:szCs w:val="18"/>
              </w:rPr>
              <w:t xml:space="preserve">Submit a new card. Body: payload JSON. Auth via PMPro JWT.</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00000"/>
                <w:sz w:val="18"/>
                <w:szCs w:val="18"/>
              </w:rPr>
              <w:t xml:space="preserve">GET  /submissions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8B6914"/>
                <w:sz w:val="18"/>
                <w:szCs w:val="18"/>
              </w:rPr>
              <w:t xml:space="preserve">Admin</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List pending submissions</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00000"/>
                <w:sz w:val="18"/>
                <w:szCs w:val="18"/>
              </w:rPr>
              <w:t xml:space="preserve">PATCH /submissions/:id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8B6914"/>
                <w:sz w:val="18"/>
                <w:szCs w:val="18"/>
              </w:rPr>
              <w:t xml:space="preserve">Admin</w:t>
            </w:r>
          </w:p>
        </w:tc>
        <w:tc>
          <w:tcPr>
            <w:tcW w:type="dxa" w:w="5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444444"/>
                <w:sz w:val="18"/>
                <w:szCs w:val="18"/>
              </w:rPr>
              <w:t xml:space="preserve">Approve (writes to library_cards), reject, or request revision</w:t>
            </w:r>
          </w:p>
        </w:tc>
      </w:tr>
    </w:tbl>
    <w:p>
      <w:r>
        <w:br w:type="page"/>
      </w:r>
    </w:p>
    <w:p>
      <w:pPr>
        <w:pStyle w:val="Heading1"/>
        <w:spacing w:after="120" w:before="360"/>
      </w:pPr>
      <w:r>
        <w:rPr>
          <w:rFonts w:ascii="Arial" w:cs="Arial" w:eastAsia="Arial" w:hAnsi="Arial"/>
          <w:b/>
          <w:bCs/>
          <w:color w:val="1E4B8C"/>
          <w:sz w:val="32"/>
          <w:szCs w:val="32"/>
        </w:rPr>
        <w:t xml:space="preserve">Controlled Vocabularies</w:t>
      </w:r>
    </w:p>
    <w:p>
      <w:pPr>
        <w:spacing w:after="80" w:before="80"/>
      </w:pPr>
      <w:r>
        <w:rPr>
          <w:rFonts w:ascii="Arial" w:cs="Arial" w:eastAsia="Arial" w:hAnsi="Arial"/>
          <w:color w:val="444444"/>
          <w:sz w:val="22"/>
          <w:szCs w:val="22"/>
        </w:rPr>
        <w:t xml:space="preserve">All vocabulary fields store JSON arrays. Multiple values allowed. Use these exact strings to ensure consistent faceted browsing. Editors may extend the lists as new material warrants — add to this document when doing so.</w:t>
      </w:r>
    </w:p>
    <w:p>
      <w:pPr>
        <w:spacing w:before="160"/>
      </w:pPr>
    </w:p>
    <w:p>
      <w:pPr>
        <w:spacing w:after="80" w:before="220"/>
      </w:pPr>
      <w:r>
        <w:rPr>
          <w:rFonts w:ascii="Arial" w:cs="Arial" w:eastAsia="Arial" w:hAnsi="Arial"/>
          <w:b/>
          <w:bCs/>
          <w:color w:val="8B6914"/>
          <w:sz w:val="22"/>
          <w:szCs w:val="22"/>
        </w:rPr>
        <w:t xml:space="preserve">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DF3DC" w:val="clear"/>
            <w:tcMar>
              <w:top w:type="dxa" w:w="60"/>
              <w:left w:type="dxa" w:w="100"/>
              <w:bottom w:type="dxa" w:w="60"/>
              <w:right w:type="dxa" w:w="100"/>
            </w:tcMar>
          </w:tcPr>
          <w:p>
            <w:r>
              <w:rPr>
                <w:rFonts w:ascii="Arial" w:cs="Arial" w:eastAsia="Arial" w:hAnsi="Arial"/>
                <w:b/>
                <w:bCs/>
                <w:color w:val="8B6914"/>
                <w:sz w:val="20"/>
                <w:szCs w:val="20"/>
              </w:rPr>
              <w:t xml:space="preserve">Early Colonial</w:t>
            </w:r>
          </w:p>
        </w:tc>
        <w:tc>
          <w:tcPr>
            <w:tcW w:type="dxa" w:w="6960"/>
            <w:tcBorders>
              <w:top w:val="single" w:color="CCCCCC" w:sz="1"/>
              <w:left w:val="single" w:color="CCCCCC" w:sz="1"/>
              <w:bottom w:val="single" w:color="CCCCCC" w:sz="1"/>
              <w:right w:val="single" w:color="CCCCCC" w:sz="1"/>
            </w:tcBorders>
            <w:shd w:fill="FDF3DC" w:val="clear"/>
            <w:tcMar>
              <w:top w:type="dxa" w:w="60"/>
              <w:left w:type="dxa" w:w="100"/>
              <w:bottom w:type="dxa" w:w="60"/>
              <w:right w:type="dxa" w:w="100"/>
            </w:tcMar>
          </w:tcPr>
          <w:p>
            <w:r>
              <w:rPr>
                <w:rFonts w:ascii="Arial" w:cs="Arial" w:eastAsia="Arial" w:hAnsi="Arial"/>
                <w:color w:val="444444"/>
                <w:sz w:val="20"/>
                <w:szCs w:val="20"/>
              </w:rPr>
              <w:t xml:space="preserve">Pre-1690. Joined furniture, Pilgrim Century.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8B6914"/>
                <w:sz w:val="20"/>
                <w:szCs w:val="20"/>
              </w:rPr>
              <w:t xml:space="preserve">William &amp; Mary</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20"/>
                <w:szCs w:val="20"/>
              </w:rPr>
              <w:t xml:space="preserve">1690–1730. Turned ornament, bun feet, japanning.</w:t>
            </w:r>
          </w:p>
        </w:tc>
      </w:tr>
      <w:tr>
        <w:tc>
          <w:tcPr>
            <w:tcW w:type="dxa" w:w="2400"/>
            <w:tcBorders>
              <w:top w:val="single" w:color="CCCCCC" w:sz="1"/>
              <w:left w:val="single" w:color="CCCCCC" w:sz="1"/>
              <w:bottom w:val="single" w:color="CCCCCC" w:sz="1"/>
              <w:right w:val="single" w:color="CCCCCC" w:sz="1"/>
            </w:tcBorders>
            <w:shd w:fill="FDF3DC" w:val="clear"/>
            <w:tcMar>
              <w:top w:type="dxa" w:w="60"/>
              <w:left w:type="dxa" w:w="100"/>
              <w:bottom w:type="dxa" w:w="60"/>
              <w:right w:type="dxa" w:w="100"/>
            </w:tcMar>
          </w:tcPr>
          <w:p>
            <w:r>
              <w:rPr>
                <w:rFonts w:ascii="Arial" w:cs="Arial" w:eastAsia="Arial" w:hAnsi="Arial"/>
                <w:b/>
                <w:bCs/>
                <w:color w:val="8B6914"/>
                <w:sz w:val="20"/>
                <w:szCs w:val="20"/>
              </w:rPr>
              <w:t xml:space="preserve">Queen Anne</w:t>
            </w:r>
          </w:p>
        </w:tc>
        <w:tc>
          <w:tcPr>
            <w:tcW w:type="dxa" w:w="6960"/>
            <w:tcBorders>
              <w:top w:val="single" w:color="CCCCCC" w:sz="1"/>
              <w:left w:val="single" w:color="CCCCCC" w:sz="1"/>
              <w:bottom w:val="single" w:color="CCCCCC" w:sz="1"/>
              <w:right w:val="single" w:color="CCCCCC" w:sz="1"/>
            </w:tcBorders>
            <w:shd w:fill="FDF3DC" w:val="clear"/>
            <w:tcMar>
              <w:top w:type="dxa" w:w="60"/>
              <w:left w:type="dxa" w:w="100"/>
              <w:bottom w:type="dxa" w:w="60"/>
              <w:right w:type="dxa" w:w="100"/>
            </w:tcMar>
          </w:tcPr>
          <w:p>
            <w:r>
              <w:rPr>
                <w:rFonts w:ascii="Arial" w:cs="Arial" w:eastAsia="Arial" w:hAnsi="Arial"/>
                <w:color w:val="444444"/>
                <w:sz w:val="20"/>
                <w:szCs w:val="20"/>
              </w:rPr>
              <w:t xml:space="preserve">1725–1755. Cabriole leg, splat back, pad foot.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8B6914"/>
                <w:sz w:val="20"/>
                <w:szCs w:val="20"/>
              </w:rPr>
              <w:t xml:space="preserve">Chippendale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20"/>
                <w:szCs w:val="20"/>
              </w:rPr>
              <w:t xml:space="preserve">1750–1790. Ball-and-claw, carved ornament, Rococo.</w:t>
            </w:r>
          </w:p>
        </w:tc>
      </w:tr>
      <w:tr>
        <w:tc>
          <w:tcPr>
            <w:tcW w:type="dxa" w:w="2400"/>
            <w:tcBorders>
              <w:top w:val="single" w:color="CCCCCC" w:sz="1"/>
              <w:left w:val="single" w:color="CCCCCC" w:sz="1"/>
              <w:bottom w:val="single" w:color="CCCCCC" w:sz="1"/>
              <w:right w:val="single" w:color="CCCCCC" w:sz="1"/>
            </w:tcBorders>
            <w:shd w:fill="FDF3DC" w:val="clear"/>
            <w:tcMar>
              <w:top w:type="dxa" w:w="60"/>
              <w:left w:type="dxa" w:w="100"/>
              <w:bottom w:type="dxa" w:w="60"/>
              <w:right w:type="dxa" w:w="100"/>
            </w:tcMar>
          </w:tcPr>
          <w:p>
            <w:r>
              <w:rPr>
                <w:rFonts w:ascii="Arial" w:cs="Arial" w:eastAsia="Arial" w:hAnsi="Arial"/>
                <w:b/>
                <w:bCs/>
                <w:color w:val="8B6914"/>
                <w:sz w:val="20"/>
                <w:szCs w:val="20"/>
              </w:rPr>
              <w:t xml:space="preserve">Federal / Neoclassical</w:t>
            </w:r>
          </w:p>
        </w:tc>
        <w:tc>
          <w:tcPr>
            <w:tcW w:type="dxa" w:w="6960"/>
            <w:tcBorders>
              <w:top w:val="single" w:color="CCCCCC" w:sz="1"/>
              <w:left w:val="single" w:color="CCCCCC" w:sz="1"/>
              <w:bottom w:val="single" w:color="CCCCCC" w:sz="1"/>
              <w:right w:val="single" w:color="CCCCCC" w:sz="1"/>
            </w:tcBorders>
            <w:shd w:fill="FDF3DC" w:val="clear"/>
            <w:tcMar>
              <w:top w:type="dxa" w:w="60"/>
              <w:left w:type="dxa" w:w="100"/>
              <w:bottom w:type="dxa" w:w="60"/>
              <w:right w:type="dxa" w:w="100"/>
            </w:tcMar>
          </w:tcPr>
          <w:p>
            <w:r>
              <w:rPr>
                <w:rFonts w:ascii="Arial" w:cs="Arial" w:eastAsia="Arial" w:hAnsi="Arial"/>
                <w:color w:val="444444"/>
                <w:sz w:val="20"/>
                <w:szCs w:val="20"/>
              </w:rPr>
              <w:t xml:space="preserve">1785–1820. Inlay, taper leg, Hepplewhite/Sheraton.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8B6914"/>
                <w:sz w:val="20"/>
                <w:szCs w:val="20"/>
              </w:rPr>
              <w:t xml:space="preserve">Empire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20"/>
                <w:szCs w:val="20"/>
              </w:rPr>
              <w:t xml:space="preserve">1815–1840. Archaeological classicism, heavy forms.</w:t>
            </w:r>
          </w:p>
        </w:tc>
      </w:tr>
      <w:tr>
        <w:tc>
          <w:tcPr>
            <w:tcW w:type="dxa" w:w="2400"/>
            <w:tcBorders>
              <w:top w:val="single" w:color="CCCCCC" w:sz="1"/>
              <w:left w:val="single" w:color="CCCCCC" w:sz="1"/>
              <w:bottom w:val="single" w:color="CCCCCC" w:sz="1"/>
              <w:right w:val="single" w:color="CCCCCC" w:sz="1"/>
            </w:tcBorders>
            <w:shd w:fill="FDF3DC" w:val="clear"/>
            <w:tcMar>
              <w:top w:type="dxa" w:w="60"/>
              <w:left w:type="dxa" w:w="100"/>
              <w:bottom w:type="dxa" w:w="60"/>
              <w:right w:type="dxa" w:w="100"/>
            </w:tcMar>
          </w:tcPr>
          <w:p>
            <w:r>
              <w:rPr>
                <w:rFonts w:ascii="Arial" w:cs="Arial" w:eastAsia="Arial" w:hAnsi="Arial"/>
                <w:b/>
                <w:bCs/>
                <w:color w:val="8B6914"/>
                <w:sz w:val="20"/>
                <w:szCs w:val="20"/>
              </w:rPr>
              <w:t xml:space="preserve">Victorian</w:t>
            </w:r>
          </w:p>
        </w:tc>
        <w:tc>
          <w:tcPr>
            <w:tcW w:type="dxa" w:w="6960"/>
            <w:tcBorders>
              <w:top w:val="single" w:color="CCCCCC" w:sz="1"/>
              <w:left w:val="single" w:color="CCCCCC" w:sz="1"/>
              <w:bottom w:val="single" w:color="CCCCCC" w:sz="1"/>
              <w:right w:val="single" w:color="CCCCCC" w:sz="1"/>
            </w:tcBorders>
            <w:shd w:fill="FDF3DC" w:val="clear"/>
            <w:tcMar>
              <w:top w:type="dxa" w:w="60"/>
              <w:left w:type="dxa" w:w="100"/>
              <w:bottom w:type="dxa" w:w="60"/>
              <w:right w:type="dxa" w:w="100"/>
            </w:tcMar>
          </w:tcPr>
          <w:p>
            <w:r>
              <w:rPr>
                <w:rFonts w:ascii="Arial" w:cs="Arial" w:eastAsia="Arial" w:hAnsi="Arial"/>
                <w:color w:val="444444"/>
                <w:sz w:val="20"/>
                <w:szCs w:val="20"/>
              </w:rPr>
              <w:t xml:space="preserve">1840–1900. Revival styles, Reform movement.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8B6914"/>
                <w:sz w:val="20"/>
                <w:szCs w:val="20"/>
              </w:rPr>
              <w:t xml:space="preserve">Arts &amp; Crafts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20"/>
                <w:szCs w:val="20"/>
              </w:rPr>
              <w:t xml:space="preserve">1880–1920. Mission, Stickley, craft revival.</w:t>
            </w:r>
          </w:p>
        </w:tc>
      </w:tr>
      <w:tr>
        <w:tc>
          <w:tcPr>
            <w:tcW w:type="dxa" w:w="2400"/>
            <w:tcBorders>
              <w:top w:val="single" w:color="CCCCCC" w:sz="1"/>
              <w:left w:val="single" w:color="CCCCCC" w:sz="1"/>
              <w:bottom w:val="single" w:color="CCCCCC" w:sz="1"/>
              <w:right w:val="single" w:color="CCCCCC" w:sz="1"/>
            </w:tcBorders>
            <w:shd w:fill="FDF3DC" w:val="clear"/>
            <w:tcMar>
              <w:top w:type="dxa" w:w="60"/>
              <w:left w:type="dxa" w:w="100"/>
              <w:bottom w:type="dxa" w:w="60"/>
              <w:right w:type="dxa" w:w="100"/>
            </w:tcMar>
          </w:tcPr>
          <w:p>
            <w:r>
              <w:rPr>
                <w:rFonts w:ascii="Arial" w:cs="Arial" w:eastAsia="Arial" w:hAnsi="Arial"/>
                <w:b/>
                <w:bCs/>
                <w:color w:val="8B6914"/>
                <w:sz w:val="20"/>
                <w:szCs w:val="20"/>
              </w:rPr>
              <w:t xml:space="preserve">Modern / Studio</w:t>
            </w:r>
          </w:p>
        </w:tc>
        <w:tc>
          <w:tcPr>
            <w:tcW w:type="dxa" w:w="6960"/>
            <w:tcBorders>
              <w:top w:val="single" w:color="CCCCCC" w:sz="1"/>
              <w:left w:val="single" w:color="CCCCCC" w:sz="1"/>
              <w:bottom w:val="single" w:color="CCCCCC" w:sz="1"/>
              <w:right w:val="single" w:color="CCCCCC" w:sz="1"/>
            </w:tcBorders>
            <w:shd w:fill="FDF3DC" w:val="clear"/>
            <w:tcMar>
              <w:top w:type="dxa" w:w="60"/>
              <w:left w:type="dxa" w:w="100"/>
              <w:bottom w:type="dxa" w:w="60"/>
              <w:right w:type="dxa" w:w="100"/>
            </w:tcMar>
          </w:tcPr>
          <w:p>
            <w:r>
              <w:rPr>
                <w:rFonts w:ascii="Arial" w:cs="Arial" w:eastAsia="Arial" w:hAnsi="Arial"/>
                <w:color w:val="444444"/>
                <w:sz w:val="20"/>
                <w:szCs w:val="20"/>
              </w:rPr>
              <w:t xml:space="preserve">Post-1920. Studio furniture, contemporary making.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8B6914"/>
                <w:sz w:val="20"/>
                <w:szCs w:val="20"/>
              </w:rPr>
              <w:t xml:space="preserve">Survey / Multiple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20"/>
                <w:szCs w:val="20"/>
              </w:rPr>
              <w:t xml:space="preserve">Articles spanning multiple periods.</w:t>
            </w:r>
          </w:p>
        </w:tc>
      </w:tr>
    </w:tbl>
    <w:p>
      <w:pPr>
        <w:spacing w:before="160"/>
      </w:pPr>
    </w:p>
    <w:p>
      <w:pPr>
        <w:spacing w:after="80" w:before="220"/>
      </w:pPr>
      <w:r>
        <w:rPr>
          <w:rFonts w:ascii="Arial" w:cs="Arial" w:eastAsia="Arial" w:hAnsi="Arial"/>
          <w:b/>
          <w:bCs/>
          <w:color w:val="8B6914"/>
          <w:sz w:val="22"/>
          <w:szCs w:val="22"/>
        </w:rPr>
        <w:t xml:space="preserve">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DF3DC" w:val="clear"/>
            <w:tcMar>
              <w:top w:type="dxa" w:w="60"/>
              <w:left w:type="dxa" w:w="100"/>
              <w:bottom w:type="dxa" w:w="60"/>
              <w:right w:type="dxa" w:w="100"/>
            </w:tcMar>
          </w:tcPr>
          <w:p>
            <w:r>
              <w:rPr>
                <w:rFonts w:ascii="Arial" w:cs="Arial" w:eastAsia="Arial" w:hAnsi="Arial"/>
                <w:b/>
                <w:bCs/>
                <w:color w:val="8B6914"/>
                <w:sz w:val="20"/>
                <w:szCs w:val="20"/>
              </w:rPr>
              <w:t xml:space="preserve">Case pieces</w:t>
            </w:r>
          </w:p>
        </w:tc>
        <w:tc>
          <w:tcPr>
            <w:tcW w:type="dxa" w:w="6960"/>
            <w:tcBorders>
              <w:top w:val="single" w:color="CCCCCC" w:sz="1"/>
              <w:left w:val="single" w:color="CCCCCC" w:sz="1"/>
              <w:bottom w:val="single" w:color="CCCCCC" w:sz="1"/>
              <w:right w:val="single" w:color="CCCCCC" w:sz="1"/>
            </w:tcBorders>
            <w:shd w:fill="FDF3DC" w:val="clear"/>
            <w:tcMar>
              <w:top w:type="dxa" w:w="60"/>
              <w:left w:type="dxa" w:w="100"/>
              <w:bottom w:type="dxa" w:w="60"/>
              <w:right w:type="dxa" w:w="100"/>
            </w:tcMar>
          </w:tcPr>
          <w:p>
            <w:r>
              <w:rPr>
                <w:rFonts w:ascii="Arial" w:cs="Arial" w:eastAsia="Arial" w:hAnsi="Arial"/>
                <w:color w:val="444444"/>
                <w:sz w:val="20"/>
                <w:szCs w:val="20"/>
              </w:rPr>
              <w:t xml:space="preserve">Chests, chests of drawers, highboys, lowboys, secretaries, bookcases.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8B6914"/>
                <w:sz w:val="20"/>
                <w:szCs w:val="20"/>
              </w:rPr>
              <w:t xml:space="preserve">Seating</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20"/>
                <w:szCs w:val="20"/>
              </w:rPr>
              <w:t xml:space="preserve">Chairs, settees, stools, benches — all seating forms.</w:t>
            </w:r>
          </w:p>
        </w:tc>
      </w:tr>
      <w:tr>
        <w:tc>
          <w:tcPr>
            <w:tcW w:type="dxa" w:w="2400"/>
            <w:tcBorders>
              <w:top w:val="single" w:color="CCCCCC" w:sz="1"/>
              <w:left w:val="single" w:color="CCCCCC" w:sz="1"/>
              <w:bottom w:val="single" w:color="CCCCCC" w:sz="1"/>
              <w:right w:val="single" w:color="CCCCCC" w:sz="1"/>
            </w:tcBorders>
            <w:shd w:fill="FDF3DC" w:val="clear"/>
            <w:tcMar>
              <w:top w:type="dxa" w:w="60"/>
              <w:left w:type="dxa" w:w="100"/>
              <w:bottom w:type="dxa" w:w="60"/>
              <w:right w:type="dxa" w:w="100"/>
            </w:tcMar>
          </w:tcPr>
          <w:p>
            <w:r>
              <w:rPr>
                <w:rFonts w:ascii="Arial" w:cs="Arial" w:eastAsia="Arial" w:hAnsi="Arial"/>
                <w:b/>
                <w:bCs/>
                <w:color w:val="8B6914"/>
                <w:sz w:val="20"/>
                <w:szCs w:val="20"/>
              </w:rPr>
              <w:t xml:space="preserve">Tables</w:t>
            </w:r>
          </w:p>
        </w:tc>
        <w:tc>
          <w:tcPr>
            <w:tcW w:type="dxa" w:w="6960"/>
            <w:tcBorders>
              <w:top w:val="single" w:color="CCCCCC" w:sz="1"/>
              <w:left w:val="single" w:color="CCCCCC" w:sz="1"/>
              <w:bottom w:val="single" w:color="CCCCCC" w:sz="1"/>
              <w:right w:val="single" w:color="CCCCCC" w:sz="1"/>
            </w:tcBorders>
            <w:shd w:fill="FDF3DC" w:val="clear"/>
            <w:tcMar>
              <w:top w:type="dxa" w:w="60"/>
              <w:left w:type="dxa" w:w="100"/>
              <w:bottom w:type="dxa" w:w="60"/>
              <w:right w:type="dxa" w:w="100"/>
            </w:tcMar>
          </w:tcPr>
          <w:p>
            <w:r>
              <w:rPr>
                <w:rFonts w:ascii="Arial" w:cs="Arial" w:eastAsia="Arial" w:hAnsi="Arial"/>
                <w:color w:val="444444"/>
                <w:sz w:val="20"/>
                <w:szCs w:val="20"/>
              </w:rPr>
              <w:t xml:space="preserve">All table forms: dining, card, tea, pembroke, side, work.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8B6914"/>
                <w:sz w:val="20"/>
                <w:szCs w:val="20"/>
              </w:rPr>
              <w:t xml:space="preserve">Beds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20"/>
                <w:szCs w:val="20"/>
              </w:rPr>
              <w:t xml:space="preserve">Bedsteads, cradles, related sleeping furniture.</w:t>
            </w:r>
          </w:p>
        </w:tc>
      </w:tr>
      <w:tr>
        <w:tc>
          <w:tcPr>
            <w:tcW w:type="dxa" w:w="2400"/>
            <w:tcBorders>
              <w:top w:val="single" w:color="CCCCCC" w:sz="1"/>
              <w:left w:val="single" w:color="CCCCCC" w:sz="1"/>
              <w:bottom w:val="single" w:color="CCCCCC" w:sz="1"/>
              <w:right w:val="single" w:color="CCCCCC" w:sz="1"/>
            </w:tcBorders>
            <w:shd w:fill="FDF3DC" w:val="clear"/>
            <w:tcMar>
              <w:top w:type="dxa" w:w="60"/>
              <w:left w:type="dxa" w:w="100"/>
              <w:bottom w:type="dxa" w:w="60"/>
              <w:right w:type="dxa" w:w="100"/>
            </w:tcMar>
          </w:tcPr>
          <w:p>
            <w:r>
              <w:rPr>
                <w:rFonts w:ascii="Arial" w:cs="Arial" w:eastAsia="Arial" w:hAnsi="Arial"/>
                <w:b/>
                <w:bCs/>
                <w:color w:val="8B6914"/>
                <w:sz w:val="20"/>
                <w:szCs w:val="20"/>
              </w:rPr>
              <w:t xml:space="preserve">Clocks / Tall Case</w:t>
            </w:r>
          </w:p>
        </w:tc>
        <w:tc>
          <w:tcPr>
            <w:tcW w:type="dxa" w:w="6960"/>
            <w:tcBorders>
              <w:top w:val="single" w:color="CCCCCC" w:sz="1"/>
              <w:left w:val="single" w:color="CCCCCC" w:sz="1"/>
              <w:bottom w:val="single" w:color="CCCCCC" w:sz="1"/>
              <w:right w:val="single" w:color="CCCCCC" w:sz="1"/>
            </w:tcBorders>
            <w:shd w:fill="FDF3DC" w:val="clear"/>
            <w:tcMar>
              <w:top w:type="dxa" w:w="60"/>
              <w:left w:type="dxa" w:w="100"/>
              <w:bottom w:type="dxa" w:w="60"/>
              <w:right w:type="dxa" w:w="100"/>
            </w:tcMar>
          </w:tcPr>
          <w:p>
            <w:r>
              <w:rPr>
                <w:rFonts w:ascii="Arial" w:cs="Arial" w:eastAsia="Arial" w:hAnsi="Arial"/>
                <w:color w:val="444444"/>
                <w:sz w:val="20"/>
                <w:szCs w:val="20"/>
              </w:rPr>
              <w:t xml:space="preserve">Clock cases and related timekeeping furniture.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8B6914"/>
                <w:sz w:val="20"/>
                <w:szCs w:val="20"/>
              </w:rPr>
              <w:t xml:space="preserve">Windsor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20"/>
                <w:szCs w:val="20"/>
              </w:rPr>
              <w:t xml:space="preserve">Windsor chairs and related stick-construction seating.</w:t>
            </w:r>
          </w:p>
        </w:tc>
      </w:tr>
      <w:tr>
        <w:tc>
          <w:tcPr>
            <w:tcW w:type="dxa" w:w="2400"/>
            <w:tcBorders>
              <w:top w:val="single" w:color="CCCCCC" w:sz="1"/>
              <w:left w:val="single" w:color="CCCCCC" w:sz="1"/>
              <w:bottom w:val="single" w:color="CCCCCC" w:sz="1"/>
              <w:right w:val="single" w:color="CCCCCC" w:sz="1"/>
            </w:tcBorders>
            <w:shd w:fill="FDF3DC" w:val="clear"/>
            <w:tcMar>
              <w:top w:type="dxa" w:w="60"/>
              <w:left w:type="dxa" w:w="100"/>
              <w:bottom w:type="dxa" w:w="60"/>
              <w:right w:type="dxa" w:w="100"/>
            </w:tcMar>
          </w:tcPr>
          <w:p>
            <w:r>
              <w:rPr>
                <w:rFonts w:ascii="Arial" w:cs="Arial" w:eastAsia="Arial" w:hAnsi="Arial"/>
                <w:b/>
                <w:bCs/>
                <w:color w:val="8B6914"/>
                <w:sz w:val="20"/>
                <w:szCs w:val="20"/>
              </w:rPr>
              <w:t xml:space="preserve">Vernacular</w:t>
            </w:r>
          </w:p>
        </w:tc>
        <w:tc>
          <w:tcPr>
            <w:tcW w:type="dxa" w:w="6960"/>
            <w:tcBorders>
              <w:top w:val="single" w:color="CCCCCC" w:sz="1"/>
              <w:left w:val="single" w:color="CCCCCC" w:sz="1"/>
              <w:bottom w:val="single" w:color="CCCCCC" w:sz="1"/>
              <w:right w:val="single" w:color="CCCCCC" w:sz="1"/>
            </w:tcBorders>
            <w:shd w:fill="FDF3DC" w:val="clear"/>
            <w:tcMar>
              <w:top w:type="dxa" w:w="60"/>
              <w:left w:type="dxa" w:w="100"/>
              <w:bottom w:type="dxa" w:w="60"/>
              <w:right w:type="dxa" w:w="100"/>
            </w:tcMar>
          </w:tcPr>
          <w:p>
            <w:r>
              <w:rPr>
                <w:rFonts w:ascii="Arial" w:cs="Arial" w:eastAsia="Arial" w:hAnsi="Arial"/>
                <w:color w:val="444444"/>
                <w:sz w:val="20"/>
                <w:szCs w:val="20"/>
              </w:rPr>
              <w:t xml:space="preserve">Non-fashionable, rural, or utilitarian forms.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8B6914"/>
                <w:sz w:val="20"/>
                <w:szCs w:val="20"/>
              </w:rPr>
              <w:t xml:space="preserve">Upholstered</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20"/>
                <w:szCs w:val="20"/>
              </w:rPr>
              <w:t xml:space="preserve">Articles foregrounding upholstery construction or history.</w:t>
            </w:r>
          </w:p>
        </w:tc>
      </w:tr>
      <w:tr>
        <w:tc>
          <w:tcPr>
            <w:tcW w:type="dxa" w:w="2400"/>
            <w:tcBorders>
              <w:top w:val="single" w:color="CCCCCC" w:sz="1"/>
              <w:left w:val="single" w:color="CCCCCC" w:sz="1"/>
              <w:bottom w:val="single" w:color="CCCCCC" w:sz="1"/>
              <w:right w:val="single" w:color="CCCCCC" w:sz="1"/>
            </w:tcBorders>
            <w:shd w:fill="FDF3DC" w:val="clear"/>
            <w:tcMar>
              <w:top w:type="dxa" w:w="60"/>
              <w:left w:type="dxa" w:w="100"/>
              <w:bottom w:type="dxa" w:w="60"/>
              <w:right w:type="dxa" w:w="100"/>
            </w:tcMar>
          </w:tcPr>
          <w:p>
            <w:r>
              <w:rPr>
                <w:rFonts w:ascii="Arial" w:cs="Arial" w:eastAsia="Arial" w:hAnsi="Arial"/>
                <w:b/>
                <w:bCs/>
                <w:color w:val="8B6914"/>
                <w:sz w:val="20"/>
                <w:szCs w:val="20"/>
              </w:rPr>
              <w:t xml:space="preserve">Survey / Multiple</w:t>
            </w:r>
          </w:p>
        </w:tc>
        <w:tc>
          <w:tcPr>
            <w:tcW w:type="dxa" w:w="6960"/>
            <w:tcBorders>
              <w:top w:val="single" w:color="CCCCCC" w:sz="1"/>
              <w:left w:val="single" w:color="CCCCCC" w:sz="1"/>
              <w:bottom w:val="single" w:color="CCCCCC" w:sz="1"/>
              <w:right w:val="single" w:color="CCCCCC" w:sz="1"/>
            </w:tcBorders>
            <w:shd w:fill="FDF3DC" w:val="clear"/>
            <w:tcMar>
              <w:top w:type="dxa" w:w="60"/>
              <w:left w:type="dxa" w:w="100"/>
              <w:bottom w:type="dxa" w:w="60"/>
              <w:right w:type="dxa" w:w="100"/>
            </w:tcMar>
          </w:tcPr>
          <w:p>
            <w:r>
              <w:rPr>
                <w:rFonts w:ascii="Arial" w:cs="Arial" w:eastAsia="Arial" w:hAnsi="Arial"/>
                <w:color w:val="444444"/>
                <w:sz w:val="20"/>
                <w:szCs w:val="20"/>
              </w:rPr>
              <w:t xml:space="preserve">Articles spanning multiple forms.</w:t>
            </w:r>
          </w:p>
        </w:tc>
      </w:tr>
    </w:tbl>
    <w:p>
      <w:pPr>
        <w:spacing w:before="160"/>
      </w:pPr>
    </w:p>
    <w:p>
      <w:pPr>
        <w:spacing w:after="80" w:before="220"/>
      </w:pPr>
      <w:r>
        <w:rPr>
          <w:rFonts w:ascii="Arial" w:cs="Arial" w:eastAsia="Arial" w:hAnsi="Arial"/>
          <w:b/>
          <w:bCs/>
          <w:color w:val="8B6914"/>
          <w:sz w:val="22"/>
          <w:szCs w:val="22"/>
        </w:rPr>
        <w:t xml:space="preserve">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DF3DC" w:val="clear"/>
            <w:tcMar>
              <w:top w:type="dxa" w:w="60"/>
              <w:left w:type="dxa" w:w="100"/>
              <w:bottom w:type="dxa" w:w="60"/>
              <w:right w:type="dxa" w:w="100"/>
            </w:tcMar>
          </w:tcPr>
          <w:p>
            <w:r>
              <w:rPr>
                <w:rFonts w:ascii="Arial" w:cs="Arial" w:eastAsia="Arial" w:hAnsi="Arial"/>
                <w:b/>
                <w:bCs/>
                <w:color w:val="8B6914"/>
                <w:sz w:val="20"/>
                <w:szCs w:val="20"/>
              </w:rPr>
              <w:t xml:space="preserve">New England</w:t>
            </w:r>
          </w:p>
        </w:tc>
        <w:tc>
          <w:tcPr>
            <w:tcW w:type="dxa" w:w="6960"/>
            <w:tcBorders>
              <w:top w:val="single" w:color="CCCCCC" w:sz="1"/>
              <w:left w:val="single" w:color="CCCCCC" w:sz="1"/>
              <w:bottom w:val="single" w:color="CCCCCC" w:sz="1"/>
              <w:right w:val="single" w:color="CCCCCC" w:sz="1"/>
            </w:tcBorders>
            <w:shd w:fill="FDF3DC" w:val="clear"/>
            <w:tcMar>
              <w:top w:type="dxa" w:w="60"/>
              <w:left w:type="dxa" w:w="100"/>
              <w:bottom w:type="dxa" w:w="60"/>
              <w:right w:type="dxa" w:w="100"/>
            </w:tcMar>
          </w:tcPr>
          <w:p>
            <w:r>
              <w:rPr>
                <w:rFonts w:ascii="Arial" w:cs="Arial" w:eastAsia="Arial" w:hAnsi="Arial"/>
                <w:color w:val="444444"/>
                <w:sz w:val="20"/>
                <w:szCs w:val="20"/>
              </w:rPr>
              <w:t xml:space="preserve">Connecticut, Massachusetts, Rhode Island, Vermont, New Hampshire, Maine.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8B6914"/>
                <w:sz w:val="20"/>
                <w:szCs w:val="20"/>
              </w:rPr>
              <w:t xml:space="preserve">Boston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20"/>
                <w:szCs w:val="20"/>
              </w:rPr>
              <w:t xml:space="preserve">Boston and immediate surrounds — used when city-specific.</w:t>
            </w:r>
          </w:p>
        </w:tc>
      </w:tr>
      <w:tr>
        <w:tc>
          <w:tcPr>
            <w:tcW w:type="dxa" w:w="2400"/>
            <w:tcBorders>
              <w:top w:val="single" w:color="CCCCCC" w:sz="1"/>
              <w:left w:val="single" w:color="CCCCCC" w:sz="1"/>
              <w:bottom w:val="single" w:color="CCCCCC" w:sz="1"/>
              <w:right w:val="single" w:color="CCCCCC" w:sz="1"/>
            </w:tcBorders>
            <w:shd w:fill="FDF3DC" w:val="clear"/>
            <w:tcMar>
              <w:top w:type="dxa" w:w="60"/>
              <w:left w:type="dxa" w:w="100"/>
              <w:bottom w:type="dxa" w:w="60"/>
              <w:right w:type="dxa" w:w="100"/>
            </w:tcMar>
          </w:tcPr>
          <w:p>
            <w:r>
              <w:rPr>
                <w:rFonts w:ascii="Arial" w:cs="Arial" w:eastAsia="Arial" w:hAnsi="Arial"/>
                <w:b/>
                <w:bCs/>
                <w:color w:val="8B6914"/>
                <w:sz w:val="20"/>
                <w:szCs w:val="20"/>
              </w:rPr>
              <w:t xml:space="preserve">Newport</w:t>
            </w:r>
          </w:p>
        </w:tc>
        <w:tc>
          <w:tcPr>
            <w:tcW w:type="dxa" w:w="6960"/>
            <w:tcBorders>
              <w:top w:val="single" w:color="CCCCCC" w:sz="1"/>
              <w:left w:val="single" w:color="CCCCCC" w:sz="1"/>
              <w:bottom w:val="single" w:color="CCCCCC" w:sz="1"/>
              <w:right w:val="single" w:color="CCCCCC" w:sz="1"/>
            </w:tcBorders>
            <w:shd w:fill="FDF3DC" w:val="clear"/>
            <w:tcMar>
              <w:top w:type="dxa" w:w="60"/>
              <w:left w:type="dxa" w:w="100"/>
              <w:bottom w:type="dxa" w:w="60"/>
              <w:right w:type="dxa" w:w="100"/>
            </w:tcMar>
          </w:tcPr>
          <w:p>
            <w:r>
              <w:rPr>
                <w:rFonts w:ascii="Arial" w:cs="Arial" w:eastAsia="Arial" w:hAnsi="Arial"/>
                <w:color w:val="444444"/>
                <w:sz w:val="20"/>
                <w:szCs w:val="20"/>
              </w:rPr>
              <w:t xml:space="preserve">Newport, RI — used when city-specific (Townsend-Goddard tradition).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8B6914"/>
                <w:sz w:val="20"/>
                <w:szCs w:val="20"/>
              </w:rPr>
              <w:t xml:space="preserve">New York</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20"/>
                <w:szCs w:val="20"/>
              </w:rPr>
              <w:t xml:space="preserve">New York State broadly; New York City when city-specific.</w:t>
            </w:r>
          </w:p>
        </w:tc>
      </w:tr>
      <w:tr>
        <w:tc>
          <w:tcPr>
            <w:tcW w:type="dxa" w:w="2400"/>
            <w:tcBorders>
              <w:top w:val="single" w:color="CCCCCC" w:sz="1"/>
              <w:left w:val="single" w:color="CCCCCC" w:sz="1"/>
              <w:bottom w:val="single" w:color="CCCCCC" w:sz="1"/>
              <w:right w:val="single" w:color="CCCCCC" w:sz="1"/>
            </w:tcBorders>
            <w:shd w:fill="FDF3DC" w:val="clear"/>
            <w:tcMar>
              <w:top w:type="dxa" w:w="60"/>
              <w:left w:type="dxa" w:w="100"/>
              <w:bottom w:type="dxa" w:w="60"/>
              <w:right w:type="dxa" w:w="100"/>
            </w:tcMar>
          </w:tcPr>
          <w:p>
            <w:r>
              <w:rPr>
                <w:rFonts w:ascii="Arial" w:cs="Arial" w:eastAsia="Arial" w:hAnsi="Arial"/>
                <w:b/>
                <w:bCs/>
                <w:color w:val="8B6914"/>
                <w:sz w:val="20"/>
                <w:szCs w:val="20"/>
              </w:rPr>
              <w:t xml:space="preserve">Philadelphia</w:t>
            </w:r>
          </w:p>
        </w:tc>
        <w:tc>
          <w:tcPr>
            <w:tcW w:type="dxa" w:w="6960"/>
            <w:tcBorders>
              <w:top w:val="single" w:color="CCCCCC" w:sz="1"/>
              <w:left w:val="single" w:color="CCCCCC" w:sz="1"/>
              <w:bottom w:val="single" w:color="CCCCCC" w:sz="1"/>
              <w:right w:val="single" w:color="CCCCCC" w:sz="1"/>
            </w:tcBorders>
            <w:shd w:fill="FDF3DC" w:val="clear"/>
            <w:tcMar>
              <w:top w:type="dxa" w:w="60"/>
              <w:left w:type="dxa" w:w="100"/>
              <w:bottom w:type="dxa" w:w="60"/>
              <w:right w:type="dxa" w:w="100"/>
            </w:tcMar>
          </w:tcPr>
          <w:p>
            <w:r>
              <w:rPr>
                <w:rFonts w:ascii="Arial" w:cs="Arial" w:eastAsia="Arial" w:hAnsi="Arial"/>
                <w:color w:val="444444"/>
                <w:sz w:val="20"/>
                <w:szCs w:val="20"/>
              </w:rPr>
              <w:t xml:space="preserve">Philadelphia and Delaware Valley — used when city-specific.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8B6914"/>
                <w:sz w:val="20"/>
                <w:szCs w:val="20"/>
              </w:rPr>
              <w:t xml:space="preserve">Mid-Atlantic</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20"/>
                <w:szCs w:val="20"/>
              </w:rPr>
              <w:t xml:space="preserve">Pennsylvania, Delaware, Maryland (non-Philadelphia).</w:t>
            </w:r>
          </w:p>
        </w:tc>
      </w:tr>
      <w:tr>
        <w:tc>
          <w:tcPr>
            <w:tcW w:type="dxa" w:w="2400"/>
            <w:tcBorders>
              <w:top w:val="single" w:color="CCCCCC" w:sz="1"/>
              <w:left w:val="single" w:color="CCCCCC" w:sz="1"/>
              <w:bottom w:val="single" w:color="CCCCCC" w:sz="1"/>
              <w:right w:val="single" w:color="CCCCCC" w:sz="1"/>
            </w:tcBorders>
            <w:shd w:fill="FDF3DC" w:val="clear"/>
            <w:tcMar>
              <w:top w:type="dxa" w:w="60"/>
              <w:left w:type="dxa" w:w="100"/>
              <w:bottom w:type="dxa" w:w="60"/>
              <w:right w:type="dxa" w:w="100"/>
            </w:tcMar>
          </w:tcPr>
          <w:p>
            <w:r>
              <w:rPr>
                <w:rFonts w:ascii="Arial" w:cs="Arial" w:eastAsia="Arial" w:hAnsi="Arial"/>
                <w:b/>
                <w:bCs/>
                <w:color w:val="8B6914"/>
                <w:sz w:val="20"/>
                <w:szCs w:val="20"/>
              </w:rPr>
              <w:t xml:space="preserve">Southern</w:t>
            </w:r>
          </w:p>
        </w:tc>
        <w:tc>
          <w:tcPr>
            <w:tcW w:type="dxa" w:w="6960"/>
            <w:tcBorders>
              <w:top w:val="single" w:color="CCCCCC" w:sz="1"/>
              <w:left w:val="single" w:color="CCCCCC" w:sz="1"/>
              <w:bottom w:val="single" w:color="CCCCCC" w:sz="1"/>
              <w:right w:val="single" w:color="CCCCCC" w:sz="1"/>
            </w:tcBorders>
            <w:shd w:fill="FDF3DC" w:val="clear"/>
            <w:tcMar>
              <w:top w:type="dxa" w:w="60"/>
              <w:left w:type="dxa" w:w="100"/>
              <w:bottom w:type="dxa" w:w="60"/>
              <w:right w:type="dxa" w:w="100"/>
            </w:tcMar>
          </w:tcPr>
          <w:p>
            <w:r>
              <w:rPr>
                <w:rFonts w:ascii="Arial" w:cs="Arial" w:eastAsia="Arial" w:hAnsi="Arial"/>
                <w:color w:val="444444"/>
                <w:sz w:val="20"/>
                <w:szCs w:val="20"/>
              </w:rPr>
              <w:t xml:space="preserve">Virginia, Carolinas, Georgia, and other southern colonies/states.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8B6914"/>
                <w:sz w:val="20"/>
                <w:szCs w:val="20"/>
              </w:rPr>
              <w:t xml:space="preserve">Charleston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20"/>
                <w:szCs w:val="20"/>
              </w:rPr>
              <w:t xml:space="preserve">Charleston, SC — used when city-specific.</w:t>
            </w:r>
          </w:p>
        </w:tc>
      </w:tr>
      <w:tr>
        <w:tc>
          <w:tcPr>
            <w:tcW w:type="dxa" w:w="2400"/>
            <w:tcBorders>
              <w:top w:val="single" w:color="CCCCCC" w:sz="1"/>
              <w:left w:val="single" w:color="CCCCCC" w:sz="1"/>
              <w:bottom w:val="single" w:color="CCCCCC" w:sz="1"/>
              <w:right w:val="single" w:color="CCCCCC" w:sz="1"/>
            </w:tcBorders>
            <w:shd w:fill="FDF3DC" w:val="clear"/>
            <w:tcMar>
              <w:top w:type="dxa" w:w="60"/>
              <w:left w:type="dxa" w:w="100"/>
              <w:bottom w:type="dxa" w:w="60"/>
              <w:right w:type="dxa" w:w="100"/>
            </w:tcMar>
          </w:tcPr>
          <w:p>
            <w:r>
              <w:rPr>
                <w:rFonts w:ascii="Arial" w:cs="Arial" w:eastAsia="Arial" w:hAnsi="Arial"/>
                <w:b/>
                <w:bCs/>
                <w:color w:val="8B6914"/>
                <w:sz w:val="20"/>
                <w:szCs w:val="20"/>
              </w:rPr>
              <w:t xml:space="preserve">National / Survey</w:t>
            </w:r>
          </w:p>
        </w:tc>
        <w:tc>
          <w:tcPr>
            <w:tcW w:type="dxa" w:w="6960"/>
            <w:tcBorders>
              <w:top w:val="single" w:color="CCCCCC" w:sz="1"/>
              <w:left w:val="single" w:color="CCCCCC" w:sz="1"/>
              <w:bottom w:val="single" w:color="CCCCCC" w:sz="1"/>
              <w:right w:val="single" w:color="CCCCCC" w:sz="1"/>
            </w:tcBorders>
            <w:shd w:fill="FDF3DC" w:val="clear"/>
            <w:tcMar>
              <w:top w:type="dxa" w:w="60"/>
              <w:left w:type="dxa" w:w="100"/>
              <w:bottom w:type="dxa" w:w="60"/>
              <w:right w:type="dxa" w:w="100"/>
            </w:tcMar>
          </w:tcPr>
          <w:p>
            <w:r>
              <w:rPr>
                <w:rFonts w:ascii="Arial" w:cs="Arial" w:eastAsia="Arial" w:hAnsi="Arial"/>
                <w:color w:val="444444"/>
                <w:sz w:val="20"/>
                <w:szCs w:val="20"/>
              </w:rPr>
              <w:t xml:space="preserve">No single regional focus; broad American survey.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8B6914"/>
                <w:sz w:val="20"/>
                <w:szCs w:val="20"/>
              </w:rPr>
              <w:t xml:space="preserve">European Influence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20"/>
                <w:szCs w:val="20"/>
              </w:rPr>
              <w:t xml:space="preserve">Articles primarily about English or continental design sources.</w:t>
            </w:r>
          </w:p>
        </w:tc>
      </w:tr>
    </w:tbl>
    <w:p>
      <w:pPr>
        <w:spacing w:before="160"/>
      </w:pPr>
    </w:p>
    <w:p>
      <w:pPr>
        <w:spacing w:after="80" w:before="220"/>
      </w:pPr>
      <w:r>
        <w:rPr>
          <w:rFonts w:ascii="Arial" w:cs="Arial" w:eastAsia="Arial" w:hAnsi="Arial"/>
          <w:b/>
          <w:bCs/>
          <w:color w:val="8B6914"/>
          <w:sz w:val="22"/>
          <w:szCs w:val="22"/>
        </w:rPr>
        <w:t xml:space="preserve">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DF3DC" w:val="clear"/>
            <w:tcMar>
              <w:top w:type="dxa" w:w="60"/>
              <w:left w:type="dxa" w:w="100"/>
              <w:bottom w:type="dxa" w:w="60"/>
              <w:right w:type="dxa" w:w="100"/>
            </w:tcMar>
          </w:tcPr>
          <w:p>
            <w:r>
              <w:rPr>
                <w:rFonts w:ascii="Arial" w:cs="Arial" w:eastAsia="Arial" w:hAnsi="Arial"/>
                <w:b/>
                <w:bCs/>
                <w:color w:val="8B6914"/>
                <w:sz w:val="20"/>
                <w:szCs w:val="20"/>
              </w:rPr>
              <w:t xml:space="preserve">Construction / Technique</w:t>
            </w:r>
          </w:p>
        </w:tc>
        <w:tc>
          <w:tcPr>
            <w:tcW w:type="dxa" w:w="6960"/>
            <w:tcBorders>
              <w:top w:val="single" w:color="CCCCCC" w:sz="1"/>
              <w:left w:val="single" w:color="CCCCCC" w:sz="1"/>
              <w:bottom w:val="single" w:color="CCCCCC" w:sz="1"/>
              <w:right w:val="single" w:color="CCCCCC" w:sz="1"/>
            </w:tcBorders>
            <w:shd w:fill="FDF3DC" w:val="clear"/>
            <w:tcMar>
              <w:top w:type="dxa" w:w="60"/>
              <w:left w:type="dxa" w:w="100"/>
              <w:bottom w:type="dxa" w:w="60"/>
              <w:right w:type="dxa" w:w="100"/>
            </w:tcMar>
          </w:tcPr>
          <w:p>
            <w:r>
              <w:rPr>
                <w:rFonts w:ascii="Arial" w:cs="Arial" w:eastAsia="Arial" w:hAnsi="Arial"/>
                <w:color w:val="444444"/>
                <w:sz w:val="20"/>
                <w:szCs w:val="20"/>
              </w:rPr>
              <w:t xml:space="preserve">Joinery methods, wood technology, hand tool practice, structural analysis.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8B6914"/>
                <w:sz w:val="20"/>
                <w:szCs w:val="20"/>
              </w:rPr>
              <w:t xml:space="preserve">Attribution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20"/>
                <w:szCs w:val="20"/>
              </w:rPr>
              <w:t xml:space="preserve">Establishing maker identity for specific objects.</w:t>
            </w:r>
          </w:p>
        </w:tc>
      </w:tr>
      <w:tr>
        <w:tc>
          <w:tcPr>
            <w:tcW w:type="dxa" w:w="2400"/>
            <w:tcBorders>
              <w:top w:val="single" w:color="CCCCCC" w:sz="1"/>
              <w:left w:val="single" w:color="CCCCCC" w:sz="1"/>
              <w:bottom w:val="single" w:color="CCCCCC" w:sz="1"/>
              <w:right w:val="single" w:color="CCCCCC" w:sz="1"/>
            </w:tcBorders>
            <w:shd w:fill="FDF3DC" w:val="clear"/>
            <w:tcMar>
              <w:top w:type="dxa" w:w="60"/>
              <w:left w:type="dxa" w:w="100"/>
              <w:bottom w:type="dxa" w:w="60"/>
              <w:right w:type="dxa" w:w="100"/>
            </w:tcMar>
          </w:tcPr>
          <w:p>
            <w:r>
              <w:rPr>
                <w:rFonts w:ascii="Arial" w:cs="Arial" w:eastAsia="Arial" w:hAnsi="Arial"/>
                <w:b/>
                <w:bCs/>
                <w:color w:val="8B6914"/>
                <w:sz w:val="20"/>
                <w:szCs w:val="20"/>
              </w:rPr>
              <w:t xml:space="preserve">Regional Style</w:t>
            </w:r>
          </w:p>
        </w:tc>
        <w:tc>
          <w:tcPr>
            <w:tcW w:type="dxa" w:w="6960"/>
            <w:tcBorders>
              <w:top w:val="single" w:color="CCCCCC" w:sz="1"/>
              <w:left w:val="single" w:color="CCCCCC" w:sz="1"/>
              <w:bottom w:val="single" w:color="CCCCCC" w:sz="1"/>
              <w:right w:val="single" w:color="CCCCCC" w:sz="1"/>
            </w:tcBorders>
            <w:shd w:fill="FDF3DC" w:val="clear"/>
            <w:tcMar>
              <w:top w:type="dxa" w:w="60"/>
              <w:left w:type="dxa" w:w="100"/>
              <w:bottom w:type="dxa" w:w="60"/>
              <w:right w:type="dxa" w:w="100"/>
            </w:tcMar>
          </w:tcPr>
          <w:p>
            <w:r>
              <w:rPr>
                <w:rFonts w:ascii="Arial" w:cs="Arial" w:eastAsia="Arial" w:hAnsi="Arial"/>
                <w:color w:val="444444"/>
                <w:sz w:val="20"/>
                <w:szCs w:val="20"/>
              </w:rPr>
              <w:t xml:space="preserve">Characteristics distinguishing one center's production from another.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8B6914"/>
                <w:sz w:val="20"/>
                <w:szCs w:val="20"/>
              </w:rPr>
              <w:t xml:space="preserve">Design Sources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20"/>
                <w:szCs w:val="20"/>
              </w:rPr>
              <w:t xml:space="preserve">Pattern books, English precedents, continental influence.</w:t>
            </w:r>
          </w:p>
        </w:tc>
      </w:tr>
      <w:tr>
        <w:tc>
          <w:tcPr>
            <w:tcW w:type="dxa" w:w="2400"/>
            <w:tcBorders>
              <w:top w:val="single" w:color="CCCCCC" w:sz="1"/>
              <w:left w:val="single" w:color="CCCCCC" w:sz="1"/>
              <w:bottom w:val="single" w:color="CCCCCC" w:sz="1"/>
              <w:right w:val="single" w:color="CCCCCC" w:sz="1"/>
            </w:tcBorders>
            <w:shd w:fill="FDF3DC" w:val="clear"/>
            <w:tcMar>
              <w:top w:type="dxa" w:w="60"/>
              <w:left w:type="dxa" w:w="100"/>
              <w:bottom w:type="dxa" w:w="60"/>
              <w:right w:type="dxa" w:w="100"/>
            </w:tcMar>
          </w:tcPr>
          <w:p>
            <w:r>
              <w:rPr>
                <w:rFonts w:ascii="Arial" w:cs="Arial" w:eastAsia="Arial" w:hAnsi="Arial"/>
                <w:b/>
                <w:bCs/>
                <w:color w:val="8B6914"/>
                <w:sz w:val="20"/>
                <w:szCs w:val="20"/>
              </w:rPr>
              <w:t xml:space="preserve">Carving / Ornament</w:t>
            </w:r>
          </w:p>
        </w:tc>
        <w:tc>
          <w:tcPr>
            <w:tcW w:type="dxa" w:w="6960"/>
            <w:tcBorders>
              <w:top w:val="single" w:color="CCCCCC" w:sz="1"/>
              <w:left w:val="single" w:color="CCCCCC" w:sz="1"/>
              <w:bottom w:val="single" w:color="CCCCCC" w:sz="1"/>
              <w:right w:val="single" w:color="CCCCCC" w:sz="1"/>
            </w:tcBorders>
            <w:shd w:fill="FDF3DC" w:val="clear"/>
            <w:tcMar>
              <w:top w:type="dxa" w:w="60"/>
              <w:left w:type="dxa" w:w="100"/>
              <w:bottom w:type="dxa" w:w="60"/>
              <w:right w:type="dxa" w:w="100"/>
            </w:tcMar>
          </w:tcPr>
          <w:p>
            <w:r>
              <w:rPr>
                <w:rFonts w:ascii="Arial" w:cs="Arial" w:eastAsia="Arial" w:hAnsi="Arial"/>
                <w:color w:val="444444"/>
                <w:sz w:val="20"/>
                <w:szCs w:val="20"/>
              </w:rPr>
              <w:t xml:space="preserve">Surface decoration, carved elements, inlay, veneer.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8B6914"/>
                <w:sz w:val="20"/>
                <w:szCs w:val="20"/>
              </w:rPr>
              <w:t xml:space="preserve">Shop Records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20"/>
                <w:szCs w:val="20"/>
              </w:rPr>
              <w:t xml:space="preserve">Account books, order books, daybooks, labels.</w:t>
            </w:r>
          </w:p>
        </w:tc>
      </w:tr>
      <w:tr>
        <w:tc>
          <w:tcPr>
            <w:tcW w:type="dxa" w:w="2400"/>
            <w:tcBorders>
              <w:top w:val="single" w:color="CCCCCC" w:sz="1"/>
              <w:left w:val="single" w:color="CCCCCC" w:sz="1"/>
              <w:bottom w:val="single" w:color="CCCCCC" w:sz="1"/>
              <w:right w:val="single" w:color="CCCCCC" w:sz="1"/>
            </w:tcBorders>
            <w:shd w:fill="FDF3DC" w:val="clear"/>
            <w:tcMar>
              <w:top w:type="dxa" w:w="60"/>
              <w:left w:type="dxa" w:w="100"/>
              <w:bottom w:type="dxa" w:w="60"/>
              <w:right w:type="dxa" w:w="100"/>
            </w:tcMar>
          </w:tcPr>
          <w:p>
            <w:r>
              <w:rPr>
                <w:rFonts w:ascii="Arial" w:cs="Arial" w:eastAsia="Arial" w:hAnsi="Arial"/>
                <w:b/>
                <w:bCs/>
                <w:color w:val="8B6914"/>
                <w:sz w:val="20"/>
                <w:szCs w:val="20"/>
              </w:rPr>
              <w:t xml:space="preserve">Conservation</w:t>
            </w:r>
          </w:p>
        </w:tc>
        <w:tc>
          <w:tcPr>
            <w:tcW w:type="dxa" w:w="6960"/>
            <w:tcBorders>
              <w:top w:val="single" w:color="CCCCCC" w:sz="1"/>
              <w:left w:val="single" w:color="CCCCCC" w:sz="1"/>
              <w:bottom w:val="single" w:color="CCCCCC" w:sz="1"/>
              <w:right w:val="single" w:color="CCCCCC" w:sz="1"/>
            </w:tcBorders>
            <w:shd w:fill="FDF3DC" w:val="clear"/>
            <w:tcMar>
              <w:top w:type="dxa" w:w="60"/>
              <w:left w:type="dxa" w:w="100"/>
              <w:bottom w:type="dxa" w:w="60"/>
              <w:right w:type="dxa" w:w="100"/>
            </w:tcMar>
          </w:tcPr>
          <w:p>
            <w:r>
              <w:rPr>
                <w:rFonts w:ascii="Arial" w:cs="Arial" w:eastAsia="Arial" w:hAnsi="Arial"/>
                <w:color w:val="444444"/>
                <w:sz w:val="20"/>
                <w:szCs w:val="20"/>
              </w:rPr>
              <w:t xml:space="preserve">Technical examination, restoration, finish analysis.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8B6914"/>
                <w:sz w:val="20"/>
                <w:szCs w:val="20"/>
              </w:rPr>
              <w:t xml:space="preserve">Materials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20"/>
                <w:szCs w:val="20"/>
              </w:rPr>
              <w:t xml:space="preserve">Wood species, secondary woods, hardware, upholstery materials.</w:t>
            </w:r>
          </w:p>
        </w:tc>
      </w:tr>
      <w:tr>
        <w:tc>
          <w:tcPr>
            <w:tcW w:type="dxa" w:w="2400"/>
            <w:tcBorders>
              <w:top w:val="single" w:color="CCCCCC" w:sz="1"/>
              <w:left w:val="single" w:color="CCCCCC" w:sz="1"/>
              <w:bottom w:val="single" w:color="CCCCCC" w:sz="1"/>
              <w:right w:val="single" w:color="CCCCCC" w:sz="1"/>
            </w:tcBorders>
            <w:shd w:fill="FDF3DC" w:val="clear"/>
            <w:tcMar>
              <w:top w:type="dxa" w:w="60"/>
              <w:left w:type="dxa" w:w="100"/>
              <w:bottom w:type="dxa" w:w="60"/>
              <w:right w:type="dxa" w:w="100"/>
            </w:tcMar>
          </w:tcPr>
          <w:p>
            <w:r>
              <w:rPr>
                <w:rFonts w:ascii="Arial" w:cs="Arial" w:eastAsia="Arial" w:hAnsi="Arial"/>
                <w:b/>
                <w:bCs/>
                <w:color w:val="8B6914"/>
                <w:sz w:val="20"/>
                <w:szCs w:val="20"/>
              </w:rPr>
              <w:t xml:space="preserve">Terminology / Nomenclature</w:t>
            </w:r>
          </w:p>
        </w:tc>
        <w:tc>
          <w:tcPr>
            <w:tcW w:type="dxa" w:w="6960"/>
            <w:tcBorders>
              <w:top w:val="single" w:color="CCCCCC" w:sz="1"/>
              <w:left w:val="single" w:color="CCCCCC" w:sz="1"/>
              <w:bottom w:val="single" w:color="CCCCCC" w:sz="1"/>
              <w:right w:val="single" w:color="CCCCCC" w:sz="1"/>
            </w:tcBorders>
            <w:shd w:fill="FDF3DC" w:val="clear"/>
            <w:tcMar>
              <w:top w:type="dxa" w:w="60"/>
              <w:left w:type="dxa" w:w="100"/>
              <w:bottom w:type="dxa" w:w="60"/>
              <w:right w:type="dxa" w:w="100"/>
            </w:tcMar>
          </w:tcPr>
          <w:p>
            <w:r>
              <w:rPr>
                <w:rFonts w:ascii="Arial" w:cs="Arial" w:eastAsia="Arial" w:hAnsi="Arial"/>
                <w:color w:val="444444"/>
                <w:sz w:val="20"/>
                <w:szCs w:val="20"/>
              </w:rPr>
              <w:t xml:space="preserve">Period trade terms, form names, part names.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8B6914"/>
                <w:sz w:val="20"/>
                <w:szCs w:val="20"/>
              </w:rPr>
              <w:t xml:space="preserve">Social History</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20"/>
                <w:szCs w:val="20"/>
              </w:rPr>
              <w:t xml:space="preserve">Patronage, trade networks, use of furniture, domestic life.</w:t>
            </w:r>
          </w:p>
        </w:tc>
      </w:tr>
      <w:tr>
        <w:tc>
          <w:tcPr>
            <w:tcW w:type="dxa" w:w="2400"/>
            <w:tcBorders>
              <w:top w:val="single" w:color="CCCCCC" w:sz="1"/>
              <w:left w:val="single" w:color="CCCCCC" w:sz="1"/>
              <w:bottom w:val="single" w:color="CCCCCC" w:sz="1"/>
              <w:right w:val="single" w:color="CCCCCC" w:sz="1"/>
            </w:tcBorders>
            <w:shd w:fill="FDF3DC" w:val="clear"/>
            <w:tcMar>
              <w:top w:type="dxa" w:w="60"/>
              <w:left w:type="dxa" w:w="100"/>
              <w:bottom w:type="dxa" w:w="60"/>
              <w:right w:type="dxa" w:w="100"/>
            </w:tcMar>
          </w:tcPr>
          <w:p>
            <w:r>
              <w:rPr>
                <w:rFonts w:ascii="Arial" w:cs="Arial" w:eastAsia="Arial" w:hAnsi="Arial"/>
                <w:b/>
                <w:bCs/>
                <w:color w:val="8B6914"/>
                <w:sz w:val="20"/>
                <w:szCs w:val="20"/>
              </w:rPr>
              <w:t xml:space="preserve">Trade / Commerce</w:t>
            </w:r>
          </w:p>
        </w:tc>
        <w:tc>
          <w:tcPr>
            <w:tcW w:type="dxa" w:w="6960"/>
            <w:tcBorders>
              <w:top w:val="single" w:color="CCCCCC" w:sz="1"/>
              <w:left w:val="single" w:color="CCCCCC" w:sz="1"/>
              <w:bottom w:val="single" w:color="CCCCCC" w:sz="1"/>
              <w:right w:val="single" w:color="CCCCCC" w:sz="1"/>
            </w:tcBorders>
            <w:shd w:fill="FDF3DC" w:val="clear"/>
            <w:tcMar>
              <w:top w:type="dxa" w:w="60"/>
              <w:left w:type="dxa" w:w="100"/>
              <w:bottom w:type="dxa" w:w="60"/>
              <w:right w:type="dxa" w:w="100"/>
            </w:tcMar>
          </w:tcPr>
          <w:p>
            <w:r>
              <w:rPr>
                <w:rFonts w:ascii="Arial" w:cs="Arial" w:eastAsia="Arial" w:hAnsi="Arial"/>
                <w:color w:val="444444"/>
                <w:sz w:val="20"/>
                <w:szCs w:val="20"/>
              </w:rPr>
              <w:t xml:space="preserve">Furniture trade, export, retail, market geography.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8B6914"/>
                <w:sz w:val="20"/>
                <w:szCs w:val="20"/>
              </w:rPr>
              <w:t xml:space="preserve">Connoisseurship</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20"/>
                <w:szCs w:val="20"/>
              </w:rPr>
              <w:t xml:space="preserve">Methodology of attribution; distinguishing period from later work.</w:t>
            </w:r>
          </w:p>
        </w:tc>
      </w:tr>
      <w:tr>
        <w:tc>
          <w:tcPr>
            <w:tcW w:type="dxa" w:w="2400"/>
            <w:tcBorders>
              <w:top w:val="single" w:color="CCCCCC" w:sz="1"/>
              <w:left w:val="single" w:color="CCCCCC" w:sz="1"/>
              <w:bottom w:val="single" w:color="CCCCCC" w:sz="1"/>
              <w:right w:val="single" w:color="CCCCCC" w:sz="1"/>
            </w:tcBorders>
            <w:shd w:fill="FDF3DC" w:val="clear"/>
            <w:tcMar>
              <w:top w:type="dxa" w:w="60"/>
              <w:left w:type="dxa" w:w="100"/>
              <w:bottom w:type="dxa" w:w="60"/>
              <w:right w:type="dxa" w:w="100"/>
            </w:tcMar>
          </w:tcPr>
          <w:p>
            <w:r>
              <w:rPr>
                <w:rFonts w:ascii="Arial" w:cs="Arial" w:eastAsia="Arial" w:hAnsi="Arial"/>
                <w:b/>
                <w:bCs/>
                <w:color w:val="8B6914"/>
                <w:sz w:val="20"/>
                <w:szCs w:val="20"/>
              </w:rPr>
              <w:t xml:space="preserve">Biography / Shops</w:t>
            </w:r>
          </w:p>
        </w:tc>
        <w:tc>
          <w:tcPr>
            <w:tcW w:type="dxa" w:w="6960"/>
            <w:tcBorders>
              <w:top w:val="single" w:color="CCCCCC" w:sz="1"/>
              <w:left w:val="single" w:color="CCCCCC" w:sz="1"/>
              <w:bottom w:val="single" w:color="CCCCCC" w:sz="1"/>
              <w:right w:val="single" w:color="CCCCCC" w:sz="1"/>
            </w:tcBorders>
            <w:shd w:fill="FDF3DC" w:val="clear"/>
            <w:tcMar>
              <w:top w:type="dxa" w:w="60"/>
              <w:left w:type="dxa" w:w="100"/>
              <w:bottom w:type="dxa" w:w="60"/>
              <w:right w:type="dxa" w:w="100"/>
            </w:tcMar>
          </w:tcPr>
          <w:p>
            <w:r>
              <w:rPr>
                <w:rFonts w:ascii="Arial" w:cs="Arial" w:eastAsia="Arial" w:hAnsi="Arial"/>
                <w:color w:val="444444"/>
                <w:sz w:val="20"/>
                <w:szCs w:val="20"/>
              </w:rPr>
              <w:t xml:space="preserve">Individual craftsman or shop histories.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8B6914"/>
                <w:sz w:val="20"/>
                <w:szCs w:val="20"/>
              </w:rPr>
              <w:t xml:space="preserve">Immigration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20"/>
                <w:szCs w:val="20"/>
              </w:rPr>
              <w:t xml:space="preserve">Immigrant craftsmen and their influence on American work.</w:t>
            </w:r>
          </w:p>
        </w:tc>
      </w:tr>
    </w:tbl>
    <w:p>
      <w:r>
        <w:br w:type="page"/>
      </w:r>
    </w:p>
    <w:p>
      <w:pPr>
        <w:shd w:fill="1E4B8C" w:val="clear"/>
        <w:spacing w:after="120" w:before="320"/>
      </w:pPr>
      <w:r>
        <w:rPr>
          <w:rFonts w:ascii="Arial" w:cs="Arial" w:eastAsia="Arial" w:hAnsi="Arial"/>
          <w:b/>
          <w:bCs/>
          <w:color w:val="FFFFFF"/>
          <w:sz w:val="24"/>
          <w:szCs w:val="24"/>
        </w:rPr>
        <w:t xml:space="preserve">  PART 3 — SAMPLE CARDS  </w:t>
      </w:r>
    </w:p>
    <w:p>
      <w:pPr>
        <w:pStyle w:val="Heading1"/>
        <w:spacing w:after="120" w:before="360"/>
      </w:pPr>
      <w:r>
        <w:rPr>
          <w:rFonts w:ascii="Arial" w:cs="Arial" w:eastAsia="Arial" w:hAnsi="Arial"/>
          <w:b/>
          <w:bCs/>
          <w:color w:val="1E4B8C"/>
          <w:sz w:val="32"/>
          <w:szCs w:val="32"/>
        </w:rPr>
        <w:t xml:space="preserve">Pilot Batch: American Furniture 1996</w:t>
      </w:r>
    </w:p>
    <w:p>
      <w:pPr>
        <w:spacing w:after="80" w:before="80"/>
      </w:pPr>
      <w:r>
        <w:rPr>
          <w:rFonts w:ascii="Arial" w:cs="Arial" w:eastAsia="Arial" w:hAnsi="Arial"/>
          <w:color w:val="444444"/>
          <w:sz w:val="22"/>
          <w:szCs w:val="22"/>
        </w:rPr>
        <w:t xml:space="preserve">Eight cards from the 1996 Chipstone issue, generated as seed data for the POC. These establish the description standard, vocabulary usage, and card structure. Each card was drafted after reading the full article text. Descriptions are original SAPFM prose — no text reproduced from Chipstone.</w:t>
      </w:r>
    </w:p>
    <w:p>
      <w:pPr>
        <w:spacing w:after="60" w:before="60"/>
        <w:ind w:left="720"/>
      </w:pPr>
      <w:r>
        <w:rPr>
          <w:rFonts w:ascii="Arial" w:cs="Arial" w:eastAsia="Arial" w:hAnsi="Arial"/>
          <w:i/>
          <w:iCs/>
          <w:color w:val="666666"/>
          <w:sz w:val="20"/>
          <w:szCs w:val="20"/>
        </w:rPr>
        <w:t xml:space="preserve">Card titles are reproduced factually from the publication. All description text is original.</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E4B8C" w:val="clear"/>
            <w:tcMar>
              <w:top w:type="dxa" w:w="80"/>
              <w:left w:type="dxa" w:w="120"/>
              <w:bottom w:type="dxa" w:w="80"/>
              <w:right w:type="dxa" w:w="120"/>
            </w:tcMar>
          </w:tcPr>
          <w:p>
            <w:r>
              <w:rPr>
                <w:rFonts w:ascii="Arial" w:cs="Arial" w:eastAsia="Arial" w:hAnsi="Arial"/>
                <w:b/>
                <w:bCs/>
                <w:color w:val="FFFFFF"/>
                <w:sz w:val="22"/>
                <w:szCs w:val="22"/>
              </w:rPr>
              <w:t xml:space="preserve">Seventeenth-Century Joinery from Braintree, Massachusetts: The Savell Shop Tradition</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Author(s)</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Peter Follansbee and John D. Alexander</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Source</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Chipstone Foundation — American Furniture, 1996</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Year</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1996</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color w:val="444444"/>
                <w:sz w:val="20"/>
                <w:szCs w:val="20"/>
              </w:rPr>
              <w:t xml:space="preserve">A detailed technical study of a three-generation Braintree joinery shop, tracing the Savell family's distinctive mortise-and-tenon variant — an offset drawbored joint not found in Plymouth Colony or Boston work — through chests, cupboards, and desk boxes spanning 1640–1700. Includes scale drawings of joint geometry and wood species analysis.</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Period</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Early Colonial / William &amp; Mary</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Form</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Case pieces (chests, cupboards)</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Region</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New England (Massachusetts)</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Topic</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Construction / Technique, Regional Attribution, Shop Tradition</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Makers</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William Savell Sr., William Savell Jr., John Savell</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URL</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E4B8C"/>
                <w:sz w:val="20"/>
                <w:szCs w:val="20"/>
              </w:rPr>
              <w:t xml:space="preserve">https://chipstone.org/article.php/222/American-Furniture-1996/Seventeenth-Century-Joinery-from-Braintree,-Massachusetts:-The-Savell-Shop-Tradition</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E4B8C" w:val="clear"/>
            <w:tcMar>
              <w:top w:type="dxa" w:w="80"/>
              <w:left w:type="dxa" w:w="120"/>
              <w:bottom w:type="dxa" w:w="80"/>
              <w:right w:type="dxa" w:w="120"/>
            </w:tcMar>
          </w:tcPr>
          <w:p>
            <w:r>
              <w:rPr>
                <w:rFonts w:ascii="Arial" w:cs="Arial" w:eastAsia="Arial" w:hAnsi="Arial"/>
                <w:b/>
                <w:bCs/>
                <w:color w:val="FFFFFF"/>
                <w:sz w:val="22"/>
                <w:szCs w:val="22"/>
              </w:rPr>
              <w:t xml:space="preserve">Frog Backs and Turkey Legs: The Nomenclature of Vernacular Seating Furniture, 1740–1850</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Author(s)</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Nancy Goyne Evans</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Source</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Chipstone Foundation — American Furniture, 1996</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Year</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1996</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color w:val="444444"/>
                <w:sz w:val="20"/>
                <w:szCs w:val="20"/>
              </w:rPr>
              <w:t xml:space="preserve">A systematic study of the period trade terminology used by Windsor and vernacular chairmakers in account books, daybooks, and price lists, covering slat-back, banister-back, Windsor, and related forms. Establishes the authentic names craftsmen used for chair parts, back types, and turned elements — essential grounding for anyone studying or describing period seating.</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Period</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Queen Anne, Chippendale, Federal / Neoclassical</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Form</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Seating (Windsor, vernacular)</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Region</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National / Survey (Philadelphia, New England, Mid-Atlantic)</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Topic</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Terminology / Nomenclature, Social History, Construction</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Makers</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Francis Trumble, Amos Denison Allen, Joseph Henzey, Jared Chesnut</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URL</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E4B8C"/>
                <w:sz w:val="20"/>
                <w:szCs w:val="20"/>
              </w:rPr>
              <w:t xml:space="preserve">https://chipstone.org/article.php/216/American-Furniture-1996/Frog-Backs-and-Turkey-Legs:-The-Nomenclature-of-Vernacular-Seating-Furniture,-1740%E2%80%931850</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E4B8C" w:val="clear"/>
            <w:tcMar>
              <w:top w:type="dxa" w:w="80"/>
              <w:left w:type="dxa" w:w="120"/>
              <w:bottom w:type="dxa" w:w="80"/>
              <w:right w:type="dxa" w:w="120"/>
            </w:tcMar>
          </w:tcPr>
          <w:p>
            <w:r>
              <w:rPr>
                <w:rFonts w:ascii="Arial" w:cs="Arial" w:eastAsia="Arial" w:hAnsi="Arial"/>
                <w:b/>
                <w:bCs/>
                <w:color w:val="FFFFFF"/>
                <w:sz w:val="22"/>
                <w:szCs w:val="22"/>
              </w:rPr>
              <w:t xml:space="preserve">Louis Comfort Tiffany and the Reform Movement in Furniture Design: The J. Matthew Meier and Ernest Hagen Commission of 1882–1885</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Author(s)</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Milo M. Naeve</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Source</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Chipstone Foundation — American Furniture, 1996</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Year</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1996</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color w:val="444444"/>
                <w:sz w:val="20"/>
                <w:szCs w:val="20"/>
              </w:rPr>
              <w:t xml:space="preserve">Documents Tiffany's role as a furniture designer through the newly identified breakfast suite he commissioned from Manhattan cabinetmakers Meier and Hagen for his family residence. Analyzes the suite's deliberate simplicity — pine and maple, enamel paint, exposed construction details — as a direct response to the English Reform movement. Uses original Meier-Hagen order books to establish attribution, dating, and cost.</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Period</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Victorian / Reform</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Form</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Seating, Tables (breakfast suite)</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Region</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New York</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Topic</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Attribution, Design Sources, Shop Records</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Makers</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J. Matthew Meier, Ernest Hagen, Louis Comfort Tiffany</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URL</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E4B8C"/>
                <w:sz w:val="20"/>
                <w:szCs w:val="20"/>
              </w:rPr>
              <w:t xml:space="preserve">https://chipstone.org/article.php/214/American-Furniture-1996/Louis-Comfort-Tiffany-and-the-Reform-Movement-in-Furniture-Design:-The-J.-Matthew-Meier-and-Ernest-Hagen-Commission-of-1882%E2%80%931885</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E4B8C" w:val="clear"/>
            <w:tcMar>
              <w:top w:type="dxa" w:w="80"/>
              <w:left w:type="dxa" w:w="120"/>
              <w:bottom w:type="dxa" w:w="80"/>
              <w:right w:type="dxa" w:w="120"/>
            </w:tcMar>
          </w:tcPr>
          <w:p>
            <w:r>
              <w:rPr>
                <w:rFonts w:ascii="Arial" w:cs="Arial" w:eastAsia="Arial" w:hAnsi="Arial"/>
                <w:b/>
                <w:bCs/>
                <w:color w:val="FFFFFF"/>
                <w:sz w:val="22"/>
                <w:szCs w:val="22"/>
              </w:rPr>
              <w:t xml:space="preserve">The Rococo, the Grotto, and the Philadelphia High Chest</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Author(s)</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Jonathan Prown and Richard Miller</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Source</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Chipstone Foundation — American Furniture, 1996</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Year</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1996</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color w:val="444444"/>
                <w:sz w:val="20"/>
                <w:szCs w:val="20"/>
              </w:rPr>
              <w:t xml:space="preserve">Examines the iconographic program of Philadelphia high chest carving — particularly the grotto and naturalistic motifs — as a deliberate adaptation of European Rococo sources. Argues that Philadelphia carvers were not simply copying English pattern books but synthesizing a distinctly American Rococo vocabulary. Closely analyzes specific carved examples in relation to their English and continental precedents.</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Period</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Chippendale</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Form</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Case pieces (high chests)</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Region</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Philadelphia</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Topic</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Design Sources, Regional Style, Carving / Ornament</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Makers</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URL</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E4B8C"/>
                <w:sz w:val="20"/>
                <w:szCs w:val="20"/>
              </w:rPr>
              <w:t xml:space="preserve">https://chipstone.org/article.php/229/American-Furniture-1996/The-Rococo,-the-Grotto,-and-the-Philadelphia-High-Chest</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E4B8C" w:val="clear"/>
            <w:tcMar>
              <w:top w:type="dxa" w:w="80"/>
              <w:left w:type="dxa" w:w="120"/>
              <w:bottom w:type="dxa" w:w="80"/>
              <w:right w:type="dxa" w:w="120"/>
            </w:tcMar>
          </w:tcPr>
          <w:p>
            <w:r>
              <w:rPr>
                <w:rFonts w:ascii="Arial" w:cs="Arial" w:eastAsia="Arial" w:hAnsi="Arial"/>
                <w:b/>
                <w:bCs/>
                <w:color w:val="FFFFFF"/>
                <w:sz w:val="22"/>
                <w:szCs w:val="22"/>
              </w:rPr>
              <w:t xml:space="preserve">Is It Phyfe?</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Author(s)</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Deborah Dependahl Waters</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Source</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Chipstone Foundation — American Furniture, 1996</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Year</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1996</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color w:val="444444"/>
                <w:sz w:val="20"/>
                <w:szCs w:val="20"/>
              </w:rPr>
              <w:t xml:space="preserve">A methodological examination of the attribution problems surrounding furniture associated with Duncan Phyfe's New York shop, arguing that the Phyfe name has been applied too broadly and that more rigorous documentary and constructional standards are needed. Surveys the evidence — bills, labels, family descent — that legitimately supports attribution and proposes a framework for evaluating contested pieces.</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Period</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Federal / Neoclassical</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Form</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Seating, Tables</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Region</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New York</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Topic</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Attribution, Connoisseurship, Shop Records</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Makers</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Duncan Phyfe</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URL</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E4B8C"/>
                <w:sz w:val="20"/>
                <w:szCs w:val="20"/>
              </w:rPr>
              <w:t xml:space="preserve">https://chipstone.org/article.php/217/American-Furniture-1996/Is-It-Phyfe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E4B8C" w:val="clear"/>
            <w:tcMar>
              <w:top w:type="dxa" w:w="80"/>
              <w:left w:type="dxa" w:w="120"/>
              <w:bottom w:type="dxa" w:w="80"/>
              <w:right w:type="dxa" w:w="120"/>
            </w:tcMar>
          </w:tcPr>
          <w:p>
            <w:r>
              <w:rPr>
                <w:rFonts w:ascii="Arial" w:cs="Arial" w:eastAsia="Arial" w:hAnsi="Arial"/>
                <w:b/>
                <w:bCs/>
                <w:color w:val="FFFFFF"/>
                <w:sz w:val="22"/>
                <w:szCs w:val="22"/>
              </w:rPr>
              <w:t xml:space="preserve">Beautiful Specimens, Elegant Patterns: New York Furniture for the Charleston Market, 1810–1840</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Author(s)</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Maurie D. McInnis and Robert A. Leath</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Source</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Chipstone Foundation — American Furniture, 1996</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Year</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1996</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color w:val="444444"/>
                <w:sz w:val="20"/>
                <w:szCs w:val="20"/>
              </w:rPr>
              <w:t xml:space="preserve">Documents the substantial trade in New York-made furniture to Charleston, South Carolina, in the Federal and Empire periods, using merchant records, estate inventories, and surviving pieces to map the commercial and stylistic exchange. Shows how Charleston taste influenced what New York shops produced and exported southward.</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Period</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Federal / Neoclassical, Empire</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Form</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Case pieces, Seating, Tables</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Region</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New York, Southern (Charleston)</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Topic</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Trade / Commerce, Regional Style, Social History</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Makers</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URL</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E4B8C"/>
                <w:sz w:val="20"/>
                <w:szCs w:val="20"/>
              </w:rPr>
              <w:t xml:space="preserve">https://chipstone.org/article.php/235/American-Furniture-1996/Beautiful-Specimens,-Elegant-Patterns:--New-York-Furniture-for-the-Charleston-Market,-1810%E2%80%931840</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E4B8C" w:val="clear"/>
            <w:tcMar>
              <w:top w:type="dxa" w:w="80"/>
              <w:left w:type="dxa" w:w="120"/>
              <w:bottom w:type="dxa" w:w="80"/>
              <w:right w:type="dxa" w:w="120"/>
            </w:tcMar>
          </w:tcPr>
          <w:p>
            <w:r>
              <w:rPr>
                <w:rFonts w:ascii="Arial" w:cs="Arial" w:eastAsia="Arial" w:hAnsi="Arial"/>
                <w:b/>
                <w:bCs/>
                <w:color w:val="FFFFFF"/>
                <w:sz w:val="22"/>
                <w:szCs w:val="22"/>
              </w:rPr>
              <w:t xml:space="preserve">Boston and New York Leather Chairs: A Reappraisal</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Author(s)</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Roger Gonzales and Daniel Putnam Brown, Jr.</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Source</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Chipstone Foundation — American Furniture, 1996</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Year</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1996</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color w:val="444444"/>
                <w:sz w:val="20"/>
                <w:szCs w:val="20"/>
              </w:rPr>
              <w:t xml:space="preserve">Reexamines the long-standing attribution criteria for early eighteenth-century leather chairs made in Boston and New York, using constructional analysis — turned elements, stretcher profiles, seat rail joinery — to distinguish between the two centers. Challenges several received attributions and proposes revised diagnostic criteria for both Boston and New York production.</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Period</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William &amp; Mary, Queen Anne</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Form</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Seating (leather chairs)</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Region</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New England (Boston), New York</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Topic</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Attribution, Construction / Technique, Regional Style</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Makers</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URL</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E4B8C"/>
                <w:sz w:val="20"/>
                <w:szCs w:val="20"/>
              </w:rPr>
              <w:t xml:space="preserve">https://chipstone.org/article.php/236/American-Furniture-1996/Boston-and-New-York-leather-Chairs:-A-Reappraisal</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E4B8C" w:val="clear"/>
            <w:tcMar>
              <w:top w:type="dxa" w:w="80"/>
              <w:left w:type="dxa" w:w="120"/>
              <w:bottom w:type="dxa" w:w="80"/>
              <w:right w:type="dxa" w:w="120"/>
            </w:tcMar>
          </w:tcPr>
          <w:p>
            <w:r>
              <w:rPr>
                <w:rFonts w:ascii="Arial" w:cs="Arial" w:eastAsia="Arial" w:hAnsi="Arial"/>
                <w:b/>
                <w:bCs/>
                <w:color w:val="FFFFFF"/>
                <w:sz w:val="22"/>
                <w:szCs w:val="22"/>
              </w:rPr>
              <w:t xml:space="preserve">Immigrant Carvers and the Development of the Rococo Style</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Author(s)</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Luke Beckerdite</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Source</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Chipstone Foundation — American Furniture, 1996</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Year</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1996</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color w:val="444444"/>
                <w:sz w:val="20"/>
                <w:szCs w:val="20"/>
              </w:rPr>
              <w:t xml:space="preserve">Traces the introduction of Rococo carving to Philadelphia and New York through immigrant craftsmen from Britain and the continent, identifying specific carvers through stylistic analysis of their work across multiple commissions. Establishes individual carving hands and their influence on the broader development of American Rococo ornament.</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Period</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Chippendale</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Form</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Case pieces, Seating</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Region</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Philadelphia, New York</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Topic</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Carving / Ornament, Regional Style, Attribution, Immigration</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Makers</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w:t>
            </w:r>
          </w:p>
        </w:tc>
      </w:tr>
      <w:tr>
        <w:tc>
          <w:tcPr>
            <w:tcW w:type="dxa" w:w="18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E4B8C"/>
                <w:sz w:val="18"/>
                <w:szCs w:val="18"/>
              </w:rPr>
              <w:t xml:space="preserve">URL</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E4B8C"/>
                <w:sz w:val="20"/>
                <w:szCs w:val="20"/>
              </w:rPr>
              <w:t xml:space="preserve">https://chipstone.org/article.php/238/American-Furniture-1996/Immigrant-Carvers-and-the-Development-of-the-Rococo-Syle</w:t>
            </w:r>
          </w:p>
        </w:tc>
      </w:tr>
    </w:tbl>
    <w:p>
      <w:pPr>
        <w:spacing w:before="200"/>
      </w:pPr>
    </w:p>
    <w:p>
      <w:pPr>
        <w:pBdr>
          <w:bottom w:val="single" w:color="CCCCCC" w:sz="4" w:space="1"/>
        </w:pBdr>
        <w:spacing w:after="160" w:before="160"/>
      </w:pPr>
    </w:p>
    <w:p>
      <w:pPr>
        <w:pStyle w:val="Heading2"/>
        <w:spacing w:after="100" w:before="280"/>
      </w:pPr>
      <w:r>
        <w:rPr>
          <w:rFonts w:ascii="Arial" w:cs="Arial" w:eastAsia="Arial" w:hAnsi="Arial"/>
          <w:b/>
          <w:bCs/>
          <w:color w:val="1E4B8C"/>
          <w:sz w:val="26"/>
          <w:szCs w:val="26"/>
        </w:rPr>
        <w:t xml:space="preserve">Editorial Notes on This Batch</w:t>
      </w:r>
    </w:p>
    <w:p>
      <w:pPr>
        <w:spacing w:after="80" w:before="80"/>
      </w:pPr>
      <w:r>
        <w:rPr>
          <w:rFonts w:ascii="Arial" w:cs="Arial" w:eastAsia="Arial" w:hAnsi="Arial"/>
          <w:color w:val="444444"/>
          <w:sz w:val="22"/>
          <w:szCs w:val="22"/>
        </w:rPr>
        <w:t xml:space="preserve">Vocabulary decisions made during this pilot batch:</w:t>
      </w:r>
    </w:p>
    <w:p>
      <w:pPr>
        <w:pStyle w:val="ListParagraph"/>
        <w:numPr>
          <w:ilvl w:val="0"/>
          <w:numId w:val="2"/>
        </w:numPr>
        <w:spacing w:after="40" w:before="40"/>
      </w:pPr>
      <w:r>
        <w:rPr>
          <w:rFonts w:ascii="Arial" w:cs="Arial" w:eastAsia="Arial" w:hAnsi="Arial"/>
          <w:color w:val="444444"/>
          <w:sz w:val="22"/>
          <w:szCs w:val="22"/>
        </w:rPr>
        <w:t xml:space="preserve">"Early Colonial / William &amp; Mary" used for Savell article since it spans the transition between periods. Where an article clearly falls in one period, use the single period value.</w:t>
      </w:r>
    </w:p>
    <w:p>
      <w:pPr>
        <w:pStyle w:val="ListParagraph"/>
        <w:numPr>
          <w:ilvl w:val="0"/>
          <w:numId w:val="2"/>
        </w:numPr>
        <w:spacing w:after="40" w:before="40"/>
      </w:pPr>
      <w:r>
        <w:rPr>
          <w:rFonts w:ascii="Arial" w:cs="Arial" w:eastAsia="Arial" w:hAnsi="Arial"/>
          <w:color w:val="444444"/>
          <w:sz w:val="22"/>
          <w:szCs w:val="22"/>
        </w:rPr>
        <w:t xml:space="preserve">"Survey / Multiple" is used for form and region when an article genuinely covers multiple centers or forms equally. Do not force single-value tags when the article resists them.</w:t>
      </w:r>
    </w:p>
    <w:p>
      <w:pPr>
        <w:pStyle w:val="ListParagraph"/>
        <w:numPr>
          <w:ilvl w:val="0"/>
          <w:numId w:val="2"/>
        </w:numPr>
        <w:spacing w:after="40" w:before="40"/>
      </w:pPr>
      <w:r>
        <w:rPr>
          <w:rFonts w:ascii="Arial" w:cs="Arial" w:eastAsia="Arial" w:hAnsi="Arial"/>
          <w:color w:val="444444"/>
          <w:sz w:val="22"/>
          <w:szCs w:val="22"/>
        </w:rPr>
        <w:t xml:space="preserve">Makers field is populated when specific craftsmen are named and their work analyzed. Leave as "—" when the article is about a style or tradition without identified individual makers.</w:t>
      </w:r>
    </w:p>
    <w:p>
      <w:pPr>
        <w:pStyle w:val="ListParagraph"/>
        <w:numPr>
          <w:ilvl w:val="0"/>
          <w:numId w:val="2"/>
        </w:numPr>
        <w:spacing w:after="40" w:before="40"/>
      </w:pPr>
      <w:r>
        <w:rPr>
          <w:rFonts w:ascii="Arial" w:cs="Arial" w:eastAsia="Arial" w:hAnsi="Arial"/>
          <w:color w:val="444444"/>
          <w:sz w:val="22"/>
          <w:szCs w:val="22"/>
        </w:rPr>
        <w:t xml:space="preserve">Description length target is 3–5 sentences. Enough to tell a member whether this article is relevant to their current research question. Not a summary of conclusions.</w:t>
      </w:r>
    </w:p>
    <w:p>
      <w:pPr>
        <w:pStyle w:val="ListParagraph"/>
        <w:numPr>
          <w:ilvl w:val="0"/>
          <w:numId w:val="2"/>
        </w:numPr>
        <w:spacing w:after="40" w:before="40"/>
      </w:pPr>
      <w:r>
        <w:rPr>
          <w:rFonts w:ascii="Arial" w:cs="Arial" w:eastAsia="Arial" w:hAnsi="Arial"/>
          <w:color w:val="444444"/>
          <w:sz w:val="22"/>
          <w:szCs w:val="22"/>
        </w:rPr>
        <w:t xml:space="preserve">The Follansbee/Alexander article (Savell Shop) is a strong example of the Construction/Technique topic — it will be particularly useful to members interested in early joined furniture methods. Flag high-value technique articles for prominence in the UI.</w:t>
      </w:r>
    </w:p>
    <w:p>
      <w:pPr>
        <w:spacing w:before="160"/>
      </w:pPr>
    </w:p>
    <w:p>
      <w:pPr>
        <w:pStyle w:val="Heading2"/>
        <w:spacing w:after="100" w:before="280"/>
      </w:pPr>
      <w:r>
        <w:rPr>
          <w:rFonts w:ascii="Arial" w:cs="Arial" w:eastAsia="Arial" w:hAnsi="Arial"/>
          <w:b/>
          <w:bCs/>
          <w:color w:val="1E4B8C"/>
          <w:sz w:val="26"/>
          <w:szCs w:val="26"/>
        </w:rPr>
        <w:t xml:space="preserve">SQL Seed Insert</w:t>
      </w:r>
    </w:p>
    <w:p>
      <w:pPr>
        <w:spacing w:after="80" w:before="80"/>
      </w:pPr>
      <w:r>
        <w:rPr>
          <w:rFonts w:ascii="Arial" w:cs="Arial" w:eastAsia="Arial" w:hAnsi="Arial"/>
          <w:color w:val="444444"/>
          <w:sz w:val="22"/>
          <w:szCs w:val="22"/>
        </w:rPr>
        <w:t xml:space="preserve">Sample INSERT statement for the seed batch. Use this pattern for the Worker's data seed script.</w:t>
      </w:r>
    </w:p>
    <w:p>
      <w:pPr>
        <w:spacing w:before="80"/>
      </w:pPr>
    </w:p>
    <w:p>
      <w:pPr>
        <w:spacing w:after="60" w:before="60"/>
        <w:ind w:left="720"/>
      </w:pPr>
      <w:r>
        <w:rPr>
          <w:rFonts w:ascii="Courier New" w:cs="Courier New" w:eastAsia="Courier New" w:hAnsi="Courier New"/>
          <w:color w:val="333333"/>
          <w:sz w:val="18"/>
          <w:szCs w:val="18"/>
        </w:rPr>
        <w:t xml:space="preserve">INSERT INTO library_cards (</w:t>
      </w:r>
    </w:p>
    <w:p>
      <w:pPr>
        <w:spacing w:after="60" w:before="60"/>
        <w:ind w:left="720"/>
      </w:pPr>
      <w:r>
        <w:rPr>
          <w:rFonts w:ascii="Courier New" w:cs="Courier New" w:eastAsia="Courier New" w:hAnsi="Courier New"/>
          <w:color w:val="333333"/>
          <w:sz w:val="18"/>
          <w:szCs w:val="18"/>
        </w:rPr>
        <w:t xml:space="preserve">  title, authors, year, source, source_key, card_type,</w:t>
      </w:r>
    </w:p>
    <w:p>
      <w:pPr>
        <w:spacing w:after="60" w:before="60"/>
        <w:ind w:left="720"/>
      </w:pPr>
      <w:r>
        <w:rPr>
          <w:rFonts w:ascii="Courier New" w:cs="Courier New" w:eastAsia="Courier New" w:hAnsi="Courier New"/>
          <w:color w:val="333333"/>
          <w:sz w:val="18"/>
          <w:szCs w:val="18"/>
        </w:rPr>
        <w:t xml:space="preserve">  description, period, form, region, topic, makers,</w:t>
      </w:r>
    </w:p>
    <w:p>
      <w:pPr>
        <w:spacing w:after="60" w:before="60"/>
        <w:ind w:left="720"/>
      </w:pPr>
      <w:r>
        <w:rPr>
          <w:rFonts w:ascii="Courier New" w:cs="Courier New" w:eastAsia="Courier New" w:hAnsi="Courier New"/>
          <w:color w:val="333333"/>
          <w:sz w:val="18"/>
          <w:szCs w:val="18"/>
        </w:rPr>
        <w:t xml:space="preserve">  is_free, view_url, status, created_at, updated_at</w:t>
      </w:r>
    </w:p>
    <w:p>
      <w:pPr>
        <w:spacing w:after="60" w:before="60"/>
        <w:ind w:left="720"/>
      </w:pPr>
      <w:r>
        <w:rPr>
          <w:rFonts w:ascii="Courier New" w:cs="Courier New" w:eastAsia="Courier New" w:hAnsi="Courier New"/>
          <w:color w:val="333333"/>
          <w:sz w:val="18"/>
          <w:szCs w:val="18"/>
        </w:rPr>
        <w:t xml:space="preserve">) VALUES (</w:t>
      </w:r>
    </w:p>
    <w:p>
      <w:pPr>
        <w:spacing w:after="60" w:before="60"/>
        <w:ind w:left="720"/>
      </w:pPr>
      <w:r>
        <w:rPr>
          <w:rFonts w:ascii="Courier New" w:cs="Courier New" w:eastAsia="Courier New" w:hAnsi="Courier New"/>
          <w:color w:val="333333"/>
          <w:sz w:val="18"/>
          <w:szCs w:val="18"/>
        </w:rPr>
        <w:t xml:space="preserve">  'Seventeenth-Century Joinery from Braintree, Massachusetts...',</w:t>
      </w:r>
    </w:p>
    <w:p>
      <w:pPr>
        <w:spacing w:after="60" w:before="60"/>
        <w:ind w:left="720"/>
      </w:pPr>
      <w:r>
        <w:rPr>
          <w:rFonts w:ascii="Courier New" w:cs="Courier New" w:eastAsia="Courier New" w:hAnsi="Courier New"/>
          <w:color w:val="333333"/>
          <w:sz w:val="18"/>
          <w:szCs w:val="18"/>
        </w:rPr>
        <w:t xml:space="preserve">  '["Peter Follansbee", "John D. Alexander"]',</w:t>
      </w:r>
    </w:p>
    <w:p>
      <w:pPr>
        <w:spacing w:after="60" w:before="60"/>
        <w:ind w:left="720"/>
      </w:pPr>
      <w:r>
        <w:rPr>
          <w:rFonts w:ascii="Courier New" w:cs="Courier New" w:eastAsia="Courier New" w:hAnsi="Courier New"/>
          <w:color w:val="333333"/>
          <w:sz w:val="18"/>
          <w:szCs w:val="18"/>
        </w:rPr>
        <w:t xml:space="preserve">  1996,</w:t>
      </w:r>
    </w:p>
    <w:p>
      <w:pPr>
        <w:spacing w:after="60" w:before="60"/>
        <w:ind w:left="720"/>
      </w:pPr>
      <w:r>
        <w:rPr>
          <w:rFonts w:ascii="Courier New" w:cs="Courier New" w:eastAsia="Courier New" w:hAnsi="Courier New"/>
          <w:color w:val="333333"/>
          <w:sz w:val="18"/>
          <w:szCs w:val="18"/>
        </w:rPr>
        <w:t xml:space="preserve">  'Chipstone Foundation — American Furniture',</w:t>
      </w:r>
    </w:p>
    <w:p>
      <w:pPr>
        <w:spacing w:after="60" w:before="60"/>
        <w:ind w:left="720"/>
      </w:pPr>
      <w:r>
        <w:rPr>
          <w:rFonts w:ascii="Courier New" w:cs="Courier New" w:eastAsia="Courier New" w:hAnsi="Courier New"/>
          <w:color w:val="333333"/>
          <w:sz w:val="18"/>
          <w:szCs w:val="18"/>
        </w:rPr>
        <w:t xml:space="preserve">  'chipstone',</w:t>
      </w:r>
    </w:p>
    <w:p>
      <w:pPr>
        <w:spacing w:after="60" w:before="60"/>
        <w:ind w:left="720"/>
      </w:pPr>
      <w:r>
        <w:rPr>
          <w:rFonts w:ascii="Courier New" w:cs="Courier New" w:eastAsia="Courier New" w:hAnsi="Courier New"/>
          <w:color w:val="333333"/>
          <w:sz w:val="18"/>
          <w:szCs w:val="18"/>
        </w:rPr>
        <w:t xml:space="preserve">  'article',</w:t>
      </w:r>
    </w:p>
    <w:p>
      <w:pPr>
        <w:spacing w:after="60" w:before="60"/>
        <w:ind w:left="720"/>
      </w:pPr>
      <w:r>
        <w:rPr>
          <w:rFonts w:ascii="Courier New" w:cs="Courier New" w:eastAsia="Courier New" w:hAnsi="Courier New"/>
          <w:color w:val="333333"/>
          <w:sz w:val="18"/>
          <w:szCs w:val="18"/>
        </w:rPr>
        <w:t xml:space="preserve">  'A detailed technical study of a three-generation Braintree...',</w:t>
      </w:r>
    </w:p>
    <w:p>
      <w:pPr>
        <w:spacing w:after="60" w:before="60"/>
        <w:ind w:left="720"/>
      </w:pPr>
      <w:r>
        <w:rPr>
          <w:rFonts w:ascii="Courier New" w:cs="Courier New" w:eastAsia="Courier New" w:hAnsi="Courier New"/>
          <w:color w:val="333333"/>
          <w:sz w:val="18"/>
          <w:szCs w:val="18"/>
        </w:rPr>
        <w:t xml:space="preserve">  '["Early Colonial", "William &amp; Mary"]',</w:t>
      </w:r>
    </w:p>
    <w:p>
      <w:pPr>
        <w:spacing w:after="60" w:before="60"/>
        <w:ind w:left="720"/>
      </w:pPr>
      <w:r>
        <w:rPr>
          <w:rFonts w:ascii="Courier New" w:cs="Courier New" w:eastAsia="Courier New" w:hAnsi="Courier New"/>
          <w:color w:val="333333"/>
          <w:sz w:val="18"/>
          <w:szCs w:val="18"/>
        </w:rPr>
        <w:t xml:space="preserve">  '["Case pieces"]',</w:t>
      </w:r>
    </w:p>
    <w:p>
      <w:pPr>
        <w:spacing w:after="60" w:before="60"/>
        <w:ind w:left="720"/>
      </w:pPr>
      <w:r>
        <w:rPr>
          <w:rFonts w:ascii="Courier New" w:cs="Courier New" w:eastAsia="Courier New" w:hAnsi="Courier New"/>
          <w:color w:val="333333"/>
          <w:sz w:val="18"/>
          <w:szCs w:val="18"/>
        </w:rPr>
        <w:t xml:space="preserve">  '["New England"]',</w:t>
      </w:r>
    </w:p>
    <w:p>
      <w:pPr>
        <w:spacing w:after="60" w:before="60"/>
        <w:ind w:left="720"/>
      </w:pPr>
      <w:r>
        <w:rPr>
          <w:rFonts w:ascii="Courier New" w:cs="Courier New" w:eastAsia="Courier New" w:hAnsi="Courier New"/>
          <w:color w:val="333333"/>
          <w:sz w:val="18"/>
          <w:szCs w:val="18"/>
        </w:rPr>
        <w:t xml:space="preserve">  '["Construction / Technique", "Regional Attribution", "Shop Tradition"]',</w:t>
      </w:r>
    </w:p>
    <w:p>
      <w:pPr>
        <w:spacing w:after="60" w:before="60"/>
        <w:ind w:left="720"/>
      </w:pPr>
      <w:r>
        <w:rPr>
          <w:rFonts w:ascii="Courier New" w:cs="Courier New" w:eastAsia="Courier New" w:hAnsi="Courier New"/>
          <w:color w:val="333333"/>
          <w:sz w:val="18"/>
          <w:szCs w:val="18"/>
        </w:rPr>
        <w:t xml:space="preserve">  '["William Savell Sr.", "William Savell Jr.", "John Savell"]',</w:t>
      </w:r>
    </w:p>
    <w:p>
      <w:pPr>
        <w:spacing w:after="60" w:before="60"/>
        <w:ind w:left="720"/>
      </w:pPr>
      <w:r>
        <w:rPr>
          <w:rFonts w:ascii="Courier New" w:cs="Courier New" w:eastAsia="Courier New" w:hAnsi="Courier New"/>
          <w:color w:val="333333"/>
          <w:sz w:val="18"/>
          <w:szCs w:val="18"/>
        </w:rPr>
        <w:t xml:space="preserve">  1,</w:t>
      </w:r>
    </w:p>
    <w:p>
      <w:pPr>
        <w:spacing w:after="60" w:before="60"/>
        <w:ind w:left="720"/>
      </w:pPr>
      <w:r>
        <w:rPr>
          <w:rFonts w:ascii="Courier New" w:cs="Courier New" w:eastAsia="Courier New" w:hAnsi="Courier New"/>
          <w:color w:val="333333"/>
          <w:sz w:val="18"/>
          <w:szCs w:val="18"/>
        </w:rPr>
        <w:t xml:space="preserve">  'https://chipstone.org/article.php/222/...',</w:t>
      </w:r>
    </w:p>
    <w:p>
      <w:pPr>
        <w:spacing w:after="60" w:before="60"/>
        <w:ind w:left="720"/>
      </w:pPr>
      <w:r>
        <w:rPr>
          <w:rFonts w:ascii="Courier New" w:cs="Courier New" w:eastAsia="Courier New" w:hAnsi="Courier New"/>
          <w:color w:val="333333"/>
          <w:sz w:val="18"/>
          <w:szCs w:val="18"/>
        </w:rPr>
        <w:t xml:space="preserve">  'approved',</w:t>
      </w:r>
    </w:p>
    <w:p>
      <w:pPr>
        <w:spacing w:after="60" w:before="60"/>
        <w:ind w:left="720"/>
      </w:pPr>
      <w:r>
        <w:rPr>
          <w:rFonts w:ascii="Courier New" w:cs="Courier New" w:eastAsia="Courier New" w:hAnsi="Courier New"/>
          <w:color w:val="333333"/>
          <w:sz w:val="18"/>
          <w:szCs w:val="18"/>
        </w:rPr>
        <w:t xml:space="preserve">  datetime('now'), datetime('now')</w:t>
      </w:r>
    </w:p>
    <w:p>
      <w:pPr>
        <w:spacing w:after="60" w:before="60"/>
        <w:ind w:left="720"/>
      </w:pPr>
      <w:r>
        <w:rPr>
          <w:rFonts w:ascii="Courier New" w:cs="Courier New" w:eastAsia="Courier New" w:hAnsi="Courier New"/>
          <w:color w:val="333333"/>
          <w:sz w:val="18"/>
          <w:szCs w:val="18"/>
        </w:rPr>
        <w:t xml:space="preserve">);</w:t>
      </w:r>
    </w:p>
    <w:p>
      <w:pPr>
        <w:spacing w:before="240"/>
      </w:pPr>
    </w:p>
    <w:p>
      <w:pPr>
        <w:pBdr>
          <w:top w:val="single" w:color="CCCCCC" w:sz="4" w:space="1"/>
        </w:pBdr>
        <w:spacing w:after="0" w:before="160"/>
      </w:pPr>
      <w:r>
        <w:rPr>
          <w:rFonts w:ascii="Arial" w:cs="Arial" w:eastAsia="Arial" w:hAnsi="Arial"/>
          <w:i/>
          <w:iCs/>
          <w:color w:val="888888"/>
          <w:sz w:val="18"/>
          <w:szCs w:val="18"/>
        </w:rPr>
        <w:t xml:space="preserve">SAPFM Card Catalog — POC Kickoff Package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4B8C"/>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E4B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2026-04-06T19:54:19.037Z</dcterms:created>
  <dcterms:modified xsi:type="dcterms:W3CDTF">2026-04-06T19:54:19.038Z</dcterms:modified>
</cp:coreProperties>
</file>

<file path=docProps/custom.xml><?xml version="1.0" encoding="utf-8"?>
<Properties xmlns="http://schemas.openxmlformats.org/officeDocument/2006/custom-properties" xmlns:vt="http://schemas.openxmlformats.org/officeDocument/2006/docPropsVTypes"/>
</file>