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FFF"/>
          <w:sz w:val="64"/>
          <w:szCs w:val="64"/>
        </w:rPr>
        <w:t xml:space="preserve">GOXEN</w:t>
      </w:r>
    </w:p>
    <w:p>
      <w:pPr>
        <w:spacing w:after="160" w:before="0"/>
        <w:jc w:val="center"/>
      </w:pPr>
      <w:r>
        <w:rPr>
          <w:rFonts w:ascii="Arial" w:cs="Arial" w:eastAsia="Arial" w:hAnsi="Arial"/>
          <w:b/>
          <w:bCs/>
          <w:color w:val="0F0E0C"/>
          <w:sz w:val="40"/>
          <w:szCs w:val="40"/>
        </w:rPr>
        <w:t xml:space="preserve">Conditions Générales d'Utilisation</w:t>
      </w:r>
    </w:p>
    <w:p>
      <w:pPr>
        <w:spacing w:after="600" w:before="0"/>
        <w:jc w:val="center"/>
      </w:pPr>
      <w:r>
        <w:rPr>
          <w:rFonts w:ascii="Arial" w:cs="Arial" w:eastAsia="Arial" w:hAnsi="Arial"/>
          <w:color w:val="6B6560"/>
          <w:sz w:val="22"/>
          <w:szCs w:val="22"/>
        </w:rPr>
        <w:t xml:space="preserve">Version 1.0 — Avril 2025</w:t>
      </w:r>
    </w:p>
    <w:p>
      <w:pPr>
        <w:pBdr>
          <w:bottom w:val="single" w:color="DDDDDD" w:sz="4" w:space="6"/>
        </w:pBdr>
        <w:spacing w:after="80" w:before="0"/>
        <w:jc w:val="center"/>
      </w:pPr>
      <w:r>
        <w:rPr>
          <w:rFonts w:ascii="Arial" w:cs="Arial" w:eastAsia="Arial" w:hAnsi="Arial"/>
          <w:color w:val="6B6560"/>
          <w:sz w:val="22"/>
          <w:szCs w:val="22"/>
        </w:rPr>
        <w:t xml:space="preserve">goxen.co</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Préambule</w:t>
      </w:r>
    </w:p>
    <w:p>
      <w:pPr>
        <w:spacing w:after="120" w:before="80"/>
        <w:jc w:val="both"/>
      </w:pPr>
      <w:r>
        <w:rPr>
          <w:rFonts w:ascii="Arial" w:cs="Arial" w:eastAsia="Arial" w:hAnsi="Arial"/>
          <w:color w:val="0F0E0C"/>
          <w:sz w:val="22"/>
          <w:szCs w:val="22"/>
        </w:rPr>
        <w:t xml:space="preserve">Les présentes Conditions Générales d'Utilisation (ci-après « CGU ») régissent l'accès et l'utilisation de la plateforme Goxen, accessible à l'adresse goxen.co (ci-après « la Plateforme »), éditée et exploitée par Naxari (ci-après « l'Éditeur »).</w:t>
      </w:r>
    </w:p>
    <w:p>
      <w:pPr>
        <w:spacing w:after="120" w:before="80"/>
        <w:jc w:val="both"/>
      </w:pPr>
      <w:r>
        <w:rPr>
          <w:rFonts w:ascii="Arial" w:cs="Arial" w:eastAsia="Arial" w:hAnsi="Arial"/>
          <w:color w:val="0F0E0C"/>
          <w:sz w:val="22"/>
          <w:szCs w:val="22"/>
        </w:rPr>
        <w:t xml:space="preserve">La Plateforme Goxen est un service indépendant de collecte, de publication et d'analyse d'avis clients sur les institutions financières opérant dans l'espace UEMOA (Union Économique et Monétaire Ouest-Africaine). Goxen n'est ni un organisme de certification accrédité, ni une agence de notation financière au sens réglementaire du terme.</w:t>
      </w:r>
    </w:p>
    <w:p>
      <w:pPr>
        <w:spacing w:after="120" w:before="80"/>
        <w:jc w:val="both"/>
      </w:pPr>
      <w:r>
        <w:rPr>
          <w:rFonts w:ascii="Arial" w:cs="Arial" w:eastAsia="Arial" w:hAnsi="Arial"/>
          <w:color w:val="0F0E0C"/>
          <w:sz w:val="22"/>
          <w:szCs w:val="22"/>
        </w:rPr>
        <w:t xml:space="preserve">L'utilisation de la Plateforme implique l'acceptation pleine et entière des présentes CGU. Toute personne refusant d'être liée par ces conditions est invitée à ne pas utiliser la Plateforme.</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1 — Objet du service</w:t>
      </w:r>
    </w:p>
    <w:p>
      <w:pPr>
        <w:spacing w:after="120" w:before="80"/>
        <w:jc w:val="both"/>
      </w:pPr>
      <w:r>
        <w:rPr>
          <w:rFonts w:ascii="Arial" w:cs="Arial" w:eastAsia="Arial" w:hAnsi="Arial"/>
          <w:color w:val="0F0E0C"/>
          <w:sz w:val="22"/>
          <w:szCs w:val="22"/>
        </w:rPr>
        <w:t xml:space="preserve">Goxen a pour objet de permettre à tout utilisateur d'exprimer, de manière anonyme et volontaire, son expérience en qualité de client d'une institution financière (banque, établissement de paiement, fintech, opérateur de Mobile Money, institution de microfinance) active dans l'espace UEMOA.</w:t>
      </w:r>
    </w:p>
    <w:p>
      <w:pPr>
        <w:spacing w:after="120" w:before="80"/>
        <w:jc w:val="both"/>
      </w:pPr>
      <w:r>
        <w:rPr>
          <w:rFonts w:ascii="Arial" w:cs="Arial" w:eastAsia="Arial" w:hAnsi="Arial"/>
          <w:color w:val="0F0E0C"/>
          <w:sz w:val="22"/>
          <w:szCs w:val="22"/>
        </w:rPr>
        <w:t xml:space="preserve">La Plateforme agrège les avis collectés afin de calculer un indicateur synthétique dénommé « Goxen Score », lequel est rendu public à partir d'un seuil minimum de trente (30) avis vérifiés par institution. En dessous de ce seuil, aucune donnée de scoring n'est publiée.</w:t>
      </w:r>
    </w:p>
    <w:p>
      <w:pPr>
        <w:spacing w:after="120" w:before="80"/>
        <w:jc w:val="both"/>
      </w:pPr>
      <w:r>
        <w:rPr>
          <w:rFonts w:ascii="Arial" w:cs="Arial" w:eastAsia="Arial" w:hAnsi="Arial"/>
          <w:color w:val="0F0E0C"/>
          <w:sz w:val="22"/>
          <w:szCs w:val="22"/>
        </w:rPr>
        <w:t xml:space="preserve">La Plateforme propose également aux institutions financières concernées la possibilité d'afficher un badge visuel basé sur leur Goxen Score, dans les conditions définies à l'Article 6.</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2 — Définitions</w:t>
      </w:r>
    </w:p>
    <w:p>
      <w:pPr>
        <w:spacing w:after="120" w:before="80"/>
        <w:jc w:val="both"/>
      </w:pPr>
      <w:r>
        <w:rPr>
          <w:rFonts w:ascii="Arial" w:cs="Arial" w:eastAsia="Arial" w:hAnsi="Arial"/>
          <w:color w:val="0F0E0C"/>
          <w:sz w:val="22"/>
          <w:szCs w:val="22"/>
        </w:rPr>
        <w:t xml:space="preserve">Aux fins des présentes CGU, les termes suivants sont définis comme suit :</w:t>
      </w:r>
    </w:p>
    <w:p>
      <w:pPr>
        <w:spacing w:after="80" w:before="0"/>
      </w:pPr>
      <w:r>
        <w:t xml:space="preserve"/>
      </w:r>
    </w:p>
    <w:p>
      <w:pPr>
        <w:spacing w:after="80" w:before="80"/>
      </w:pPr>
      <w:r>
        <w:rPr>
          <w:rFonts w:ascii="Arial" w:cs="Arial" w:eastAsia="Arial" w:hAnsi="Arial"/>
          <w:b/>
          <w:bCs/>
          <w:color w:val="0F0E0C"/>
          <w:sz w:val="22"/>
          <w:szCs w:val="22"/>
        </w:rPr>
        <w:t xml:space="preserve">« Plateforme » : </w:t>
      </w:r>
      <w:r>
        <w:rPr>
          <w:rFonts w:ascii="Arial" w:cs="Arial" w:eastAsia="Arial" w:hAnsi="Arial"/>
          <w:color w:val="0F0E0C"/>
          <w:sz w:val="22"/>
          <w:szCs w:val="22"/>
        </w:rPr>
        <w:t xml:space="preserve">le site web et l'ensemble des services accessibles à l'adresse goxen.co, opérés par Naxari.</w:t>
      </w:r>
    </w:p>
    <w:p>
      <w:pPr>
        <w:spacing w:after="80" w:before="80"/>
      </w:pPr>
      <w:r>
        <w:rPr>
          <w:rFonts w:ascii="Arial" w:cs="Arial" w:eastAsia="Arial" w:hAnsi="Arial"/>
          <w:b/>
          <w:bCs/>
          <w:color w:val="0F0E0C"/>
          <w:sz w:val="22"/>
          <w:szCs w:val="22"/>
        </w:rPr>
        <w:t xml:space="preserve">« Utilisateur » : </w:t>
      </w:r>
      <w:r>
        <w:rPr>
          <w:rFonts w:ascii="Arial" w:cs="Arial" w:eastAsia="Arial" w:hAnsi="Arial"/>
          <w:color w:val="0F0E0C"/>
          <w:sz w:val="22"/>
          <w:szCs w:val="22"/>
        </w:rPr>
        <w:t xml:space="preserve">toute personne physique accédant à la Plateforme, qu'elle soumette un avis ou consulte les données publiées, sans obligation d'inscription ou de création de compte.</w:t>
      </w:r>
    </w:p>
    <w:p>
      <w:pPr>
        <w:spacing w:after="80" w:before="80"/>
      </w:pPr>
      <w:r>
        <w:rPr>
          <w:rFonts w:ascii="Arial" w:cs="Arial" w:eastAsia="Arial" w:hAnsi="Arial"/>
          <w:b/>
          <w:bCs/>
          <w:color w:val="0F0E0C"/>
          <w:sz w:val="22"/>
          <w:szCs w:val="22"/>
        </w:rPr>
        <w:t xml:space="preserve">« Entreprise » : </w:t>
      </w:r>
      <w:r>
        <w:rPr>
          <w:rFonts w:ascii="Arial" w:cs="Arial" w:eastAsia="Arial" w:hAnsi="Arial"/>
          <w:color w:val="0F0E0C"/>
          <w:sz w:val="22"/>
          <w:szCs w:val="22"/>
        </w:rPr>
        <w:t xml:space="preserve">toute institution financière — banque, fintech, établissement de paiement, opérateur de Mobile Money, institution de microfinance — active dans l'espace UEMOA et référencée sur la Plateforme.</w:t>
      </w:r>
    </w:p>
    <w:p>
      <w:pPr>
        <w:spacing w:after="80" w:before="80"/>
      </w:pPr>
      <w:r>
        <w:rPr>
          <w:rFonts w:ascii="Arial" w:cs="Arial" w:eastAsia="Arial" w:hAnsi="Arial"/>
          <w:b/>
          <w:bCs/>
          <w:color w:val="0F0E0C"/>
          <w:sz w:val="22"/>
          <w:szCs w:val="22"/>
        </w:rPr>
        <w:t xml:space="preserve">« Avis » : </w:t>
      </w:r>
      <w:r>
        <w:rPr>
          <w:rFonts w:ascii="Arial" w:cs="Arial" w:eastAsia="Arial" w:hAnsi="Arial"/>
          <w:color w:val="0F0E0C"/>
          <w:sz w:val="22"/>
          <w:szCs w:val="22"/>
        </w:rPr>
        <w:t xml:space="preserve">évaluation structurée soumise par un Utilisateur portant sur son expérience personnelle avec une Entreprise, comprenant une notation multicritère, un indicateur de résolution et, le cas échéant, un commentaire libre.</w:t>
      </w:r>
    </w:p>
    <w:p>
      <w:pPr>
        <w:spacing w:after="80" w:before="80"/>
      </w:pPr>
      <w:r>
        <w:rPr>
          <w:rFonts w:ascii="Arial" w:cs="Arial" w:eastAsia="Arial" w:hAnsi="Arial"/>
          <w:b/>
          <w:bCs/>
          <w:color w:val="0F0E0C"/>
          <w:sz w:val="22"/>
          <w:szCs w:val="22"/>
        </w:rPr>
        <w:t xml:space="preserve">« Goxen Score » : </w:t>
      </w:r>
      <w:r>
        <w:rPr>
          <w:rFonts w:ascii="Arial" w:cs="Arial" w:eastAsia="Arial" w:hAnsi="Arial"/>
          <w:color w:val="0F0E0C"/>
          <w:sz w:val="22"/>
          <w:szCs w:val="22"/>
        </w:rPr>
        <w:t xml:space="preserve">indicateur synthétique calculé algorithmiquement par Goxen à partir des avis collectés. Le Goxen Score est un outil d'information au bénéfice du grand public et ne constitue pas une note financière, une certification, un label officiel ou une recommandation d'investissement.</w:t>
      </w:r>
    </w:p>
    <w:p>
      <w:pPr>
        <w:spacing w:after="80" w:before="80"/>
      </w:pPr>
      <w:r>
        <w:rPr>
          <w:rFonts w:ascii="Arial" w:cs="Arial" w:eastAsia="Arial" w:hAnsi="Arial"/>
          <w:b/>
          <w:bCs/>
          <w:color w:val="0F0E0C"/>
          <w:sz w:val="22"/>
          <w:szCs w:val="22"/>
        </w:rPr>
        <w:t xml:space="preserve">« Badge Goxen » : </w:t>
      </w:r>
      <w:r>
        <w:rPr>
          <w:rFonts w:ascii="Arial" w:cs="Arial" w:eastAsia="Arial" w:hAnsi="Arial"/>
          <w:color w:val="0F0E0C"/>
          <w:sz w:val="22"/>
          <w:szCs w:val="22"/>
        </w:rPr>
        <w:t xml:space="preserve">élément graphique mis à la disposition des Entreprises pour valoriser leur Goxen Score sur leurs propres supports de communication, sous réserve du respect des conditions définies à l'Article 6.</w:t>
      </w:r>
    </w:p>
    <w:p>
      <w:pPr>
        <w:spacing w:after="80" w:before="80"/>
      </w:pPr>
      <w:r>
        <w:rPr>
          <w:rFonts w:ascii="Arial" w:cs="Arial" w:eastAsia="Arial" w:hAnsi="Arial"/>
          <w:b/>
          <w:bCs/>
          <w:color w:val="0F0E0C"/>
          <w:sz w:val="22"/>
          <w:szCs w:val="22"/>
        </w:rPr>
        <w:t xml:space="preserve">« Éditeur » : </w:t>
      </w:r>
      <w:r>
        <w:rPr>
          <w:rFonts w:ascii="Arial" w:cs="Arial" w:eastAsia="Arial" w:hAnsi="Arial"/>
          <w:color w:val="0F0E0C"/>
          <w:sz w:val="22"/>
          <w:szCs w:val="22"/>
        </w:rPr>
        <w:t xml:space="preserve">la société Naxari, responsable de l'édition technique et opérationnelle de la Plateforme Goxen.</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3 — Accès et utilisation de la Plateforme</w:t>
      </w:r>
    </w:p>
    <w:p>
      <w:pPr>
        <w:pStyle w:val="Heading2"/>
        <w:spacing w:after="120" w:before="300"/>
      </w:pPr>
      <w:r>
        <w:rPr>
          <w:rFonts w:ascii="Arial" w:cs="Arial" w:eastAsia="Arial" w:hAnsi="Arial"/>
          <w:b/>
          <w:bCs/>
          <w:color w:val="0F0E0C"/>
          <w:sz w:val="26"/>
          <w:szCs w:val="26"/>
        </w:rPr>
        <w:t xml:space="preserve">3.1 Accès</w:t>
      </w:r>
    </w:p>
    <w:p>
      <w:pPr>
        <w:spacing w:after="120" w:before="80"/>
        <w:jc w:val="both"/>
      </w:pPr>
      <w:r>
        <w:rPr>
          <w:rFonts w:ascii="Arial" w:cs="Arial" w:eastAsia="Arial" w:hAnsi="Arial"/>
          <w:color w:val="0F0E0C"/>
          <w:sz w:val="22"/>
          <w:szCs w:val="22"/>
        </w:rPr>
        <w:t xml:space="preserve">L'accès à la Plateforme est libre, gratuit et ne requiert aucune création de compte pour les Utilisateurs souhaitant consulter les données publiées ou soumettre un avis. Certaines fonctionnalités réservées aux Entreprises peuvent nécessiter une authentification.</w:t>
      </w:r>
    </w:p>
    <w:p>
      <w:pPr>
        <w:pStyle w:val="Heading2"/>
        <w:spacing w:after="120" w:before="300"/>
      </w:pPr>
      <w:r>
        <w:rPr>
          <w:rFonts w:ascii="Arial" w:cs="Arial" w:eastAsia="Arial" w:hAnsi="Arial"/>
          <w:b/>
          <w:bCs/>
          <w:color w:val="0F0E0C"/>
          <w:sz w:val="26"/>
          <w:szCs w:val="26"/>
        </w:rPr>
        <w:t xml:space="preserve">3.2 Conditions d'utilisation</w:t>
      </w:r>
    </w:p>
    <w:p>
      <w:pPr>
        <w:spacing w:after="120" w:before="80"/>
        <w:jc w:val="both"/>
      </w:pPr>
      <w:r>
        <w:rPr>
          <w:rFonts w:ascii="Arial" w:cs="Arial" w:eastAsia="Arial" w:hAnsi="Arial"/>
          <w:color w:val="0F0E0C"/>
          <w:sz w:val="22"/>
          <w:szCs w:val="22"/>
        </w:rPr>
        <w:t xml:space="preserve">L'Utilisateur s'engage à utiliser la Plateforme conformément aux présentes CGU, à la réglementation en vigueur et aux bonnes mœurs. En particulier, il est interdit :</w:t>
      </w:r>
    </w:p>
    <w:p>
      <w:pPr>
        <w:pStyle w:val="ListParagraph"/>
        <w:numPr>
          <w:ilvl w:val="0"/>
          <w:numId w:val="2"/>
        </w:numPr>
        <w:spacing w:after="60" w:before="60"/>
      </w:pPr>
      <w:r>
        <w:rPr>
          <w:rFonts w:ascii="Arial" w:cs="Arial" w:eastAsia="Arial" w:hAnsi="Arial"/>
          <w:color w:val="0F0E0C"/>
          <w:sz w:val="22"/>
          <w:szCs w:val="22"/>
        </w:rPr>
        <w:t xml:space="preserve">de soumettre un avis sans avoir bénéficié personnellement du service évalué ;</w:t>
      </w:r>
    </w:p>
    <w:p>
      <w:pPr>
        <w:pStyle w:val="ListParagraph"/>
        <w:numPr>
          <w:ilvl w:val="0"/>
          <w:numId w:val="2"/>
        </w:numPr>
        <w:spacing w:after="60" w:before="60"/>
      </w:pPr>
      <w:r>
        <w:rPr>
          <w:rFonts w:ascii="Arial" w:cs="Arial" w:eastAsia="Arial" w:hAnsi="Arial"/>
          <w:color w:val="0F0E0C"/>
          <w:sz w:val="22"/>
          <w:szCs w:val="22"/>
        </w:rPr>
        <w:t xml:space="preserve">de soumettre plusieurs avis pour la même institution dans le cadre d'une même relation commerciale ;</w:t>
      </w:r>
    </w:p>
    <w:p>
      <w:pPr>
        <w:pStyle w:val="ListParagraph"/>
        <w:numPr>
          <w:ilvl w:val="0"/>
          <w:numId w:val="2"/>
        </w:numPr>
        <w:spacing w:after="60" w:before="60"/>
      </w:pPr>
      <w:r>
        <w:rPr>
          <w:rFonts w:ascii="Arial" w:cs="Arial" w:eastAsia="Arial" w:hAnsi="Arial"/>
          <w:color w:val="0F0E0C"/>
          <w:sz w:val="22"/>
          <w:szCs w:val="22"/>
        </w:rPr>
        <w:t xml:space="preserve">d'utiliser la Plateforme à des fins de dénigrement organisé, de manipulation des scores ou d'atteinte à la réputation commerciale d'une Entreprise ;</w:t>
      </w:r>
    </w:p>
    <w:p>
      <w:pPr>
        <w:pStyle w:val="ListParagraph"/>
        <w:numPr>
          <w:ilvl w:val="0"/>
          <w:numId w:val="2"/>
        </w:numPr>
        <w:spacing w:after="60" w:before="60"/>
      </w:pPr>
      <w:r>
        <w:rPr>
          <w:rFonts w:ascii="Arial" w:cs="Arial" w:eastAsia="Arial" w:hAnsi="Arial"/>
          <w:color w:val="0F0E0C"/>
          <w:sz w:val="22"/>
          <w:szCs w:val="22"/>
        </w:rPr>
        <w:t xml:space="preserve">d'introduire des contenus illicites, diffamatoires, injurieux, discriminatoires ou portant atteinte aux droits de tiers ;</w:t>
      </w:r>
    </w:p>
    <w:p>
      <w:pPr>
        <w:pStyle w:val="ListParagraph"/>
        <w:numPr>
          <w:ilvl w:val="0"/>
          <w:numId w:val="2"/>
        </w:numPr>
        <w:spacing w:after="60" w:before="60"/>
      </w:pPr>
      <w:r>
        <w:rPr>
          <w:rFonts w:ascii="Arial" w:cs="Arial" w:eastAsia="Arial" w:hAnsi="Arial"/>
          <w:color w:val="0F0E0C"/>
          <w:sz w:val="22"/>
          <w:szCs w:val="22"/>
        </w:rPr>
        <w:t xml:space="preserve">de recourir à tout procédé automatisé (robots, scripts, crawlers) pour accéder à la Plateforme ou en extraire les données.</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4 — Collecte et publication des avis</w:t>
      </w:r>
    </w:p>
    <w:p>
      <w:pPr>
        <w:pStyle w:val="Heading2"/>
        <w:spacing w:after="120" w:before="300"/>
      </w:pPr>
      <w:r>
        <w:rPr>
          <w:rFonts w:ascii="Arial" w:cs="Arial" w:eastAsia="Arial" w:hAnsi="Arial"/>
          <w:b/>
          <w:bCs/>
          <w:color w:val="0F0E0C"/>
          <w:sz w:val="26"/>
          <w:szCs w:val="26"/>
        </w:rPr>
        <w:t xml:space="preserve">4.1 Anonymat et confidentialité</w:t>
      </w:r>
    </w:p>
    <w:p>
      <w:pPr>
        <w:spacing w:after="120" w:before="80"/>
        <w:jc w:val="both"/>
      </w:pPr>
      <w:r>
        <w:rPr>
          <w:rFonts w:ascii="Arial" w:cs="Arial" w:eastAsia="Arial" w:hAnsi="Arial"/>
          <w:color w:val="0F0E0C"/>
          <w:sz w:val="22"/>
          <w:szCs w:val="22"/>
        </w:rPr>
        <w:t xml:space="preserve">La Plateforme ne collecte aucune donnée permettant l'identification personnelle de l'Utilisateur lors de la soumission d'un avis. Aucun compte, adresse email ou numéro de téléphone n'est requis. L'anonymat est une caractéristique fondamentale du service.</w:t>
      </w:r>
    </w:p>
    <w:p>
      <w:pPr>
        <w:pStyle w:val="Heading2"/>
        <w:spacing w:after="120" w:before="300"/>
      </w:pPr>
      <w:r>
        <w:rPr>
          <w:rFonts w:ascii="Arial" w:cs="Arial" w:eastAsia="Arial" w:hAnsi="Arial"/>
          <w:b/>
          <w:bCs/>
          <w:color w:val="0F0E0C"/>
          <w:sz w:val="26"/>
          <w:szCs w:val="26"/>
        </w:rPr>
        <w:t xml:space="preserve">4.2 Vérification et seuil de publication</w:t>
      </w:r>
    </w:p>
    <w:p>
      <w:pPr>
        <w:spacing w:after="120" w:before="80"/>
        <w:jc w:val="both"/>
      </w:pPr>
      <w:r>
        <w:rPr>
          <w:rFonts w:ascii="Arial" w:cs="Arial" w:eastAsia="Arial" w:hAnsi="Arial"/>
          <w:color w:val="0F0E0C"/>
          <w:sz w:val="22"/>
          <w:szCs w:val="22"/>
        </w:rPr>
        <w:t xml:space="preserve">Les avis font l'objet de contrôles algorithmiques anti-fraude au moment de leur soumission (détection de comportements suspects, de soumissions anormalement rapides ou répétitives). Ces contrôles ne sauraient toutefois garantir l'authenticité absolue de chaque avis.</w:t>
      </w:r>
    </w:p>
    <w:p>
      <w:pPr>
        <w:spacing w:after="120" w:before="80"/>
        <w:jc w:val="both"/>
      </w:pPr>
      <w:r>
        <w:rPr>
          <w:rFonts w:ascii="Arial" w:cs="Arial" w:eastAsia="Arial" w:hAnsi="Arial"/>
          <w:color w:val="0F0E0C"/>
          <w:sz w:val="22"/>
          <w:szCs w:val="22"/>
        </w:rPr>
        <w:t xml:space="preserve">Le Goxen Score et les données agrégées d'une Entreprise ne sont rendus publics que lorsque le seuil de trente (30) avis vérifiés est atteint pour cette Entreprise.</w:t>
      </w:r>
    </w:p>
    <w:p>
      <w:pPr>
        <w:pStyle w:val="Heading2"/>
        <w:spacing w:after="120" w:before="300"/>
      </w:pPr>
      <w:r>
        <w:rPr>
          <w:rFonts w:ascii="Arial" w:cs="Arial" w:eastAsia="Arial" w:hAnsi="Arial"/>
          <w:b/>
          <w:bCs/>
          <w:color w:val="0F0E0C"/>
          <w:sz w:val="26"/>
          <w:szCs w:val="26"/>
        </w:rPr>
        <w:t xml:space="preserve">4.3 Responsabilité des avis</w:t>
      </w:r>
    </w:p>
    <w:p>
      <w:pPr>
        <w:spacing w:after="120" w:before="80"/>
        <w:jc w:val="both"/>
      </w:pPr>
      <w:r>
        <w:rPr>
          <w:rFonts w:ascii="Arial" w:cs="Arial" w:eastAsia="Arial" w:hAnsi="Arial"/>
          <w:color w:val="0F0E0C"/>
          <w:sz w:val="22"/>
          <w:szCs w:val="22"/>
        </w:rPr>
        <w:t xml:space="preserve">Le contenu des avis, notamment les commentaires libres, relève de la seule responsabilité de leurs auteurs. Goxen agit en qualité d'hébergeur de ces contenus au sens des législations applicables relatives à la responsabilité des plateformes numériques. L'Éditeur n'est pas responsable des avis publiés mais dispose de la faculté de les modérer ou de les supprimer en cas de manquement aux présentes CGU.</w:t>
      </w:r>
    </w:p>
    <w:p>
      <w:pPr>
        <w:spacing w:after="120" w:before="80"/>
        <w:jc w:val="both"/>
      </w:pPr>
      <w:r>
        <w:rPr>
          <w:rFonts w:ascii="Arial" w:cs="Arial" w:eastAsia="Arial" w:hAnsi="Arial"/>
          <w:color w:val="0F0E0C"/>
          <w:sz w:val="22"/>
          <w:szCs w:val="22"/>
        </w:rPr>
        <w:t xml:space="preserve">Toute Entreprise peut signaler un avis qu'elle estime frauduleux, diffamatoire ou contraire aux CGU, via les canaux de contact mis à disposition. Goxen examinera le signalement dans un délai raisonnable et prendra les mesures appropriées.</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5 — Fonctionnement du Goxen Score</w:t>
      </w:r>
    </w:p>
    <w:p>
      <w:pPr>
        <w:pStyle w:val="Heading2"/>
        <w:spacing w:after="120" w:before="300"/>
      </w:pPr>
      <w:r>
        <w:rPr>
          <w:rFonts w:ascii="Arial" w:cs="Arial" w:eastAsia="Arial" w:hAnsi="Arial"/>
          <w:b/>
          <w:bCs/>
          <w:color w:val="0F0E0C"/>
          <w:sz w:val="26"/>
          <w:szCs w:val="26"/>
        </w:rPr>
        <w:t xml:space="preserve">5.1 Nature et portée</w:t>
      </w:r>
    </w:p>
    <w:p>
      <w:pPr>
        <w:spacing w:after="120" w:before="80"/>
        <w:jc w:val="both"/>
      </w:pPr>
      <w:r>
        <w:rPr>
          <w:rFonts w:ascii="Arial" w:cs="Arial" w:eastAsia="Arial" w:hAnsi="Arial"/>
          <w:color w:val="0F0E0C"/>
          <w:sz w:val="22"/>
          <w:szCs w:val="22"/>
        </w:rPr>
        <w:t xml:space="preserve">Le Goxen Score est un indicateur synthétique, propriétaire et non certifié, calculé exclusivement à partir des avis clients collectés sur la Plateforme. Il reflète la perception de l'expérience client telle que déclarée par les Utilisateurs et ne constitue en aucun cas :</w:t>
      </w:r>
    </w:p>
    <w:p>
      <w:pPr>
        <w:pStyle w:val="ListParagraph"/>
        <w:numPr>
          <w:ilvl w:val="0"/>
          <w:numId w:val="2"/>
        </w:numPr>
        <w:spacing w:after="60" w:before="60"/>
      </w:pPr>
      <w:r>
        <w:rPr>
          <w:rFonts w:ascii="Arial" w:cs="Arial" w:eastAsia="Arial" w:hAnsi="Arial"/>
          <w:color w:val="0F0E0C"/>
          <w:sz w:val="22"/>
          <w:szCs w:val="22"/>
        </w:rPr>
        <w:t xml:space="preserve">une notation financière ou de solvabilité au sens des réglementations bancaires ou des marchés financiers ;</w:t>
      </w:r>
    </w:p>
    <w:p>
      <w:pPr>
        <w:pStyle w:val="ListParagraph"/>
        <w:numPr>
          <w:ilvl w:val="0"/>
          <w:numId w:val="2"/>
        </w:numPr>
        <w:spacing w:after="60" w:before="60"/>
      </w:pPr>
      <w:r>
        <w:rPr>
          <w:rFonts w:ascii="Arial" w:cs="Arial" w:eastAsia="Arial" w:hAnsi="Arial"/>
          <w:color w:val="0F0E0C"/>
          <w:sz w:val="22"/>
          <w:szCs w:val="22"/>
        </w:rPr>
        <w:t xml:space="preserve">une certification, un label officiel ou une accréditation délivrée par un organisme compétent ;</w:t>
      </w:r>
    </w:p>
    <w:p>
      <w:pPr>
        <w:pStyle w:val="ListParagraph"/>
        <w:numPr>
          <w:ilvl w:val="0"/>
          <w:numId w:val="2"/>
        </w:numPr>
        <w:spacing w:after="60" w:before="60"/>
      </w:pPr>
      <w:r>
        <w:rPr>
          <w:rFonts w:ascii="Arial" w:cs="Arial" w:eastAsia="Arial" w:hAnsi="Arial"/>
          <w:color w:val="0F0E0C"/>
          <w:sz w:val="22"/>
          <w:szCs w:val="22"/>
        </w:rPr>
        <w:t xml:space="preserve">une recommandation d'investissement, de souscription ou de résiliation de produit financier.</w:t>
      </w:r>
    </w:p>
    <w:p>
      <w:pPr>
        <w:pStyle w:val="Heading2"/>
        <w:spacing w:after="120" w:before="300"/>
      </w:pPr>
      <w:r>
        <w:rPr>
          <w:rFonts w:ascii="Arial" w:cs="Arial" w:eastAsia="Arial" w:hAnsi="Arial"/>
          <w:b/>
          <w:bCs/>
          <w:color w:val="0F0E0C"/>
          <w:sz w:val="26"/>
          <w:szCs w:val="26"/>
        </w:rPr>
        <w:t xml:space="preserve">5.2 Méthodologie</w:t>
      </w:r>
    </w:p>
    <w:p>
      <w:pPr>
        <w:spacing w:after="120" w:before="80"/>
        <w:jc w:val="both"/>
      </w:pPr>
      <w:r>
        <w:rPr>
          <w:rFonts w:ascii="Arial" w:cs="Arial" w:eastAsia="Arial" w:hAnsi="Arial"/>
          <w:color w:val="0F0E0C"/>
          <w:sz w:val="22"/>
          <w:szCs w:val="22"/>
        </w:rPr>
        <w:t xml:space="preserve">La méthodologie de calcul du Goxen Score est déterminée souverainement par l'Éditeur et peut être mise à jour à tout moment. Les principaux critères pris en compte incluent les dimensions de l'expérience client évaluées lors de la soumission des avis (accessibilité, qualité de service, résolution des problèmes, tarification perçue, recommandation). L'Éditeur n'est pas tenu de divulguer le détail de l'algorithme de calcul.</w:t>
      </w:r>
    </w:p>
    <w:p>
      <w:pPr>
        <w:pStyle w:val="Heading2"/>
        <w:spacing w:after="120" w:before="300"/>
      </w:pPr>
      <w:r>
        <w:rPr>
          <w:rFonts w:ascii="Arial" w:cs="Arial" w:eastAsia="Arial" w:hAnsi="Arial"/>
          <w:b/>
          <w:bCs/>
          <w:color w:val="0F0E0C"/>
          <w:sz w:val="26"/>
          <w:szCs w:val="26"/>
        </w:rPr>
        <w:t xml:space="preserve">5.3 Limitations</w:t>
      </w:r>
    </w:p>
    <w:p>
      <w:pPr>
        <w:spacing w:after="120" w:before="80"/>
        <w:jc w:val="both"/>
      </w:pPr>
      <w:r>
        <w:rPr>
          <w:rFonts w:ascii="Arial" w:cs="Arial" w:eastAsia="Arial" w:hAnsi="Arial"/>
          <w:color w:val="0F0E0C"/>
          <w:sz w:val="22"/>
          <w:szCs w:val="22"/>
        </w:rPr>
        <w:t xml:space="preserve">Le Goxen Score peut évoluer dans le temps en fonction du volume et de la nature des avis reçus. Goxen ne garantit pas la stabilité du score d'une Entreprise ni l'exactitude de sa représentation à un instant donné.</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6 — Conditions d'utilisation du Badge Goxen</w:t>
      </w:r>
    </w:p>
    <w:p>
      <w:pPr>
        <w:pStyle w:val="Heading2"/>
        <w:spacing w:after="120" w:before="300"/>
      </w:pPr>
      <w:r>
        <w:rPr>
          <w:rFonts w:ascii="Arial" w:cs="Arial" w:eastAsia="Arial" w:hAnsi="Arial"/>
          <w:b/>
          <w:bCs/>
          <w:color w:val="0F0E0C"/>
          <w:sz w:val="26"/>
          <w:szCs w:val="26"/>
        </w:rPr>
        <w:t xml:space="preserve">6.1 Conditions d'accès</w:t>
      </w:r>
    </w:p>
    <w:p>
      <w:pPr>
        <w:spacing w:after="120" w:before="80"/>
        <w:jc w:val="both"/>
      </w:pPr>
      <w:r>
        <w:rPr>
          <w:rFonts w:ascii="Arial" w:cs="Arial" w:eastAsia="Arial" w:hAnsi="Arial"/>
          <w:color w:val="0F0E0C"/>
          <w:sz w:val="22"/>
          <w:szCs w:val="22"/>
        </w:rPr>
        <w:t xml:space="preserve">Le Badge Goxen est mis à disposition des Entreprises ayant atteint le seuil de trente (30) avis vérifiés et disposant d'un Goxen Score publié. Son utilisation est soumise à l'acceptation des présentes CGU ainsi que, le cas échéant, à une convention d'utilisation spécifique.</w:t>
      </w:r>
    </w:p>
    <w:p>
      <w:pPr>
        <w:pStyle w:val="Heading2"/>
        <w:spacing w:after="120" w:before="300"/>
      </w:pPr>
      <w:r>
        <w:rPr>
          <w:rFonts w:ascii="Arial" w:cs="Arial" w:eastAsia="Arial" w:hAnsi="Arial"/>
          <w:b/>
          <w:bCs/>
          <w:color w:val="0F0E0C"/>
          <w:sz w:val="26"/>
          <w:szCs w:val="26"/>
        </w:rPr>
        <w:t xml:space="preserve">6.2 Cadre d'utilisation autorisé</w:t>
      </w:r>
    </w:p>
    <w:p>
      <w:pPr>
        <w:spacing w:after="120" w:before="80"/>
        <w:jc w:val="both"/>
      </w:pPr>
      <w:r>
        <w:rPr>
          <w:rFonts w:ascii="Arial" w:cs="Arial" w:eastAsia="Arial" w:hAnsi="Arial"/>
          <w:color w:val="0F0E0C"/>
          <w:sz w:val="22"/>
          <w:szCs w:val="22"/>
        </w:rPr>
        <w:t xml:space="preserve">L'Entreprise est autorisée à utiliser le Badge Goxen à des fins de communication institutionnelle et commerciale, sous réserve de respecter les conditions suivantes :</w:t>
      </w:r>
    </w:p>
    <w:p>
      <w:pPr>
        <w:pStyle w:val="ListParagraph"/>
        <w:numPr>
          <w:ilvl w:val="0"/>
          <w:numId w:val="2"/>
        </w:numPr>
        <w:spacing w:after="60" w:before="60"/>
      </w:pPr>
      <w:r>
        <w:rPr>
          <w:rFonts w:ascii="Arial" w:cs="Arial" w:eastAsia="Arial" w:hAnsi="Arial"/>
          <w:color w:val="0F0E0C"/>
          <w:sz w:val="22"/>
          <w:szCs w:val="22"/>
        </w:rPr>
        <w:t xml:space="preserve">le Badge doit refléter le Goxen Score en vigueur au moment de son utilisation et être mis à jour en cas d'évolution significative du score ;</w:t>
      </w:r>
    </w:p>
    <w:p>
      <w:pPr>
        <w:pStyle w:val="ListParagraph"/>
        <w:numPr>
          <w:ilvl w:val="0"/>
          <w:numId w:val="2"/>
        </w:numPr>
        <w:spacing w:after="60" w:before="60"/>
      </w:pPr>
      <w:r>
        <w:rPr>
          <w:rFonts w:ascii="Arial" w:cs="Arial" w:eastAsia="Arial" w:hAnsi="Arial"/>
          <w:color w:val="0F0E0C"/>
          <w:sz w:val="22"/>
          <w:szCs w:val="22"/>
        </w:rPr>
        <w:t xml:space="preserve">le Badge ne peut pas être modifié, altéré ou utilisé de manière à induire le consommateur en erreur ;</w:t>
      </w:r>
    </w:p>
    <w:p>
      <w:pPr>
        <w:pStyle w:val="ListParagraph"/>
        <w:numPr>
          <w:ilvl w:val="0"/>
          <w:numId w:val="2"/>
        </w:numPr>
        <w:spacing w:after="60" w:before="60"/>
      </w:pPr>
      <w:r>
        <w:rPr>
          <w:rFonts w:ascii="Arial" w:cs="Arial" w:eastAsia="Arial" w:hAnsi="Arial"/>
          <w:color w:val="0F0E0C"/>
          <w:sz w:val="22"/>
          <w:szCs w:val="22"/>
        </w:rPr>
        <w:t xml:space="preserve">l'Entreprise ne peut pas présenter le Badge comme une certification officielle, un label réglementaire ou une notation financière ;</w:t>
      </w:r>
    </w:p>
    <w:p>
      <w:pPr>
        <w:pStyle w:val="ListParagraph"/>
        <w:numPr>
          <w:ilvl w:val="0"/>
          <w:numId w:val="2"/>
        </w:numPr>
        <w:spacing w:after="60" w:before="60"/>
      </w:pPr>
      <w:r>
        <w:rPr>
          <w:rFonts w:ascii="Arial" w:cs="Arial" w:eastAsia="Arial" w:hAnsi="Arial"/>
          <w:color w:val="0F0E0C"/>
          <w:sz w:val="22"/>
          <w:szCs w:val="22"/>
        </w:rPr>
        <w:t xml:space="preserve">l'utilisation du Badge doit être accompagnée, en cas de communication publique, de la mention : « Le Goxen Score est un indicateur basé sur des avis clients et ne constitue pas une certification officielle. » ;</w:t>
      </w:r>
    </w:p>
    <w:p>
      <w:pPr>
        <w:pStyle w:val="ListParagraph"/>
        <w:numPr>
          <w:ilvl w:val="0"/>
          <w:numId w:val="2"/>
        </w:numPr>
        <w:spacing w:after="60" w:before="60"/>
      </w:pPr>
      <w:r>
        <w:rPr>
          <w:rFonts w:ascii="Arial" w:cs="Arial" w:eastAsia="Arial" w:hAnsi="Arial"/>
          <w:color w:val="0F0E0C"/>
          <w:sz w:val="22"/>
          <w:szCs w:val="22"/>
        </w:rPr>
        <w:t xml:space="preserve">le Badge doit mentionner la source : goxen.co.</w:t>
      </w:r>
    </w:p>
    <w:p>
      <w:pPr>
        <w:pStyle w:val="Heading2"/>
        <w:spacing w:after="120" w:before="300"/>
      </w:pPr>
      <w:r>
        <w:rPr>
          <w:rFonts w:ascii="Arial" w:cs="Arial" w:eastAsia="Arial" w:hAnsi="Arial"/>
          <w:b/>
          <w:bCs/>
          <w:color w:val="0F0E0C"/>
          <w:sz w:val="26"/>
          <w:szCs w:val="26"/>
        </w:rPr>
        <w:t xml:space="preserve">6.3 Retrait du droit d'utilisation</w:t>
      </w:r>
    </w:p>
    <w:p>
      <w:pPr>
        <w:spacing w:after="120" w:before="80"/>
        <w:jc w:val="both"/>
      </w:pPr>
      <w:r>
        <w:rPr>
          <w:rFonts w:ascii="Arial" w:cs="Arial" w:eastAsia="Arial" w:hAnsi="Arial"/>
          <w:color w:val="0F0E0C"/>
          <w:sz w:val="22"/>
          <w:szCs w:val="22"/>
        </w:rPr>
        <w:t xml:space="preserve">Goxen se réserve le droit de retirer à tout moment et sans préavis l'autorisation d'utiliser le Badge Goxen en cas de manquement aux présentes CGU, de baisse significative du Goxen Score ou de comportements contraires à l'éthique de la Plateforme.</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7 — Responsabilité des utilisateurs et des entreprises</w:t>
      </w:r>
    </w:p>
    <w:p>
      <w:pPr>
        <w:spacing w:after="120" w:before="80"/>
        <w:jc w:val="both"/>
      </w:pPr>
      <w:r>
        <w:rPr>
          <w:rFonts w:ascii="Arial" w:cs="Arial" w:eastAsia="Arial" w:hAnsi="Arial"/>
          <w:color w:val="0F0E0C"/>
          <w:sz w:val="22"/>
          <w:szCs w:val="22"/>
        </w:rPr>
        <w:t xml:space="preserve">L'Utilisateur est seul responsable des contenus qu'il soumet sur la Plateforme. Il garantit que les avis qu'il publie correspondent à une expérience personnelle authentique et ne portent pas atteinte aux droits de tiers.</w:t>
      </w:r>
    </w:p>
    <w:p>
      <w:pPr>
        <w:spacing w:after="120" w:before="80"/>
        <w:jc w:val="both"/>
      </w:pPr>
      <w:r>
        <w:rPr>
          <w:rFonts w:ascii="Arial" w:cs="Arial" w:eastAsia="Arial" w:hAnsi="Arial"/>
          <w:color w:val="0F0E0C"/>
          <w:sz w:val="22"/>
          <w:szCs w:val="22"/>
        </w:rPr>
        <w:t xml:space="preserve">L'Entreprise reconnait que la publication de son Goxen Score résulte d'un processus indépendant et ne peut en demander le retrait au seul motif que le score lui serait défavorable, sauf à démontrer une fraude manifeste ou une violation des présentes CGU.</w:t>
      </w:r>
    </w:p>
    <w:p>
      <w:pPr>
        <w:spacing w:after="120" w:before="80"/>
        <w:jc w:val="both"/>
      </w:pPr>
      <w:r>
        <w:rPr>
          <w:rFonts w:ascii="Arial" w:cs="Arial" w:eastAsia="Arial" w:hAnsi="Arial"/>
          <w:color w:val="0F0E0C"/>
          <w:sz w:val="22"/>
          <w:szCs w:val="22"/>
        </w:rPr>
        <w:t xml:space="preserve">Tout manquement aux obligations définies aux présentes CGU engage la responsabilité de son auteur et peut entraîner les mesures prévues à l'Article 9.</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8 — Lutte contre la fraude et la manipulation</w:t>
      </w:r>
    </w:p>
    <w:p>
      <w:pPr>
        <w:spacing w:after="120" w:before="80"/>
        <w:jc w:val="both"/>
      </w:pPr>
      <w:r>
        <w:rPr>
          <w:rFonts w:ascii="Arial" w:cs="Arial" w:eastAsia="Arial" w:hAnsi="Arial"/>
          <w:color w:val="0F0E0C"/>
          <w:sz w:val="22"/>
          <w:szCs w:val="22"/>
        </w:rPr>
        <w:t xml:space="preserve">Goxen met en œuvre des mécanismes de détection automatisée destinés à identifier et neutraliser les comportements frauduleux, notamment :</w:t>
      </w:r>
    </w:p>
    <w:p>
      <w:pPr>
        <w:pStyle w:val="ListParagraph"/>
        <w:numPr>
          <w:ilvl w:val="0"/>
          <w:numId w:val="2"/>
        </w:numPr>
        <w:spacing w:after="60" w:before="60"/>
      </w:pPr>
      <w:r>
        <w:rPr>
          <w:rFonts w:ascii="Arial" w:cs="Arial" w:eastAsia="Arial" w:hAnsi="Arial"/>
          <w:color w:val="0F0E0C"/>
          <w:sz w:val="22"/>
          <w:szCs w:val="22"/>
        </w:rPr>
        <w:t xml:space="preserve">les campagnes d'avis coordonnées visant à manipuler artificiellement le Goxen Score d'une Entreprise, à la hausse ou à la baisse ;</w:t>
      </w:r>
    </w:p>
    <w:p>
      <w:pPr>
        <w:pStyle w:val="ListParagraph"/>
        <w:numPr>
          <w:ilvl w:val="0"/>
          <w:numId w:val="2"/>
        </w:numPr>
        <w:spacing w:after="60" w:before="60"/>
      </w:pPr>
      <w:r>
        <w:rPr>
          <w:rFonts w:ascii="Arial" w:cs="Arial" w:eastAsia="Arial" w:hAnsi="Arial"/>
          <w:color w:val="0F0E0C"/>
          <w:sz w:val="22"/>
          <w:szCs w:val="22"/>
        </w:rPr>
        <w:t xml:space="preserve">les soumissions automatisées par scripts ou robots ;</w:t>
      </w:r>
    </w:p>
    <w:p>
      <w:pPr>
        <w:pStyle w:val="ListParagraph"/>
        <w:numPr>
          <w:ilvl w:val="0"/>
          <w:numId w:val="2"/>
        </w:numPr>
        <w:spacing w:after="60" w:before="60"/>
      </w:pPr>
      <w:r>
        <w:rPr>
          <w:rFonts w:ascii="Arial" w:cs="Arial" w:eastAsia="Arial" w:hAnsi="Arial"/>
          <w:color w:val="0F0E0C"/>
          <w:sz w:val="22"/>
          <w:szCs w:val="22"/>
        </w:rPr>
        <w:t xml:space="preserve">les comportements anormaux en termes de volume, de rapidité ou de cohérence des avis.</w:t>
      </w:r>
    </w:p>
    <w:p>
      <w:pPr>
        <w:spacing w:after="120" w:before="80"/>
        <w:jc w:val="both"/>
      </w:pPr>
      <w:r>
        <w:rPr>
          <w:rFonts w:ascii="Arial" w:cs="Arial" w:eastAsia="Arial" w:hAnsi="Arial"/>
          <w:color w:val="0F0E0C"/>
          <w:sz w:val="22"/>
          <w:szCs w:val="22"/>
        </w:rPr>
        <w:t xml:space="preserve">Les avis identifiés comme frauduleux peuvent être supprimés sans préavis. Goxen se réserve le droit d'engager toute action légale contre les auteurs de manipulations délibérées, y compris sur le fondement de la concurrence déloyale ou de la responsabilité délictuelle.</w:t>
      </w:r>
    </w:p>
    <w:p>
      <w:pPr>
        <w:spacing w:after="120" w:before="80"/>
        <w:jc w:val="both"/>
      </w:pPr>
      <w:r>
        <w:rPr>
          <w:rFonts w:ascii="Arial" w:cs="Arial" w:eastAsia="Arial" w:hAnsi="Arial"/>
          <w:color w:val="0F0E0C"/>
          <w:sz w:val="22"/>
          <w:szCs w:val="22"/>
        </w:rPr>
        <w:t xml:space="preserve">Toute tentative de manipulation du Goxen Score par une Entreprise, directement ou indirectement, constitue un motif de suspension immédiate et de retrait du Badge Goxen.</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9 — Suspension et résiliation</w:t>
      </w:r>
    </w:p>
    <w:p>
      <w:pPr>
        <w:spacing w:after="120" w:before="80"/>
        <w:jc w:val="both"/>
      </w:pPr>
      <w:r>
        <w:rPr>
          <w:rFonts w:ascii="Arial" w:cs="Arial" w:eastAsia="Arial" w:hAnsi="Arial"/>
          <w:color w:val="0F0E0C"/>
          <w:sz w:val="22"/>
          <w:szCs w:val="22"/>
        </w:rPr>
        <w:t xml:space="preserve">Goxen se réserve le droit, sans préavis ni indemnité, de :</w:t>
      </w:r>
    </w:p>
    <w:p>
      <w:pPr>
        <w:pStyle w:val="ListParagraph"/>
        <w:numPr>
          <w:ilvl w:val="0"/>
          <w:numId w:val="2"/>
        </w:numPr>
        <w:spacing w:after="60" w:before="60"/>
      </w:pPr>
      <w:r>
        <w:rPr>
          <w:rFonts w:ascii="Arial" w:cs="Arial" w:eastAsia="Arial" w:hAnsi="Arial"/>
          <w:color w:val="0F0E0C"/>
          <w:sz w:val="22"/>
          <w:szCs w:val="22"/>
        </w:rPr>
        <w:t xml:space="preserve">suspendre l'accès à la Plateforme pour tout Utilisateur ou Entreprise en violation des présentes CGU ;</w:t>
      </w:r>
    </w:p>
    <w:p>
      <w:pPr>
        <w:pStyle w:val="ListParagraph"/>
        <w:numPr>
          <w:ilvl w:val="0"/>
          <w:numId w:val="2"/>
        </w:numPr>
        <w:spacing w:after="60" w:before="60"/>
      </w:pPr>
      <w:r>
        <w:rPr>
          <w:rFonts w:ascii="Arial" w:cs="Arial" w:eastAsia="Arial" w:hAnsi="Arial"/>
          <w:color w:val="0F0E0C"/>
          <w:sz w:val="22"/>
          <w:szCs w:val="22"/>
        </w:rPr>
        <w:t xml:space="preserve">supprimer tout contenu non conforme ;</w:t>
      </w:r>
    </w:p>
    <w:p>
      <w:pPr>
        <w:pStyle w:val="ListParagraph"/>
        <w:numPr>
          <w:ilvl w:val="0"/>
          <w:numId w:val="2"/>
        </w:numPr>
        <w:spacing w:after="60" w:before="60"/>
      </w:pPr>
      <w:r>
        <w:rPr>
          <w:rFonts w:ascii="Arial" w:cs="Arial" w:eastAsia="Arial" w:hAnsi="Arial"/>
          <w:color w:val="0F0E0C"/>
          <w:sz w:val="22"/>
          <w:szCs w:val="22"/>
        </w:rPr>
        <w:t xml:space="preserve">retirer le Badge Goxen en cas de manquement aux conditions de l'Article 6 ;</w:t>
      </w:r>
    </w:p>
    <w:p>
      <w:pPr>
        <w:pStyle w:val="ListParagraph"/>
        <w:numPr>
          <w:ilvl w:val="0"/>
          <w:numId w:val="2"/>
        </w:numPr>
        <w:spacing w:after="60" w:before="60"/>
      </w:pPr>
      <w:r>
        <w:rPr>
          <w:rFonts w:ascii="Arial" w:cs="Arial" w:eastAsia="Arial" w:hAnsi="Arial"/>
          <w:color w:val="0F0E0C"/>
          <w:sz w:val="22"/>
          <w:szCs w:val="22"/>
        </w:rPr>
        <w:t xml:space="preserve">suspendre temporairement ou définitivement la publication du score d'une Entreprise en cas de suspicion de fraude, le temps d'une investigation.</w:t>
      </w:r>
    </w:p>
    <w:p>
      <w:pPr>
        <w:spacing w:after="120" w:before="80"/>
        <w:jc w:val="both"/>
      </w:pPr>
      <w:r>
        <w:rPr>
          <w:rFonts w:ascii="Arial" w:cs="Arial" w:eastAsia="Arial" w:hAnsi="Arial"/>
          <w:color w:val="0F0E0C"/>
          <w:sz w:val="22"/>
          <w:szCs w:val="22"/>
        </w:rPr>
        <w:t xml:space="preserve">L'Éditeur se réserve également le droit de modifier, suspendre ou interrompre tout ou partie de la Plateforme à tout moment, sans obligation de préavis, notamment pour des raisons de maintenance, d'évolution technique ou de force majeure.</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10 — Limitation de responsabilité</w:t>
      </w:r>
    </w:p>
    <w:p>
      <w:pPr>
        <w:spacing w:after="120" w:before="80"/>
        <w:jc w:val="both"/>
      </w:pPr>
      <w:r>
        <w:rPr>
          <w:rFonts w:ascii="Arial" w:cs="Arial" w:eastAsia="Arial" w:hAnsi="Arial"/>
          <w:color w:val="0F0E0C"/>
          <w:sz w:val="22"/>
          <w:szCs w:val="22"/>
        </w:rPr>
        <w:t xml:space="preserve">La Plateforme est fournie « en l'état ». L'Éditeur ne saurait être tenu responsable :</w:t>
      </w:r>
    </w:p>
    <w:p>
      <w:pPr>
        <w:pStyle w:val="ListParagraph"/>
        <w:numPr>
          <w:ilvl w:val="0"/>
          <w:numId w:val="2"/>
        </w:numPr>
        <w:spacing w:after="60" w:before="60"/>
      </w:pPr>
      <w:r>
        <w:rPr>
          <w:rFonts w:ascii="Arial" w:cs="Arial" w:eastAsia="Arial" w:hAnsi="Arial"/>
          <w:color w:val="0F0E0C"/>
          <w:sz w:val="22"/>
          <w:szCs w:val="22"/>
        </w:rPr>
        <w:t xml:space="preserve">des décisions prises par des tiers sur la base du Goxen Score ou des avis publiés ;</w:t>
      </w:r>
    </w:p>
    <w:p>
      <w:pPr>
        <w:pStyle w:val="ListParagraph"/>
        <w:numPr>
          <w:ilvl w:val="0"/>
          <w:numId w:val="2"/>
        </w:numPr>
        <w:spacing w:after="60" w:before="60"/>
      </w:pPr>
      <w:r>
        <w:rPr>
          <w:rFonts w:ascii="Arial" w:cs="Arial" w:eastAsia="Arial" w:hAnsi="Arial"/>
          <w:color w:val="0F0E0C"/>
          <w:sz w:val="22"/>
          <w:szCs w:val="22"/>
        </w:rPr>
        <w:t xml:space="preserve">des erreurs, inexactitudes ou omissions dans les avis soumis par les Utilisateurs ;</w:t>
      </w:r>
    </w:p>
    <w:p>
      <w:pPr>
        <w:pStyle w:val="ListParagraph"/>
        <w:numPr>
          <w:ilvl w:val="0"/>
          <w:numId w:val="2"/>
        </w:numPr>
        <w:spacing w:after="60" w:before="60"/>
      </w:pPr>
      <w:r>
        <w:rPr>
          <w:rFonts w:ascii="Arial" w:cs="Arial" w:eastAsia="Arial" w:hAnsi="Arial"/>
          <w:color w:val="0F0E0C"/>
          <w:sz w:val="22"/>
          <w:szCs w:val="22"/>
        </w:rPr>
        <w:t xml:space="preserve">des interruptions, bugs ou indisponibilités de la Plateforme ;</w:t>
      </w:r>
    </w:p>
    <w:p>
      <w:pPr>
        <w:pStyle w:val="ListParagraph"/>
        <w:numPr>
          <w:ilvl w:val="0"/>
          <w:numId w:val="2"/>
        </w:numPr>
        <w:spacing w:after="60" w:before="60"/>
      </w:pPr>
      <w:r>
        <w:rPr>
          <w:rFonts w:ascii="Arial" w:cs="Arial" w:eastAsia="Arial" w:hAnsi="Arial"/>
          <w:color w:val="0F0E0C"/>
          <w:sz w:val="22"/>
          <w:szCs w:val="22"/>
        </w:rPr>
        <w:t xml:space="preserve">de l'utilisation du Badge Goxen en violation des conditions de l'Article 6 par une Entreprise ;</w:t>
      </w:r>
    </w:p>
    <w:p>
      <w:pPr>
        <w:pStyle w:val="ListParagraph"/>
        <w:numPr>
          <w:ilvl w:val="0"/>
          <w:numId w:val="2"/>
        </w:numPr>
        <w:spacing w:after="60" w:before="60"/>
      </w:pPr>
      <w:r>
        <w:rPr>
          <w:rFonts w:ascii="Arial" w:cs="Arial" w:eastAsia="Arial" w:hAnsi="Arial"/>
          <w:color w:val="0F0E0C"/>
          <w:sz w:val="22"/>
          <w:szCs w:val="22"/>
        </w:rPr>
        <w:t xml:space="preserve">des pertes commerciales, préjudices réputationnels ou dommages indirects subis par une Entreprise du fait de la publication de son Goxen Score.</w:t>
      </w:r>
    </w:p>
    <w:p>
      <w:pPr>
        <w:spacing w:after="120" w:before="80"/>
        <w:jc w:val="both"/>
      </w:pPr>
      <w:r>
        <w:rPr>
          <w:rFonts w:ascii="Arial" w:cs="Arial" w:eastAsia="Arial" w:hAnsi="Arial"/>
          <w:color w:val="0F0E0C"/>
          <w:sz w:val="22"/>
          <w:szCs w:val="22"/>
        </w:rPr>
        <w:t xml:space="preserve">En tout état de cause, la responsabilité de l'Éditeur est strictement limitée aux dommages directs et certifiés, à l'exclusion de tout dommage indirect, perte de chiffre d'affaires ou préjudice immatériel.</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11 — Propriété intellectuelle</w:t>
      </w:r>
    </w:p>
    <w:p>
      <w:pPr>
        <w:spacing w:after="120" w:before="80"/>
        <w:jc w:val="both"/>
      </w:pPr>
      <w:r>
        <w:rPr>
          <w:rFonts w:ascii="Arial" w:cs="Arial" w:eastAsia="Arial" w:hAnsi="Arial"/>
          <w:color w:val="0F0E0C"/>
          <w:sz w:val="22"/>
          <w:szCs w:val="22"/>
        </w:rPr>
        <w:t xml:space="preserve">La Plateforme Goxen, son nom, sa marque, son logo, sa charte graphique, ses algorithmes, sa méthodologie de calcul du Goxen Score et l'ensemble des contenus éditoriaux sont la propriété exclusive de Naxari ou de ses partenaires et sont protégés par les droits de propriété intellectuelle applicables.</w:t>
      </w:r>
    </w:p>
    <w:p>
      <w:pPr>
        <w:spacing w:after="120" w:before="80"/>
        <w:jc w:val="both"/>
      </w:pPr>
      <w:r>
        <w:rPr>
          <w:rFonts w:ascii="Arial" w:cs="Arial" w:eastAsia="Arial" w:hAnsi="Arial"/>
          <w:color w:val="0F0E0C"/>
          <w:sz w:val="22"/>
          <w:szCs w:val="22"/>
        </w:rPr>
        <w:t xml:space="preserve">Toute reproduction, représentation, adaptation, modification ou exploitation, totale ou partielle, de ces éléments sans autorisation écrite préalable de Naxari est strictement interdite.</w:t>
      </w:r>
    </w:p>
    <w:p>
      <w:pPr>
        <w:spacing w:after="120" w:before="80"/>
        <w:jc w:val="both"/>
      </w:pPr>
      <w:r>
        <w:rPr>
          <w:rFonts w:ascii="Arial" w:cs="Arial" w:eastAsia="Arial" w:hAnsi="Arial"/>
          <w:color w:val="0F0E0C"/>
          <w:sz w:val="22"/>
          <w:szCs w:val="22"/>
        </w:rPr>
        <w:t xml:space="preserve">Les avis soumis par les Utilisateurs restent la propriété de leurs auteurs. En les publiant sur la Plateforme, les Utilisateurs concèdent à Goxen une licence mondiale, non exclusive, gratuite et irrévocable d'utilisation, de reproduction et d'analyse à des fins d'exploitation du service.</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12 — Données personnelles</w:t>
      </w:r>
    </w:p>
    <w:p>
      <w:pPr>
        <w:spacing w:after="120" w:before="80"/>
        <w:jc w:val="both"/>
      </w:pPr>
      <w:r>
        <w:rPr>
          <w:rFonts w:ascii="Arial" w:cs="Arial" w:eastAsia="Arial" w:hAnsi="Arial"/>
          <w:color w:val="0F0E0C"/>
          <w:sz w:val="22"/>
          <w:szCs w:val="22"/>
        </w:rPr>
        <w:t xml:space="preserve">La Plateforme Goxen a été conçue selon un principe de minimisation des données : aucune donnée permettant l'identification personnelle des Utilisateurs n'est collectée lors de la soumission d'un avis.</w:t>
      </w:r>
    </w:p>
    <w:p>
      <w:pPr>
        <w:spacing w:after="120" w:before="80"/>
        <w:jc w:val="both"/>
      </w:pPr>
      <w:r>
        <w:rPr>
          <w:rFonts w:ascii="Arial" w:cs="Arial" w:eastAsia="Arial" w:hAnsi="Arial"/>
          <w:color w:val="0F0E0C"/>
          <w:sz w:val="22"/>
          <w:szCs w:val="22"/>
        </w:rPr>
        <w:t xml:space="preserve">Des données techniques non identifiantes peuvent être collectées à des fins de sécurité et de prévention de la fraude (horodatage, type d'appareil, comportement de navigation), dans le strict respect des réglementations sur la protection des données personnelles applicables dans l'espace UEMOA.</w:t>
      </w:r>
    </w:p>
    <w:p>
      <w:pPr>
        <w:spacing w:after="120" w:before="80"/>
        <w:jc w:val="both"/>
      </w:pPr>
      <w:r>
        <w:rPr>
          <w:rFonts w:ascii="Arial" w:cs="Arial" w:eastAsia="Arial" w:hAnsi="Arial"/>
          <w:color w:val="0F0E0C"/>
          <w:sz w:val="22"/>
          <w:szCs w:val="22"/>
        </w:rPr>
        <w:t xml:space="preserve">L'Éditeur s'engage à traiter toute donnée personnelle collectée dans le cadre de fonctionnalités réservées aux Entreprises (accès à l'espace partenaire, communication) conformément à sa Politique de Confidentialité, accessible à l'adresse goxen.co/confidentialite.</w:t>
      </w:r>
    </w:p>
    <w:p>
      <w:pPr>
        <w:spacing w:after="120" w:before="80"/>
        <w:jc w:val="both"/>
      </w:pPr>
      <w:r>
        <w:rPr>
          <w:rFonts w:ascii="Arial" w:cs="Arial" w:eastAsia="Arial" w:hAnsi="Arial"/>
          <w:color w:val="0F0E0C"/>
          <w:sz w:val="22"/>
          <w:szCs w:val="22"/>
        </w:rPr>
        <w:t xml:space="preserve">Pour toute question relative à vos données personnelles, vous pouvez contacter l'Éditeur à l'adresse : privacy@goxen.co.</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13 — Rôle de Naxari</w:t>
      </w:r>
    </w:p>
    <w:p>
      <w:pPr>
        <w:spacing w:after="120" w:before="80"/>
        <w:jc w:val="both"/>
      </w:pPr>
      <w:r>
        <w:rPr>
          <w:rFonts w:ascii="Arial" w:cs="Arial" w:eastAsia="Arial" w:hAnsi="Arial"/>
          <w:color w:val="0F0E0C"/>
          <w:sz w:val="22"/>
          <w:szCs w:val="22"/>
        </w:rPr>
        <w:t xml:space="preserve">Naxari est l'éditeur et opérateur technique de la Plateforme Goxen. À ce titre, Naxari assure :</w:t>
      </w:r>
    </w:p>
    <w:p>
      <w:pPr>
        <w:pStyle w:val="ListParagraph"/>
        <w:numPr>
          <w:ilvl w:val="0"/>
          <w:numId w:val="2"/>
        </w:numPr>
        <w:spacing w:after="60" w:before="60"/>
      </w:pPr>
      <w:r>
        <w:rPr>
          <w:rFonts w:ascii="Arial" w:cs="Arial" w:eastAsia="Arial" w:hAnsi="Arial"/>
          <w:color w:val="0F0E0C"/>
          <w:sz w:val="22"/>
          <w:szCs w:val="22"/>
        </w:rPr>
        <w:t xml:space="preserve">le développement, la maintenance et l'évolution technique de la Plateforme ;</w:t>
      </w:r>
    </w:p>
    <w:p>
      <w:pPr>
        <w:pStyle w:val="ListParagraph"/>
        <w:numPr>
          <w:ilvl w:val="0"/>
          <w:numId w:val="2"/>
        </w:numPr>
        <w:spacing w:after="60" w:before="60"/>
      </w:pPr>
      <w:r>
        <w:rPr>
          <w:rFonts w:ascii="Arial" w:cs="Arial" w:eastAsia="Arial" w:hAnsi="Arial"/>
          <w:color w:val="0F0E0C"/>
          <w:sz w:val="22"/>
          <w:szCs w:val="22"/>
        </w:rPr>
        <w:t xml:space="preserve">la conception et l'amélioration de l'algorithme de calcul du Goxen Score ;</w:t>
      </w:r>
    </w:p>
    <w:p>
      <w:pPr>
        <w:pStyle w:val="ListParagraph"/>
        <w:numPr>
          <w:ilvl w:val="0"/>
          <w:numId w:val="2"/>
        </w:numPr>
        <w:spacing w:after="60" w:before="60"/>
      </w:pPr>
      <w:r>
        <w:rPr>
          <w:rFonts w:ascii="Arial" w:cs="Arial" w:eastAsia="Arial" w:hAnsi="Arial"/>
          <w:color w:val="0F0E0C"/>
          <w:sz w:val="22"/>
          <w:szCs w:val="22"/>
        </w:rPr>
        <w:t xml:space="preserve">la modération des contenus publiés sur la Plateforme ;</w:t>
      </w:r>
    </w:p>
    <w:p>
      <w:pPr>
        <w:pStyle w:val="ListParagraph"/>
        <w:numPr>
          <w:ilvl w:val="0"/>
          <w:numId w:val="2"/>
        </w:numPr>
        <w:spacing w:after="60" w:before="60"/>
      </w:pPr>
      <w:r>
        <w:rPr>
          <w:rFonts w:ascii="Arial" w:cs="Arial" w:eastAsia="Arial" w:hAnsi="Arial"/>
          <w:color w:val="0F0E0C"/>
          <w:sz w:val="22"/>
          <w:szCs w:val="22"/>
        </w:rPr>
        <w:t xml:space="preserve">la gestion des relations avec les Entreprises partenaires.</w:t>
      </w:r>
    </w:p>
    <w:p>
      <w:pPr>
        <w:spacing w:after="120" w:before="80"/>
        <w:jc w:val="both"/>
      </w:pPr>
      <w:r>
        <w:rPr>
          <w:rFonts w:ascii="Arial" w:cs="Arial" w:eastAsia="Arial" w:hAnsi="Arial"/>
          <w:color w:val="0F0E0C"/>
          <w:sz w:val="22"/>
          <w:szCs w:val="22"/>
        </w:rPr>
        <w:t xml:space="preserve">Naxari agit en qualité d'éditeur indépendant, sans lien capitalistique, de subordination ou de partenariat commercial avec les Entreprises référencées sur la Plateforme. L'indépendance éditoriale de Goxen est un principe fondateur du service.</w:t>
      </w:r>
    </w:p>
    <w:p>
      <w:pPr>
        <w:spacing w:after="120" w:before="80"/>
        <w:jc w:val="both"/>
      </w:pPr>
      <w:r>
        <w:rPr>
          <w:rFonts w:ascii="Arial" w:cs="Arial" w:eastAsia="Arial" w:hAnsi="Arial"/>
          <w:color w:val="0F0E0C"/>
          <w:sz w:val="22"/>
          <w:szCs w:val="22"/>
        </w:rPr>
        <w:t xml:space="preserve">Naxari se réserve le droit de faire évoluer le modèle économique de la Plateforme (introduction de services premium, offres à destination des Entreprises) sans que cela ne remette en cause l'indépendance du processus de collecte et de publication des avis.</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14 — Droit applicable et règlement des litiges</w:t>
      </w:r>
    </w:p>
    <w:p>
      <w:pPr>
        <w:pStyle w:val="Heading2"/>
        <w:spacing w:after="120" w:before="300"/>
      </w:pPr>
      <w:r>
        <w:rPr>
          <w:rFonts w:ascii="Arial" w:cs="Arial" w:eastAsia="Arial" w:hAnsi="Arial"/>
          <w:b/>
          <w:bCs/>
          <w:color w:val="0F0E0C"/>
          <w:sz w:val="26"/>
          <w:szCs w:val="26"/>
        </w:rPr>
        <w:t xml:space="preserve">14.1 Droit applicable</w:t>
      </w:r>
    </w:p>
    <w:p>
      <w:pPr>
        <w:spacing w:after="120" w:before="80"/>
        <w:jc w:val="both"/>
      </w:pPr>
      <w:r>
        <w:rPr>
          <w:rFonts w:ascii="Arial" w:cs="Arial" w:eastAsia="Arial" w:hAnsi="Arial"/>
          <w:color w:val="0F0E0C"/>
          <w:sz w:val="22"/>
          <w:szCs w:val="22"/>
        </w:rPr>
        <w:t xml:space="preserve">Les présentes CGU sont régies par le droit applicable dans l'espace UEMOA, et en particulier par le droit du pays d'établissement de Naxari. En l'absence de dispositions contraires dans le droit national applicable, les parties conviennent de se référer aux actes uniformes de l'Organisation pour l'Harmonisation en Afrique du Droit des Affaires (OHADA), notamment l'Acte Uniforme relatif au droit commercial général.</w:t>
      </w:r>
    </w:p>
    <w:p>
      <w:pPr>
        <w:spacing w:after="120" w:before="80"/>
        <w:jc w:val="both"/>
      </w:pPr>
      <w:r>
        <w:rPr>
          <w:rFonts w:ascii="Arial" w:cs="Arial" w:eastAsia="Arial" w:hAnsi="Arial"/>
          <w:color w:val="0F0E0C"/>
          <w:sz w:val="22"/>
          <w:szCs w:val="22"/>
        </w:rPr>
        <w:t xml:space="preserve">Les transactions et relations commerciales entre Goxen et les Entreprises sont également régies par les dispositions pertinentes du droit de la consommation numérique et de la protection des données applicables dans les États membres de l'UEMOA.</w:t>
      </w:r>
    </w:p>
    <w:p>
      <w:pPr>
        <w:pStyle w:val="Heading2"/>
        <w:spacing w:after="120" w:before="300"/>
      </w:pPr>
      <w:r>
        <w:rPr>
          <w:rFonts w:ascii="Arial" w:cs="Arial" w:eastAsia="Arial" w:hAnsi="Arial"/>
          <w:b/>
          <w:bCs/>
          <w:color w:val="0F0E0C"/>
          <w:sz w:val="26"/>
          <w:szCs w:val="26"/>
        </w:rPr>
        <w:t xml:space="preserve">14.2 Règlement amiable</w:t>
      </w:r>
    </w:p>
    <w:p>
      <w:pPr>
        <w:spacing w:after="120" w:before="80"/>
        <w:jc w:val="both"/>
      </w:pPr>
      <w:r>
        <w:rPr>
          <w:rFonts w:ascii="Arial" w:cs="Arial" w:eastAsia="Arial" w:hAnsi="Arial"/>
          <w:color w:val="0F0E0C"/>
          <w:sz w:val="22"/>
          <w:szCs w:val="22"/>
        </w:rPr>
        <w:t xml:space="preserve">En cas de litige relatif à l'interprétation ou à l'exécution des présentes CGU, les parties s'engagent à rechercher en priorité une solution amiable, par voie de négociation directe, dans un délai de trente (30) jours à compter de la réception d'une mise en demeure adressée par courrier électronique à contact@goxen.co.</w:t>
      </w:r>
    </w:p>
    <w:p>
      <w:pPr>
        <w:pStyle w:val="Heading2"/>
        <w:spacing w:after="120" w:before="300"/>
      </w:pPr>
      <w:r>
        <w:rPr>
          <w:rFonts w:ascii="Arial" w:cs="Arial" w:eastAsia="Arial" w:hAnsi="Arial"/>
          <w:b/>
          <w:bCs/>
          <w:color w:val="0F0E0C"/>
          <w:sz w:val="26"/>
          <w:szCs w:val="26"/>
        </w:rPr>
        <w:t xml:space="preserve">14.3 Juridiction compétente</w:t>
      </w:r>
    </w:p>
    <w:p>
      <w:pPr>
        <w:spacing w:after="120" w:before="80"/>
        <w:jc w:val="both"/>
      </w:pPr>
      <w:r>
        <w:rPr>
          <w:rFonts w:ascii="Arial" w:cs="Arial" w:eastAsia="Arial" w:hAnsi="Arial"/>
          <w:color w:val="0F0E0C"/>
          <w:sz w:val="22"/>
          <w:szCs w:val="22"/>
        </w:rPr>
        <w:t xml:space="preserve">À défaut de règlement amiable dans le délai précité, tout litige sera soumis aux juridictions compétentes du pays d'établissement de Naxari, sauf disposition légale impérative contraire.</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Article 15 — Modifications des CGU</w:t>
      </w:r>
    </w:p>
    <w:p>
      <w:pPr>
        <w:spacing w:after="120" w:before="80"/>
        <w:jc w:val="both"/>
      </w:pPr>
      <w:r>
        <w:rPr>
          <w:rFonts w:ascii="Arial" w:cs="Arial" w:eastAsia="Arial" w:hAnsi="Arial"/>
          <w:color w:val="0F0E0C"/>
          <w:sz w:val="22"/>
          <w:szCs w:val="22"/>
        </w:rPr>
        <w:t xml:space="preserve">L'Éditeur se réserve le droit de modifier les présentes CGU à tout moment. Les modifications prennent effet à compter de leur publication sur la Plateforme. En cas de modification substantielle, les Entreprises partenaires seront informées par voie électronique dans un délai raisonnable avant l'entrée en vigueur des nouvelles dispositions.</w:t>
      </w:r>
    </w:p>
    <w:p>
      <w:pPr>
        <w:spacing w:after="120" w:before="80"/>
        <w:jc w:val="both"/>
      </w:pPr>
      <w:r>
        <w:rPr>
          <w:rFonts w:ascii="Arial" w:cs="Arial" w:eastAsia="Arial" w:hAnsi="Arial"/>
          <w:color w:val="0F0E0C"/>
          <w:sz w:val="22"/>
          <w:szCs w:val="22"/>
        </w:rPr>
        <w:t xml:space="preserve">L'utilisation continue de la Plateforme après modification des CGU vaut acceptation des nouvelles conditions.</w:t>
      </w:r>
    </w:p>
    <w:p>
      <w:pPr>
        <w:spacing w:after="80" w:before="0"/>
      </w:pPr>
      <w:r>
        <w:t xml:space="preserve"/>
      </w:r>
    </w:p>
    <w:p>
      <w:pPr>
        <w:pStyle w:val="Heading1"/>
        <w:pBdr>
          <w:bottom w:val="single" w:color="1A3FFF" w:sz="6" w:space="6"/>
        </w:pBdr>
        <w:spacing w:after="160" w:before="480"/>
      </w:pPr>
      <w:r>
        <w:rPr>
          <w:rFonts w:ascii="Arial" w:cs="Arial" w:eastAsia="Arial" w:hAnsi="Arial"/>
          <w:b/>
          <w:bCs/>
          <w:color w:val="0F0E0C"/>
          <w:sz w:val="32"/>
          <w:szCs w:val="32"/>
        </w:rPr>
        <w:t xml:space="preserve">Contact</w:t>
      </w:r>
    </w:p>
    <w:p>
      <w:pPr>
        <w:spacing w:after="120" w:before="80"/>
        <w:jc w:val="left"/>
      </w:pPr>
      <w:r>
        <w:rPr>
          <w:rFonts w:ascii="Arial" w:cs="Arial" w:eastAsia="Arial" w:hAnsi="Arial"/>
          <w:color w:val="0F0E0C"/>
          <w:sz w:val="22"/>
          <w:szCs w:val="22"/>
        </w:rPr>
        <w:t xml:space="preserve">Éditeur : Naxari</w:t>
      </w:r>
    </w:p>
    <w:p>
      <w:pPr>
        <w:spacing w:after="120" w:before="80"/>
        <w:jc w:val="left"/>
      </w:pPr>
      <w:r>
        <w:rPr>
          <w:rFonts w:ascii="Arial" w:cs="Arial" w:eastAsia="Arial" w:hAnsi="Arial"/>
          <w:color w:val="0F0E0C"/>
          <w:sz w:val="22"/>
          <w:szCs w:val="22"/>
        </w:rPr>
        <w:t xml:space="preserve">Plateforme : goxen.co</w:t>
      </w:r>
    </w:p>
    <w:p>
      <w:pPr>
        <w:spacing w:after="120" w:before="80"/>
        <w:jc w:val="left"/>
      </w:pPr>
      <w:r>
        <w:rPr>
          <w:rFonts w:ascii="Arial" w:cs="Arial" w:eastAsia="Arial" w:hAnsi="Arial"/>
          <w:color w:val="0F0E0C"/>
          <w:sz w:val="22"/>
          <w:szCs w:val="22"/>
        </w:rPr>
        <w:t xml:space="preserve">Contact général : contact@goxen.co</w:t>
      </w:r>
    </w:p>
    <w:p>
      <w:pPr>
        <w:spacing w:after="120" w:before="80"/>
        <w:jc w:val="left"/>
      </w:pPr>
      <w:r>
        <w:rPr>
          <w:rFonts w:ascii="Arial" w:cs="Arial" w:eastAsia="Arial" w:hAnsi="Arial"/>
          <w:color w:val="0F0E0C"/>
          <w:sz w:val="22"/>
          <w:szCs w:val="22"/>
        </w:rPr>
        <w:t xml:space="preserve">Protection des données : privacy@goxen.co</w:t>
      </w:r>
    </w:p>
    <w:p>
      <w:pPr>
        <w:spacing w:after="80" w:before="0"/>
      </w:pPr>
      <w:r>
        <w:t xml:space="preserve"/>
      </w:r>
    </w:p>
    <w:p>
      <w:pPr>
        <w:pBdr>
          <w:top w:val="single" w:color="DDDDDD" w:sz="2" w:space="8"/>
        </w:pBdr>
        <w:spacing w:after="0" w:before="200"/>
        <w:jc w:val="center"/>
      </w:pPr>
      <w:r>
        <w:rPr>
          <w:rFonts w:ascii="Arial" w:cs="Arial" w:eastAsia="Arial" w:hAnsi="Arial"/>
          <w:i/>
          <w:iCs/>
          <w:color w:val="6B6560"/>
          <w:sz w:val="18"/>
          <w:szCs w:val="18"/>
        </w:rPr>
        <w:t xml:space="preserve">Goxen est un service de Naxari — Indépendant, transparent, au service des clients financiers de l'UEMOA.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8"/>
        <w:szCs w:val="18"/>
      </w:rPr>
      <w:t xml:space="preserve">Goxen — Conditions Générales d'Utilisation  |  Page </w:t>
    </w:r>
    <w:r>
      <w:rPr>
        <w:rFonts w:ascii="Arial" w:cs="Arial" w:eastAsia="Arial" w:hAnsi="Arial"/>
        <w:color w:val="6B6560"/>
        <w:sz w:val="18"/>
        <w:szCs w:val="18"/>
      </w:rPr>
      <w:fldChar w:fldCharType="begin"/>
      <w:instrText xml:space="preserve">PAGE</w:instrText>
      <w:fldChar w:fldCharType="separate"/>
      <w:fldChar w:fldCharType="end"/>
    </w:r>
    <w:r>
      <w:rPr>
        <w:rFonts w:ascii="Arial" w:cs="Arial" w:eastAsia="Arial" w:hAnsi="Arial"/>
        <w:color w:val="6B6560"/>
        <w:sz w:val="18"/>
        <w:szCs w:val="18"/>
      </w:rPr>
      <w:t xml:space="preserve"> / </w:t>
    </w:r>
    <w:r>
      <w:rPr>
        <w:rFonts w:ascii="Arial" w:cs="Arial" w:eastAsia="Arial" w:hAnsi="Arial"/>
        <w:color w:val="6B65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0E0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F0E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2026-04-04T02:02:34.121Z</dcterms:created>
  <dcterms:modified xsi:type="dcterms:W3CDTF">2026-04-04T02:02:34.122Z</dcterms:modified>
</cp:coreProperties>
</file>

<file path=docProps/custom.xml><?xml version="1.0" encoding="utf-8"?>
<Properties xmlns="http://schemas.openxmlformats.org/officeDocument/2006/custom-properties" xmlns:vt="http://schemas.openxmlformats.org/officeDocument/2006/docPropsVTypes"/>
</file>