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78"/>
          <w:sz w:val="40"/>
          <w:szCs w:val="40"/>
        </w:rPr>
        <w:t xml:space="preserve">Journal des décisions</w:t>
      </w:r>
    </w:p>
    <w:p>
      <w:pPr>
        <w:spacing w:after="240"/>
      </w:pPr>
      <w:r>
        <w:rPr>
          <w:color w:val="595959"/>
        </w:rPr>
        <w:t xml:space="preserve">Plan or Learn? Dynamic Pricing of Airline Tickets — Imane Amraoui &amp; Dia Eddine Kadri</w:t>
      </w:r>
    </w:p>
    <w:p>
      <w:pPr>
        <w:spacing w:after="120"/>
      </w:pPr>
      <w:r>
        <w:t xml:space="preserve">Ce document garde la trace de chaque choix de conception : le contexte, les options, la décision et </w:t>
      </w:r>
      <w:r>
        <w:rPr>
          <w:b/>
          <w:bCs/>
        </w:rPr>
        <w:t xml:space="preserve">l'argument à donner</w:t>
      </w:r>
      <w:r>
        <w:t xml:space="preserve"> à l'oral ou dans le rapport. On ajoute une entrée à chaque nouvelle décision, en suivant le modèle en fin de document.</w:t>
      </w:r>
    </w:p>
    <w:p>
      <w:pPr>
        <w:pStyle w:val="Heading1"/>
      </w:pPr>
      <w:r>
        <w:t xml:space="preserve">Récapitulatif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826"/>
        <w:gridCol w:w="2300"/>
      </w:tblGrid>
      <w:tr>
        <w:trPr>
          <w:tblHeader/>
        </w:trPr>
        <w:tc>
          <w:tcPr>
            <w:tcW w:type="dxa" w:w="9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left"/>
            </w:pPr>
            <w:r>
              <w:rPr>
                <w:b/>
                <w:bCs/>
                <w:color w:val="FFFFFF"/>
                <w:sz w:val="19"/>
                <w:szCs w:val="19"/>
              </w:rPr>
              <w:t xml:space="preserve">ID</w:t>
            </w:r>
          </w:p>
        </w:tc>
        <w:tc>
          <w:tcPr>
            <w:tcW w:type="dxa" w:w="5826"/>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left"/>
            </w:pPr>
            <w:r>
              <w:rPr>
                <w:b/>
                <w:bCs/>
                <w:color w:val="FFFFFF"/>
                <w:sz w:val="19"/>
                <w:szCs w:val="19"/>
              </w:rPr>
              <w:t xml:space="preserve">Décision</w:t>
            </w:r>
          </w:p>
        </w:tc>
        <w:tc>
          <w:tcPr>
            <w:tcW w:type="dxa" w:w="23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b/>
                <w:bCs/>
                <w:color w:val="FFFFFF"/>
                <w:sz w:val="19"/>
                <w:szCs w:val="19"/>
              </w:rPr>
              <w:t xml:space="preserve">Statut</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D1</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Capacité de l'avion : C = 10 sièges (au lieu de 20)</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9"/>
                <w:szCs w:val="19"/>
              </w:rPr>
              <w:t xml:space="preserve">Adoptée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D2</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Le planning vit sur GitHub (issues + milestones)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9"/>
                <w:szCs w:val="19"/>
              </w:rPr>
              <w:t xml:space="preserve">Adoptée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D3</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Format du code rendu : repo git (.py + notebook)</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9"/>
                <w:szCs w:val="19"/>
              </w:rPr>
              <w:t xml:space="preserve">Adoptée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D4</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Évaluation commune à toutes les méthodes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9"/>
                <w:szCs w:val="19"/>
              </w:rPr>
              <w:t xml:space="preserve">Adoptée</w:t>
            </w:r>
          </w:p>
        </w:tc>
      </w:tr>
      <w:t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D5</w:t>
            </w:r>
          </w:p>
        </w:tc>
        <w:tc>
          <w:tcPr>
            <w:tcW w:type="dxa" w:w="58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10 seeds dès le premier lancement des expériences</w:t>
            </w:r>
          </w:p>
        </w:tc>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9"/>
                <w:szCs w:val="19"/>
              </w:rPr>
              <w:t xml:space="preserve">Adoptée</w:t>
            </w:r>
          </w:p>
        </w:tc>
      </w:tr>
    </w:tbl>
    <w:p>
      <w:pPr>
        <w:pStyle w:val="Heading1"/>
      </w:pPr>
      <w:r>
        <w:t xml:space="preserve">Décisions</w:t>
      </w:r>
    </w:p>
    <w:p>
      <w:pPr>
        <w:pStyle w:val="Heading2"/>
      </w:pPr>
      <w:r>
        <w:t xml:space="preserve">D1 · Capacité de l'avion : C = 10 sièges (au lieu de 20)</w:t>
      </w:r>
    </w:p>
    <w:p>
      <w:pPr>
        <w:spacing w:after="120"/>
      </w:pPr>
      <w:r>
        <w:rPr>
          <w:b/>
          <w:bCs/>
        </w:rPr>
        <w:t xml:space="preserve">Statut :</w:t>
      </w:r>
      <w:r>
        <w:t xml:space="preserve"> Adoptée (validée avec Dia Eddine)    </w:t>
      </w:r>
      <w:r>
        <w:rPr>
          <w:b/>
          <w:bCs/>
        </w:rPr>
        <w:t xml:space="preserve">Date :</w:t>
      </w:r>
      <w:r>
        <w:t xml:space="preserve"> 2026-10-09    </w:t>
      </w:r>
      <w:r>
        <w:rPr>
          <w:b/>
          <w:bCs/>
        </w:rPr>
        <w:t xml:space="preserve">Issue :</w:t>
      </w:r>
      <w:r>
        <w:t xml:space="preserve"> #3 (validation de la spec)</w:t>
      </w:r>
    </w:p>
    <w:p>
      <w:pPr>
        <w:keepNext/>
        <w:spacing w:before="160" w:after="60"/>
      </w:pPr>
      <w:r>
        <w:rPr>
          <w:b/>
          <w:bCs/>
          <w:color w:val="1F4E78"/>
        </w:rPr>
        <w:t xml:space="preserve">Contexte</w:t>
      </w:r>
    </w:p>
    <w:p>
      <w:pPr>
        <w:spacing w:after="120"/>
      </w:pPr>
      <w:r>
        <w:t xml:space="preserve">La spec (§3.1) demandait de vérifier que la demande dépasse la capacité à bas prix et reste en dessous à prix élevé ; sinon il n'y a pas de compromis intéressant.</w:t>
      </w:r>
    </w:p>
    <w:p>
      <w:pPr>
        <w:spacing w:after="120"/>
      </w:pPr>
      <w:r>
        <w:t xml:space="preserve">Avec le modèle de demande de la spec, sur 30 jours on attend en moyenne 19 arrivées loisirs et 12 affaires (31 au total). Même au prix le plus bas (50 €), seuls 19,3 clients achètent en moyenne : avec 20 sièges, l'avion n'est presque jamais plein.</w:t>
      </w:r>
    </w:p>
    <w:p>
      <w:pPr>
        <w:keepNext/>
        <w:spacing w:before="160" w:after="60"/>
      </w:pPr>
      <w:r>
        <w:rPr>
          <w:b/>
          <w:bCs/>
          <w:color w:val="1F4E78"/>
        </w:rPr>
        <w:t xml:space="preserve">Options envisagées</w:t>
      </w:r>
    </w:p>
    <w:p>
      <w:pPr>
        <w:pStyle w:val="ListParagraph"/>
        <w:numPr>
          <w:ilvl w:val="0"/>
          <w:numId w:val="2"/>
        </w:numPr>
        <w:spacing w:after="60"/>
      </w:pPr>
      <w:r>
        <w:t xml:space="preserve">Garder C = 20 (spec actuelle).</w:t>
      </w:r>
    </w:p>
    <w:p>
      <w:pPr>
        <w:pStyle w:val="ListParagraph"/>
        <w:numPr>
          <w:ilvl w:val="0"/>
          <w:numId w:val="2"/>
        </w:numPr>
        <w:spacing w:after="60"/>
      </w:pPr>
      <w:r>
        <w:t xml:space="preserve">Réduire la capacité : C = 8, 10, 12 ou 15.</w:t>
      </w:r>
    </w:p>
    <w:p>
      <w:pPr>
        <w:pStyle w:val="ListParagraph"/>
        <w:numPr>
          <w:ilvl w:val="0"/>
          <w:numId w:val="2"/>
        </w:numPr>
        <w:spacing w:after="60"/>
      </w:pPr>
      <w:r>
        <w:t xml:space="preserve">Garder C = 20 et doubler les arrivées λ.</w:t>
      </w:r>
    </w:p>
    <w:p>
      <w:pPr>
        <w:keepNext/>
        <w:spacing w:before="160" w:after="60"/>
      </w:pPr>
      <w:r>
        <w:rPr>
          <w:b/>
          <w:bCs/>
          <w:color w:val="1F4E78"/>
        </w:rPr>
        <w:t xml:space="preserve">Vérification par le calcul (DP + évaluation exacte, γ =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26"/>
        <w:gridCol w:w="1300"/>
        <w:gridCol w:w="1600"/>
        <w:gridCol w:w="1500"/>
        <w:gridCol w:w="1400"/>
        <w:gridCol w:w="1500"/>
      </w:tblGrid>
      <w:tr>
        <w:trPr>
          <w:tblHeader/>
        </w:trPr>
        <w:tc>
          <w:tcPr>
            <w:tcW w:type="dxa" w:w="1726"/>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left"/>
            </w:pPr>
            <w:r>
              <w:rPr>
                <w:b/>
                <w:bCs/>
                <w:color w:val="FFFFFF"/>
                <w:sz w:val="19"/>
                <w:szCs w:val="19"/>
              </w:rPr>
              <w:t xml:space="preserve">Config</w:t>
            </w:r>
          </w:p>
        </w:tc>
        <w:tc>
          <w:tcPr>
            <w:tcW w:type="dxa" w:w="13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b/>
                <w:bCs/>
                <w:color w:val="FFFFFF"/>
                <w:sz w:val="19"/>
                <w:szCs w:val="19"/>
              </w:rPr>
              <w:t xml:space="preserve">Revenu DP</w:t>
            </w:r>
          </w:p>
        </w:tc>
        <w:tc>
          <w:tcPr>
            <w:tcW w:type="dxa" w:w="16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b/>
                <w:bCs/>
                <w:color w:val="FFFFFF"/>
                <w:sz w:val="19"/>
                <w:szCs w:val="19"/>
              </w:rPr>
              <w:t xml:space="preserve">Gain DP / prix fixe</w:t>
            </w:r>
          </w:p>
        </w:tc>
        <w:tc>
          <w:tcPr>
            <w:tcW w:type="dxa" w:w="15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b/>
                <w:bCs/>
                <w:color w:val="FFFFFF"/>
                <w:sz w:val="19"/>
                <w:szCs w:val="19"/>
              </w:rPr>
              <w:t xml:space="preserve">Perte du myope</w:t>
            </w:r>
          </w:p>
        </w:tc>
        <w:tc>
          <w:tcPr>
            <w:tcW w:type="dxa" w:w="14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b/>
                <w:bCs/>
                <w:color w:val="FFFFFF"/>
                <w:sz w:val="19"/>
                <w:szCs w:val="19"/>
              </w:rPr>
              <w:t xml:space="preserve">Remplissage</w:t>
            </w:r>
          </w:p>
        </w:tc>
        <w:tc>
          <w:tcPr>
            <w:tcW w:type="dxa" w:w="1500"/>
            <w:tcBorders>
              <w:top w:val="single" w:color="BFBFBF" w:sz="4"/>
              <w:left w:val="single" w:color="BFBFBF" w:sz="4"/>
              <w:bottom w:val="single" w:color="BFBFBF" w:sz="4"/>
              <w:right w:val="single" w:color="BFBFBF" w:sz="4"/>
            </w:tcBorders>
            <w:shd w:fill="1F4E78" w:color="auto" w:val="clear"/>
            <w:tcMar>
              <w:top w:type="dxa" w:w="60"/>
              <w:left w:type="dxa" w:w="100"/>
              <w:bottom w:type="dxa" w:w="60"/>
              <w:right w:type="dxa" w:w="100"/>
            </w:tcMar>
          </w:tcPr>
          <w:p>
            <w:pPr>
              <w:jc w:val="center"/>
            </w:pPr>
            <w:r>
              <w:rPr>
                <w:b/>
                <w:bCs/>
                <w:color w:val="FFFFFF"/>
                <w:sz w:val="19"/>
                <w:szCs w:val="19"/>
              </w:rPr>
              <w:t xml:space="preserve">P(avion plein)</w:t>
            </w:r>
          </w:p>
        </w:tc>
      </w:tr>
      <w:tr>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C = 20 (spec)</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9"/>
                <w:szCs w:val="19"/>
              </w:rPr>
              <w:t xml:space="preserve">1 294 €</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9"/>
                <w:szCs w:val="19"/>
              </w:rPr>
              <w:t xml:space="preserve">4,1 %</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9"/>
                <w:szCs w:val="19"/>
              </w:rPr>
              <w:t xml:space="preserve">0,1 %</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9"/>
                <w:szCs w:val="19"/>
              </w:rPr>
              <w:t xml:space="preserve">57 %</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9"/>
                <w:szCs w:val="19"/>
              </w:rPr>
              <w:t xml:space="preserve">1 %</w:t>
            </w:r>
          </w:p>
        </w:tc>
      </w:tr>
      <w:tr>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C = 15</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9"/>
                <w:szCs w:val="19"/>
              </w:rPr>
              <w:t xml:space="preserve">1 281 €</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9"/>
                <w:szCs w:val="19"/>
              </w:rPr>
              <w:t xml:space="preserve">4,2 %</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9"/>
                <w:szCs w:val="19"/>
              </w:rPr>
              <w:t xml:space="preserve">2,4 %</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9"/>
                <w:szCs w:val="19"/>
              </w:rPr>
              <w:t xml:space="preserve">66 %</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9"/>
                <w:szCs w:val="19"/>
              </w:rPr>
              <w:t xml:space="preserve">4 %</w:t>
            </w:r>
          </w:p>
        </w:tc>
      </w:tr>
      <w:tr>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C = 12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9"/>
                <w:szCs w:val="19"/>
              </w:rPr>
              <w:t xml:space="preserve">1 246 €</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9"/>
                <w:szCs w:val="19"/>
              </w:rPr>
              <w:t xml:space="preserve">3,9 %</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9"/>
                <w:szCs w:val="19"/>
              </w:rPr>
              <w:t xml:space="preserve">9,7 %</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9"/>
                <w:szCs w:val="19"/>
              </w:rPr>
              <w:t xml:space="preserve">73 %</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9"/>
                <w:szCs w:val="19"/>
              </w:rPr>
              <w:t xml:space="preserve">14 %</w:t>
            </w:r>
          </w:p>
        </w:tc>
      </w:tr>
      <w:tr>
        <w:tc>
          <w:tcPr>
            <w:tcW w:type="dxa" w:w="1726"/>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jc w:val="left"/>
            </w:pPr>
            <w:r>
              <w:rPr>
                <w:b/>
                <w:bCs/>
                <w:sz w:val="19"/>
                <w:szCs w:val="19"/>
              </w:rPr>
              <w:t xml:space="preserve">C = 10</w:t>
            </w:r>
          </w:p>
        </w:tc>
        <w:tc>
          <w:tcPr>
            <w:tcW w:type="dxa" w:w="13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jc w:val="center"/>
            </w:pPr>
            <w:r>
              <w:rPr>
                <w:b/>
                <w:bCs/>
                <w:sz w:val="19"/>
                <w:szCs w:val="19"/>
              </w:rPr>
              <w:t xml:space="preserve">1 194 €</w:t>
            </w:r>
          </w:p>
        </w:tc>
        <w:tc>
          <w:tcPr>
            <w:tcW w:type="dxa" w:w="16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jc w:val="center"/>
            </w:pPr>
            <w:r>
              <w:rPr>
                <w:b/>
                <w:bCs/>
                <w:sz w:val="19"/>
                <w:szCs w:val="19"/>
              </w:rPr>
              <w:t xml:space="preserve">4,1 %</w:t>
            </w:r>
          </w:p>
        </w:tc>
        <w:tc>
          <w:tcPr>
            <w:tcW w:type="dxa" w:w="15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jc w:val="center"/>
            </w:pPr>
            <w:r>
              <w:rPr>
                <w:b/>
                <w:bCs/>
                <w:sz w:val="19"/>
                <w:szCs w:val="19"/>
              </w:rPr>
              <w:t xml:space="preserve">18,9 %</w:t>
            </w:r>
          </w:p>
        </w:tc>
        <w:tc>
          <w:tcPr>
            <w:tcW w:type="dxa" w:w="14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jc w:val="center"/>
            </w:pPr>
            <w:r>
              <w:rPr>
                <w:b/>
                <w:bCs/>
                <w:sz w:val="19"/>
                <w:szCs w:val="19"/>
              </w:rPr>
              <w:t xml:space="preserve">77 %</w:t>
            </w:r>
          </w:p>
        </w:tc>
        <w:tc>
          <w:tcPr>
            <w:tcW w:type="dxa" w:w="1500"/>
            <w:tcBorders>
              <w:top w:val="single" w:color="BFBFBF" w:sz="4"/>
              <w:left w:val="single" w:color="BFBFBF" w:sz="4"/>
              <w:bottom w:val="single" w:color="BFBFBF" w:sz="4"/>
              <w:right w:val="single" w:color="BFBFBF" w:sz="4"/>
            </w:tcBorders>
            <w:shd w:fill="E2EFDA" w:color="auto" w:val="clear"/>
            <w:tcMar>
              <w:top w:type="dxa" w:w="60"/>
              <w:left w:type="dxa" w:w="100"/>
              <w:bottom w:type="dxa" w:w="60"/>
              <w:right w:type="dxa" w:w="100"/>
            </w:tcMar>
          </w:tcPr>
          <w:p>
            <w:pPr>
              <w:jc w:val="center"/>
            </w:pPr>
            <w:r>
              <w:rPr>
                <w:b/>
                <w:bCs/>
                <w:sz w:val="19"/>
                <w:szCs w:val="19"/>
              </w:rPr>
              <w:t xml:space="preserve">23 %</w:t>
            </w:r>
          </w:p>
        </w:tc>
      </w:tr>
      <w:tr>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C = 8</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9"/>
                <w:szCs w:val="19"/>
              </w:rPr>
              <w:t xml:space="preserve">1 106 €</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9"/>
                <w:szCs w:val="19"/>
              </w:rPr>
              <w:t xml:space="preserve">3,0 %</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9"/>
                <w:szCs w:val="19"/>
              </w:rPr>
              <w:t xml:space="preserve">31,1 %</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9"/>
                <w:szCs w:val="19"/>
              </w:rPr>
              <w:t xml:space="preserve">80 %</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9"/>
                <w:szCs w:val="19"/>
              </w:rPr>
              <w:t xml:space="preserve">36 %</w:t>
            </w:r>
          </w:p>
        </w:tc>
      </w:tr>
      <w:tr>
        <w:tc>
          <w:tcPr>
            <w:tcW w:type="dxa" w:w="17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left"/>
            </w:pPr>
            <w:r>
              <w:rPr>
                <w:b w:val="false"/>
                <w:bCs w:val="false"/>
                <w:sz w:val="19"/>
                <w:szCs w:val="19"/>
              </w:rPr>
              <w:t xml:space="preserve">C = 20, λ × 2</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9"/>
                <w:szCs w:val="19"/>
              </w:rPr>
              <w:t xml:space="preserve">2 466 €</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9"/>
                <w:szCs w:val="19"/>
              </w:rPr>
              <w:t xml:space="preserve">4,5 %</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9"/>
                <w:szCs w:val="19"/>
              </w:rPr>
              <w:t xml:space="preserve">18,0 %</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9"/>
                <w:szCs w:val="19"/>
              </w:rPr>
              <w:t xml:space="preserve">83 %</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jc w:val="center"/>
            </w:pPr>
            <w:r>
              <w:rPr>
                <w:b w:val="false"/>
                <w:bCs w:val="false"/>
                <w:sz w:val="19"/>
                <w:szCs w:val="19"/>
              </w:rPr>
              <w:t xml:space="preserve">19 %</w:t>
            </w:r>
          </w:p>
        </w:tc>
      </w:tr>
    </w:tbl>
    <w:p>
      <w:pPr>
        <w:spacing w:before="60" w:after="120"/>
      </w:pPr>
      <w:r>
        <w:t xml:space="preserve">« Perte du myope » = revenu perdu par une politique qui maximise seulement le revenu du jour (≈ γ = 0), par rapport à l'optimum. Elle mesure à quel point il faut planifier.</w:t>
      </w:r>
    </w:p>
    <w:p>
      <w:pPr>
        <w:keepNext/>
        <w:spacing w:before="160" w:after="60"/>
      </w:pPr>
      <w:r>
        <w:rPr>
          <w:b/>
          <w:bCs/>
          <w:color w:val="1F4E78"/>
        </w:rPr>
        <w:t xml:space="preserve">Décision</w:t>
      </w:r>
    </w:p>
    <w:p>
      <w:pPr>
        <w:spacing w:after="120"/>
      </w:pPr>
      <w:r>
        <w:t xml:space="preserve">Passer à C = 10 sièges, sans modifier le modèle de demande.</w:t>
      </w:r>
    </w:p>
    <w:p>
      <w:pPr>
        <w:keepNext/>
        <w:spacing w:before="160" w:after="60"/>
      </w:pPr>
      <w:r>
        <w:rPr>
          <w:b/>
          <w:bCs/>
          <w:color w:val="1F4E78"/>
        </w:rPr>
        <w:t xml:space="preserve">Argument (à dire à l'oral / dans le rapport)</w:t>
      </w:r>
    </w:p>
    <w:p>
      <w:pPr>
        <w:pStyle w:val="ListParagraph"/>
        <w:numPr>
          <w:ilvl w:val="0"/>
          <w:numId w:val="2"/>
        </w:numPr>
        <w:spacing w:after="60"/>
      </w:pPr>
      <w:r>
        <w:t xml:space="preserve">Avec C = 20, une politique myope perd seulement 0,1 % : le problème n'est plus séquentiel, la DP n'a rien à planifier et l'expérience E4 (effet de γ) ne montrerait aucun effet.</w:t>
      </w:r>
    </w:p>
    <w:p>
      <w:pPr>
        <w:pStyle w:val="ListParagraph"/>
        <w:numPr>
          <w:ilvl w:val="0"/>
          <w:numId w:val="2"/>
        </w:numPr>
        <w:spacing w:after="60"/>
      </w:pPr>
      <w:r>
        <w:t xml:space="preserve">Avec C = 10, penser au futur (garder des sièges pour les clients affaires tardifs) vaut 19 % du revenu : c'est exactement l'arbitrage du revenue management.</w:t>
      </w:r>
    </w:p>
    <w:p>
      <w:pPr>
        <w:pStyle w:val="ListParagraph"/>
        <w:numPr>
          <w:ilvl w:val="0"/>
          <w:numId w:val="2"/>
        </w:numPr>
        <w:spacing w:after="60"/>
      </w:pPr>
      <w:r>
        <w:t xml:space="preserve">Remplissage de 77 % et avion plein dans 23 % des vols : proche des compagnies réelles (≈ 80 %).</w:t>
      </w:r>
    </w:p>
    <w:p>
      <w:pPr>
        <w:pStyle w:val="ListParagraph"/>
        <w:numPr>
          <w:ilvl w:val="0"/>
          <w:numId w:val="2"/>
        </w:numPr>
        <w:spacing w:after="60"/>
      </w:pPr>
      <w:r>
        <w:t xml:space="preserve">Un seul paramètre change ; le modèle de demande reste celui de la spec.</w:t>
      </w:r>
    </w:p>
    <w:p>
      <w:pPr>
        <w:pStyle w:val="ListParagraph"/>
        <w:numPr>
          <w:ilvl w:val="0"/>
          <w:numId w:val="2"/>
        </w:numPr>
        <w:spacing w:after="60"/>
      </w:pPr>
      <w:r>
        <w:t xml:space="preserve">Problème plus petit (11 × 31 = 341 états, 2 046 valeurs Q au lieu de 3 906) : Q-learning plus rapide, expériences E2 moins coûteuses.</w:t>
      </w:r>
    </w:p>
    <w:p>
      <w:pPr>
        <w:pStyle w:val="ListParagraph"/>
        <w:numPr>
          <w:ilvl w:val="0"/>
          <w:numId w:val="2"/>
        </w:numPr>
        <w:spacing w:after="60"/>
      </w:pPr>
      <w:r>
        <w:t xml:space="preserve">Pourquoi pas C = 12 : l'enjeu est deux fois plus faible (9,7 %). Pourquoi pas C = 8 : problème de pénurie plus que de tarification (meilleur prix fixe déjà à 170 €). Pourquoi pas λ × 2 : même effet que C = 10, mais modifie le modèle de demande et double la table Q.</w:t>
      </w:r>
    </w:p>
    <w:p>
      <w:pPr>
        <w:keepNext/>
        <w:spacing w:before="160" w:after="60"/>
      </w:pPr>
      <w:r>
        <w:rPr>
          <w:b/>
          <w:bCs/>
          <w:color w:val="1F4E78"/>
        </w:rPr>
        <w:t xml:space="preserve">Objection possible : « Un vrai avion a 150 à 300 sièges, pas 10 »</w:t>
      </w:r>
    </w:p>
    <w:p>
      <w:pPr>
        <w:pStyle w:val="ListParagraph"/>
        <w:numPr>
          <w:ilvl w:val="0"/>
          <w:numId w:val="2"/>
        </w:numPr>
        <w:spacing w:after="60"/>
      </w:pPr>
      <w:r>
        <w:rPr>
          <w:b/>
          <w:bCs/>
        </w:rPr>
        <w:t xml:space="preserve">Ce qui compte, c'est le rapport demande / capacité, pas le nombre absolu de sièges.</w:t>
      </w:r>
      <w:r>
        <w:t xml:space="preserve"> Un avion de 180 sièges face à 280 clients potentiels pose le même dilemme qu'un avion de 10 sièges face à ≈ 15 clients. Avec C = 10 : remplissage 77 %, avion plein dans 23 % des vols, des proportions réalistes.</w:t>
      </w:r>
    </w:p>
    <w:p>
      <w:pPr>
        <w:pStyle w:val="ListParagraph"/>
        <w:numPr>
          <w:ilvl w:val="0"/>
          <w:numId w:val="2"/>
        </w:numPr>
        <w:spacing w:after="60"/>
      </w:pPr>
      <w:r>
        <w:rPr>
          <w:b/>
          <w:bCs/>
        </w:rPr>
        <w:t xml:space="preserve">Pratique standard en recherche :</w:t>
      </w:r>
      <w:r>
        <w:t xml:space="preserve"> les modèles de revenue management (dont Gallego &amp; van Ryzin, 1994) étudient souvent de petites capacités pour comprendre la structure de la politique optimale.</w:t>
      </w:r>
    </w:p>
    <w:p>
      <w:pPr>
        <w:pStyle w:val="ListParagraph"/>
        <w:numPr>
          <w:ilvl w:val="0"/>
          <w:numId w:val="2"/>
        </w:numPr>
        <w:spacing w:after="60"/>
      </w:pPr>
      <w:r>
        <w:rPr>
          <w:b/>
          <w:bCs/>
        </w:rPr>
        <w:t xml:space="preserve">Cohérent avec le cours :</w:t>
      </w:r>
      <w:r>
        <w:t xml:space="preserve"> DP, Q-learning et SARSA sont des méthodes tabulaires. Avec 180 sièges, la table Q aurait ≈ 33 000 cases et le Q-learning mettrait beaucoup plus d'épisodes à apprendre. Le cours le dit (RL3) : « tabular RL does not scale », c'est la motivation de la VFA, d'où une perspective naturelle pour la conclusion.</w:t>
      </w:r>
    </w:p>
    <w:p>
      <w:pPr>
        <w:pStyle w:val="ListParagraph"/>
        <w:numPr>
          <w:ilvl w:val="0"/>
          <w:numId w:val="2"/>
        </w:numPr>
        <w:spacing w:after="60"/>
      </w:pPr>
      <w:r>
        <w:rPr>
          <w:b/>
          <w:bCs/>
        </w:rPr>
        <w:t xml:space="preserve">Ça existe en vrai :</w:t>
      </w:r>
      <w:r>
        <w:t xml:space="preserve"> les avions régionaux ont 9 à 19 sièges (Cessna Grand Caravan, Twin Otter, Beechcraft 1900). On peut aussi voir le modèle comme une seule classe tarifaire d'un grand avion.</w:t>
      </w:r>
    </w:p>
    <w:p>
      <w:pPr>
        <w:pStyle w:val="ListParagraph"/>
        <w:numPr>
          <w:ilvl w:val="0"/>
          <w:numId w:val="2"/>
        </w:numPr>
        <w:spacing w:after="60"/>
      </w:pPr>
      <w:r>
        <w:rPr>
          <w:b/>
          <w:bCs/>
        </w:rPr>
        <w:t xml:space="preserve">Alternative écartée :</w:t>
      </w:r>
      <w:r>
        <w:t xml:space="preserve"> 100 sièges avec une demande × 10 est faisable pour la DP, mais le Q-learning convergerait beaucoup plus lentement et les expériences E2 deviendraient trop longues pour le calendrier du projet.</w:t>
      </w:r>
    </w:p>
    <w:p>
      <w:pPr>
        <w:keepNext/>
        <w:spacing w:before="160" w:after="60"/>
      </w:pPr>
      <w:r>
        <w:rPr>
          <w:b/>
          <w:bCs/>
          <w:color w:val="1F4E78"/>
        </w:rPr>
        <w:t xml:space="preserve">Réponse en une phrase</w:t>
      </w:r>
    </w:p>
    <w:p>
      <w:pPr>
        <w:spacing w:after="120"/>
      </w:pPr>
      <w:r>
        <w:t xml:space="preserve">« Ce qui détermine la difficulté du problème, c'est le rapport entre la demande et la capacité, pas le nombre absolu de sièges. Avec 10 sièges, on reproduit un taux de remplissage réaliste (77 %) tout en restant dans le cadre tabulaire du cours ; passer à un vrai avion demanderait de l'approximation de fonction de valeur, ce qui est une perspective naturelle de notre travail. »</w:t>
      </w:r>
    </w:p>
    <w:p>
      <w:pPr>
        <w:keepNext/>
        <w:spacing w:before="160" w:after="60"/>
      </w:pPr>
      <w:r>
        <w:rPr>
          <w:b/>
          <w:bCs/>
          <w:color w:val="1F4E78"/>
        </w:rPr>
        <w:t xml:space="preserve">Conséquences</w:t>
      </w:r>
    </w:p>
    <w:p>
      <w:pPr>
        <w:pStyle w:val="ListParagraph"/>
        <w:numPr>
          <w:ilvl w:val="0"/>
          <w:numId w:val="2"/>
        </w:numPr>
        <w:spacing w:after="60"/>
      </w:pPr>
      <w:r>
        <w:t xml:space="preserve">Mettre à jour docs/spec.md §2.2 (C = 10, taille du problème) et le défaut de AirlineEnv.</w:t>
      </w:r>
    </w:p>
    <w:p>
      <w:pPr>
        <w:pStyle w:val="ListParagraph"/>
        <w:numPr>
          <w:ilvl w:val="0"/>
          <w:numId w:val="2"/>
        </w:numPr>
        <w:spacing w:after="60"/>
      </w:pPr>
      <w:r>
        <w:t xml:space="preserve">Le gain de la DP sur le meilleur prix fixe n'est que de ≈ 4 % : les écarts dans E2 seront petits, il faudra une évaluation précise (évaluation exacte, cf. D4).</w:t>
      </w:r>
    </w:p>
    <w:p>
      <w:pPr>
        <w:pStyle w:val="Heading2"/>
      </w:pPr>
      <w:r>
        <w:t xml:space="preserve">D2 · Le planning vit sur GitHub (issues + milestones)</w:t>
      </w:r>
    </w:p>
    <w:p>
      <w:pPr>
        <w:spacing w:after="120"/>
      </w:pPr>
      <w:r>
        <w:rPr>
          <w:b/>
          <w:bCs/>
        </w:rPr>
        <w:t xml:space="preserve">Statut :</w:t>
      </w:r>
      <w:r>
        <w:t xml:space="preserve"> Adoptée    </w:t>
      </w:r>
      <w:r>
        <w:rPr>
          <w:b/>
          <w:bCs/>
        </w:rPr>
        <w:t xml:space="preserve">Date :</w:t>
      </w:r>
      <w:r>
        <w:t xml:space="preserve"> 2026-10-09    </w:t>
      </w:r>
      <w:r>
        <w:rPr>
          <w:b/>
          <w:bCs/>
        </w:rPr>
        <w:t xml:space="preserve">Issue :</w:t>
      </w:r>
      <w:r>
        <w:t xml:space="preserve"> —</w:t>
      </w:r>
    </w:p>
    <w:p>
      <w:pPr>
        <w:keepNext/>
        <w:spacing w:before="160" w:after="60"/>
      </w:pPr>
      <w:r>
        <w:rPr>
          <w:b/>
          <w:bCs/>
          <w:color w:val="1F4E78"/>
        </w:rPr>
        <w:t xml:space="preserve">Contexte</w:t>
      </w:r>
    </w:p>
    <w:p>
      <w:pPr>
        <w:spacing w:after="120"/>
      </w:pPr>
      <w:r>
        <w:t xml:space="preserve">Le planning existait à plusieurs endroits (Google Sheet, roadmap.md, Excel) avec un risque de divergence.</w:t>
      </w:r>
    </w:p>
    <w:p>
      <w:pPr>
        <w:keepNext/>
        <w:spacing w:before="160" w:after="60"/>
      </w:pPr>
      <w:r>
        <w:rPr>
          <w:b/>
          <w:bCs/>
          <w:color w:val="1F4E78"/>
        </w:rPr>
        <w:t xml:space="preserve">Décision</w:t>
      </w:r>
    </w:p>
    <w:p>
      <w:pPr>
        <w:spacing w:after="120"/>
      </w:pPr>
      <w:r>
        <w:t xml:space="preserve">Une issue par tâche (#1 à #24), une milestone par étape, labels de catégorie + chemin-critique, dépendances « Blocked by ». roadmap.md ne garde que les règles et le chemin critique.</w:t>
      </w:r>
    </w:p>
    <w:p>
      <w:pPr>
        <w:keepNext/>
        <w:spacing w:before="160" w:after="60"/>
      </w:pPr>
      <w:r>
        <w:rPr>
          <w:b/>
          <w:bCs/>
          <w:color w:val="1F4E78"/>
        </w:rPr>
        <w:t xml:space="preserve">Argument (à dire à l'oral / dans le rapport)</w:t>
      </w:r>
    </w:p>
    <w:p>
      <w:pPr>
        <w:pStyle w:val="ListParagraph"/>
        <w:numPr>
          <w:ilvl w:val="0"/>
          <w:numId w:val="2"/>
        </w:numPr>
        <w:spacing w:after="60"/>
      </w:pPr>
      <w:r>
        <w:t xml:space="preserve">Une seule source de vérité, visible par nous deux.</w:t>
      </w:r>
    </w:p>
    <w:p>
      <w:pPr>
        <w:pStyle w:val="ListParagraph"/>
        <w:numPr>
          <w:ilvl w:val="0"/>
          <w:numId w:val="2"/>
        </w:numPr>
        <w:spacing w:after="60"/>
      </w:pPr>
      <w:r>
        <w:t xml:space="preserve">Reliée au code : un commit ou une PR qui contient « closes #N » ferme la tâche.</w:t>
      </w:r>
    </w:p>
    <w:p>
      <w:pPr>
        <w:pStyle w:val="ListParagraph"/>
        <w:numPr>
          <w:ilvl w:val="0"/>
          <w:numId w:val="2"/>
        </w:numPr>
        <w:spacing w:after="60"/>
      </w:pPr>
      <w:r>
        <w:t xml:space="preserve">Pas de durées ni de répartition stricte : on s'assigne une issue quand on la commence.</w:t>
      </w:r>
    </w:p>
    <w:p>
      <w:pPr>
        <w:pStyle w:val="Heading2"/>
      </w:pPr>
      <w:r>
        <w:t xml:space="preserve">D3 · Format du code rendu : repo git (.py + notebook)</w:t>
      </w:r>
    </w:p>
    <w:p>
      <w:pPr>
        <w:spacing w:after="120"/>
      </w:pPr>
      <w:r>
        <w:rPr>
          <w:b/>
          <w:bCs/>
        </w:rPr>
        <w:t xml:space="preserve">Statut :</w:t>
      </w:r>
      <w:r>
        <w:t xml:space="preserve"> Adoptée    </w:t>
      </w:r>
      <w:r>
        <w:rPr>
          <w:b/>
          <w:bCs/>
        </w:rPr>
        <w:t xml:space="preserve">Date :</w:t>
      </w:r>
      <w:r>
        <w:t xml:space="preserve"> 2026-10-09    </w:t>
      </w:r>
      <w:r>
        <w:rPr>
          <w:b/>
          <w:bCs/>
        </w:rPr>
        <w:t xml:space="preserve">Issue :</w:t>
      </w:r>
      <w:r>
        <w:t xml:space="preserve"> #23 (README)</w:t>
      </w:r>
    </w:p>
    <w:p>
      <w:pPr>
        <w:keepNext/>
        <w:spacing w:before="160" w:after="60"/>
      </w:pPr>
      <w:r>
        <w:rPr>
          <w:b/>
          <w:bCs/>
          <w:color w:val="1F4E78"/>
        </w:rPr>
        <w:t xml:space="preserve">Contexte</w:t>
      </w:r>
    </w:p>
    <w:p>
      <w:pPr>
        <w:spacing w:after="120"/>
      </w:pPr>
      <w:r>
        <w:t xml:space="preserve">Le prof accepte « Code (ipynb / py / git) » (slides RL3 p.5, RL5 p.10).</w:t>
      </w:r>
    </w:p>
    <w:p>
      <w:pPr>
        <w:keepNext/>
        <w:spacing w:before="160" w:after="60"/>
      </w:pPr>
      <w:r>
        <w:rPr>
          <w:b/>
          <w:bCs/>
          <w:color w:val="1F4E78"/>
        </w:rPr>
        <w:t xml:space="preserve">Décision</w:t>
      </w:r>
    </w:p>
    <w:p>
      <w:pPr>
        <w:spacing w:after="120"/>
      </w:pPr>
      <w:r>
        <w:t xml:space="preserve">Rendre le lien du repo : modules .py dans src/ (modèle, env, DP, Q-learning, évaluation) + un notebook qui importe src/ et produit les figures + un README.</w:t>
      </w:r>
    </w:p>
    <w:p>
      <w:pPr>
        <w:keepNext/>
        <w:spacing w:before="160" w:after="60"/>
      </w:pPr>
      <w:r>
        <w:rPr>
          <w:b/>
          <w:bCs/>
          <w:color w:val="1F4E78"/>
        </w:rPr>
        <w:t xml:space="preserve">Argument (à dire à l'oral / dans le rapport)</w:t>
      </w:r>
    </w:p>
    <w:p>
      <w:pPr>
        <w:pStyle w:val="ListParagraph"/>
        <w:numPr>
          <w:ilvl w:val="0"/>
          <w:numId w:val="2"/>
        </w:numPr>
        <w:spacing w:after="60"/>
      </w:pPr>
      <w:r>
        <w:t xml:space="preserve">Les .py sont testables (pytest) et partagés par toutes les méthodes, ce qui garantit l'équité.</w:t>
      </w:r>
    </w:p>
    <w:p>
      <w:pPr>
        <w:pStyle w:val="ListParagraph"/>
        <w:numPr>
          <w:ilvl w:val="0"/>
          <w:numId w:val="2"/>
        </w:numPr>
        <w:spacing w:after="60"/>
      </w:pPr>
      <w:r>
        <w:t xml:space="preserve">Le notebook se lit directement sur GitHub et sert de base aux slides.</w:t>
      </w:r>
    </w:p>
    <w:p>
      <w:pPr>
        <w:pStyle w:val="ListParagraph"/>
        <w:numPr>
          <w:ilvl w:val="0"/>
          <w:numId w:val="2"/>
        </w:numPr>
        <w:spacing w:after="60"/>
      </w:pPr>
      <w:r>
        <w:t xml:space="preserve">Chaque fichier a un rôle clair, facile à expliquer à l'oral.</w:t>
      </w:r>
    </w:p>
    <w:p>
      <w:pPr>
        <w:pStyle w:val="Heading2"/>
      </w:pPr>
      <w:r>
        <w:t xml:space="preserve">D4 · Évaluation commune à toutes les méthodes</w:t>
      </w:r>
    </w:p>
    <w:p>
      <w:pPr>
        <w:spacing w:after="120"/>
      </w:pPr>
      <w:r>
        <w:rPr>
          <w:b/>
          <w:bCs/>
        </w:rPr>
        <w:t xml:space="preserve">Statut :</w:t>
      </w:r>
      <w:r>
        <w:t xml:space="preserve"> Adoptée (spec §5)    </w:t>
      </w:r>
      <w:r>
        <w:rPr>
          <w:b/>
          <w:bCs/>
        </w:rPr>
        <w:t xml:space="preserve">Date :</w:t>
      </w:r>
      <w:r>
        <w:t xml:space="preserve"> 2026-10-09    </w:t>
      </w:r>
      <w:r>
        <w:rPr>
          <w:b/>
          <w:bCs/>
        </w:rPr>
        <w:t xml:space="preserve">Issue :</w:t>
      </w:r>
      <w:r>
        <w:t xml:space="preserve"> #8</w:t>
      </w:r>
    </w:p>
    <w:p>
      <w:pPr>
        <w:keepNext/>
        <w:spacing w:before="160" w:after="60"/>
      </w:pPr>
      <w:r>
        <w:rPr>
          <w:b/>
          <w:bCs/>
          <w:color w:val="1F4E78"/>
        </w:rPr>
        <w:t xml:space="preserve">Contexte</w:t>
      </w:r>
    </w:p>
    <w:p>
      <w:pPr>
        <w:spacing w:after="120"/>
      </w:pPr>
      <w:r>
        <w:t xml:space="preserve">Pour comparer DP, Q-learning et baselines honnêtement, elles doivent être jugées de la même façon, sur le vrai modèle.</w:t>
      </w:r>
    </w:p>
    <w:p>
      <w:pPr>
        <w:keepNext/>
        <w:spacing w:before="160" w:after="60"/>
      </w:pPr>
      <w:r>
        <w:rPr>
          <w:b/>
          <w:bCs/>
          <w:color w:val="1F4E78"/>
        </w:rPr>
        <w:t xml:space="preserve">Décision</w:t>
      </w:r>
    </w:p>
    <w:p>
      <w:pPr>
        <w:spacing w:after="120"/>
      </w:pPr>
      <w:r>
        <w:t xml:space="preserve">Une seule fonction evaluate(policy), utilisée par toutes les méthodes ; évaluation exacte (récurrence sur la politique) en plus du Monte-Carlo.</w:t>
      </w:r>
    </w:p>
    <w:p>
      <w:pPr>
        <w:keepNext/>
        <w:spacing w:before="160" w:after="60"/>
      </w:pPr>
      <w:r>
        <w:rPr>
          <w:b/>
          <w:bCs/>
          <w:color w:val="1F4E78"/>
        </w:rPr>
        <w:t xml:space="preserve">Argument (à dire à l'oral / dans le rapport)</w:t>
      </w:r>
    </w:p>
    <w:p>
      <w:pPr>
        <w:pStyle w:val="ListParagraph"/>
        <w:numPr>
          <w:ilvl w:val="0"/>
          <w:numId w:val="2"/>
        </w:numPr>
        <w:spacing w:after="60"/>
      </w:pPr>
      <w:r>
        <w:t xml:space="preserve">Règle d'équité de la spec : aucune méthode n'est avantagée par sa façon d'être évaluée.</w:t>
      </w:r>
    </w:p>
    <w:p>
      <w:pPr>
        <w:pStyle w:val="ListParagraph"/>
        <w:numPr>
          <w:ilvl w:val="0"/>
          <w:numId w:val="2"/>
        </w:numPr>
        <w:spacing w:after="60"/>
      </w:pPr>
      <w:r>
        <w:t xml:space="preserve">Les écarts attendus sont petits (≈ 4 %, cf. D1) : l'évaluation exacte supprime le bruit du Monte-Carlo.</w:t>
      </w:r>
    </w:p>
    <w:p>
      <w:pPr>
        <w:pStyle w:val="ListParagraph"/>
        <w:numPr>
          <w:ilvl w:val="0"/>
          <w:numId w:val="2"/>
        </w:numPr>
        <w:spacing w:after="60"/>
      </w:pPr>
      <w:r>
        <w:t xml:space="preserve">Lien avec le cours : c'est l'« iterative policy evaluation » (RL3), appliquée en horizon fini.</w:t>
      </w:r>
    </w:p>
    <w:p>
      <w:pPr>
        <w:pStyle w:val="Heading2"/>
      </w:pPr>
      <w:r>
        <w:t xml:space="preserve">D5 · 10 seeds dès le premier lancement des expériences</w:t>
      </w:r>
    </w:p>
    <w:p>
      <w:pPr>
        <w:spacing w:after="120"/>
      </w:pPr>
      <w:r>
        <w:rPr>
          <w:b/>
          <w:bCs/>
        </w:rPr>
        <w:t xml:space="preserve">Statut :</w:t>
      </w:r>
      <w:r>
        <w:t xml:space="preserve"> Adoptée (spec §6)    </w:t>
      </w:r>
      <w:r>
        <w:rPr>
          <w:b/>
          <w:bCs/>
        </w:rPr>
        <w:t xml:space="preserve">Date :</w:t>
      </w:r>
      <w:r>
        <w:t xml:space="preserve"> 2026-10-09    </w:t>
      </w:r>
      <w:r>
        <w:rPr>
          <w:b/>
          <w:bCs/>
        </w:rPr>
        <w:t xml:space="preserve">Issue :</w:t>
      </w:r>
      <w:r>
        <w:t xml:space="preserve"> #16, #17, #19, #20</w:t>
      </w:r>
    </w:p>
    <w:p>
      <w:pPr>
        <w:keepNext/>
        <w:spacing w:before="160" w:after="60"/>
      </w:pPr>
      <w:r>
        <w:rPr>
          <w:b/>
          <w:bCs/>
          <w:color w:val="1F4E78"/>
        </w:rPr>
        <w:t xml:space="preserve">Contexte</w:t>
      </w:r>
    </w:p>
    <w:p>
      <w:pPr>
        <w:spacing w:after="120"/>
      </w:pPr>
      <w:r>
        <w:t xml:space="preserve">Le tableau initial prévoyait les seeds multiples à la fin (T16), ce qui obligeait à tout relancer.</w:t>
      </w:r>
    </w:p>
    <w:p>
      <w:pPr>
        <w:keepNext/>
        <w:spacing w:before="160" w:after="60"/>
      </w:pPr>
      <w:r>
        <w:rPr>
          <w:b/>
          <w:bCs/>
          <w:color w:val="1F4E78"/>
        </w:rPr>
        <w:t xml:space="preserve">Décision</w:t>
      </w:r>
    </w:p>
    <w:p>
      <w:pPr>
        <w:spacing w:after="120"/>
      </w:pPr>
      <w:r>
        <w:t xml:space="preserve">Chaque expérience tourne directement sur 10 seeds et sauvegarde ses résultats bruts (CSV / npz) ; T16 ne fait qu'agréger.</w:t>
      </w:r>
    </w:p>
    <w:p>
      <w:pPr>
        <w:keepNext/>
        <w:spacing w:before="160" w:after="60"/>
      </w:pPr>
      <w:r>
        <w:rPr>
          <w:b/>
          <w:bCs/>
          <w:color w:val="1F4E78"/>
        </w:rPr>
        <w:t xml:space="preserve">Argument (à dire à l'oral / dans le rapport)</w:t>
      </w:r>
    </w:p>
    <w:p>
      <w:pPr>
        <w:pStyle w:val="ListParagraph"/>
        <w:numPr>
          <w:ilvl w:val="0"/>
          <w:numId w:val="2"/>
        </w:numPr>
        <w:spacing w:after="60"/>
      </w:pPr>
      <w:r>
        <w:t xml:space="preserve">Pas de relance coûteuse en fin de projet.</w:t>
      </w:r>
    </w:p>
    <w:p>
      <w:pPr>
        <w:pStyle w:val="ListParagraph"/>
        <w:numPr>
          <w:ilvl w:val="0"/>
          <w:numId w:val="2"/>
        </w:numPr>
        <w:spacing w:after="60"/>
      </w:pPr>
      <w:r>
        <w:t xml:space="preserve">Résultats avec intervalles de confiance : on peut dire qu'un écart n'est pas un coup de chance.</w:t>
      </w:r>
    </w:p>
    <w:p>
      <w:pPr>
        <w:pStyle w:val="Heading1"/>
      </w:pPr>
      <w:r>
        <w:t xml:space="preserve">Modèle pour une nouvelle décision</w:t>
      </w:r>
    </w:p>
    <w:p>
      <w:pPr>
        <w:pStyle w:val="ListParagraph"/>
        <w:numPr>
          <w:ilvl w:val="0"/>
          <w:numId w:val="2"/>
        </w:numPr>
        <w:spacing w:after="60"/>
      </w:pPr>
      <w:r>
        <w:t xml:space="preserve">Dx · Titre court de la décision</w:t>
      </w:r>
    </w:p>
    <w:p>
      <w:pPr>
        <w:pStyle w:val="ListParagraph"/>
        <w:numPr>
          <w:ilvl w:val="0"/>
          <w:numId w:val="2"/>
        </w:numPr>
        <w:spacing w:after="60"/>
      </w:pPr>
      <w:r>
        <w:t xml:space="preserve">Statut : Proposée / Adoptée / Remplacée par Dy — Date — Issue</w:t>
      </w:r>
    </w:p>
    <w:p>
      <w:pPr>
        <w:pStyle w:val="ListParagraph"/>
        <w:numPr>
          <w:ilvl w:val="0"/>
          <w:numId w:val="2"/>
        </w:numPr>
        <w:spacing w:after="60"/>
      </w:pPr>
      <w:r>
        <w:t xml:space="preserve">Contexte : quel problème, quelle observation a déclenché la question ?</w:t>
      </w:r>
    </w:p>
    <w:p>
      <w:pPr>
        <w:pStyle w:val="ListParagraph"/>
        <w:numPr>
          <w:ilvl w:val="0"/>
          <w:numId w:val="2"/>
        </w:numPr>
        <w:spacing w:after="60"/>
      </w:pPr>
      <w:r>
        <w:t xml:space="preserve">Options envisagées : 2 à 4 options réalistes.</w:t>
      </w:r>
    </w:p>
    <w:p>
      <w:pPr>
        <w:pStyle w:val="ListParagraph"/>
        <w:numPr>
          <w:ilvl w:val="0"/>
          <w:numId w:val="2"/>
        </w:numPr>
        <w:spacing w:after="60"/>
      </w:pPr>
      <w:r>
        <w:t xml:space="preserve">Vérification : calcul, test ou référence au cours qui départage les options.</w:t>
      </w:r>
    </w:p>
    <w:p>
      <w:pPr>
        <w:pStyle w:val="ListParagraph"/>
        <w:numPr>
          <w:ilvl w:val="0"/>
          <w:numId w:val="2"/>
        </w:numPr>
        <w:spacing w:after="60"/>
      </w:pPr>
      <w:r>
        <w:t xml:space="preserve">Décision : ce qu'on retient, en une phrase.</w:t>
      </w:r>
    </w:p>
    <w:p>
      <w:pPr>
        <w:pStyle w:val="ListParagraph"/>
        <w:numPr>
          <w:ilvl w:val="0"/>
          <w:numId w:val="2"/>
        </w:numPr>
        <w:spacing w:after="60"/>
      </w:pPr>
      <w:r>
        <w:t xml:space="preserve">Argument : les 2 à 5 phrases à dire à l'oral / dans le rapport.</w:t>
      </w:r>
    </w:p>
    <w:p>
      <w:pPr>
        <w:pStyle w:val="ListParagraph"/>
        <w:numPr>
          <w:ilvl w:val="0"/>
          <w:numId w:val="2"/>
        </w:numPr>
        <w:spacing w:after="60"/>
      </w:pPr>
      <w:r>
        <w:t xml:space="preserve">Conséquences : ce qu'il faut modifier (spec, code, issues).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1F4E78"/>
      <w:sz w:val="30"/>
      <w:szCs w:val="30"/>
    </w:rPr>
  </w:style>
  <w:style w:type="paragraph" w:styleId="Heading2">
    <w:name w:val="Heading 2"/>
    <w:basedOn w:val="Normal"/>
    <w:next w:val="Normal"/>
    <w:qFormat/>
    <w:pPr>
      <w:pBdr>
        <w:bottom w:val="single" w:color="1F4E78" w:sz="6" w:space="2"/>
      </w:pBdr>
      <w:spacing w:before="360" w:after="100"/>
      <w:outlineLvl w:val="1"/>
    </w:pPr>
    <w:rPr>
      <w:rFonts w:ascii="Arial" w:cs="Arial" w:eastAsia="Arial" w:hAnsi="Arial"/>
      <w:b/>
      <w:bCs/>
      <w:color w:val="1F4E7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Journal des décisions — Projet RL</dc:title>
  <dc:creator>Imane Amraoui</dc:creator>
  <cp:lastModifiedBy>Un-named</cp:lastModifiedBy>
  <cp:revision>1</cp:revision>
  <dcterms:created xsi:type="dcterms:W3CDTF">2026-10-09T16:41:04.170Z</dcterms:created>
  <dcterms:modified xsi:type="dcterms:W3CDTF">2026-10-09T16:41:04.176Z</dcterms:modified>
</cp:coreProperties>
</file>

<file path=docProps/custom.xml><?xml version="1.0" encoding="utf-8"?>
<Properties xmlns="http://schemas.openxmlformats.org/officeDocument/2006/custom-properties" xmlns:vt="http://schemas.openxmlformats.org/officeDocument/2006/docPropsVTypes"/>
</file>