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órgão aderente federal só adere a ata   gerenciada por federal (§8º veda o resto); estadual/distrital adere a   federal/estadual/distrital (§3º, I); municipal adere a </w:t>
      </w:r>
      <w:r>
        <w:rPr>
          <w:b/>
          <w:bCs/>
        </w:rPr>
        <w:t xml:space="preserve">qualquer</w:t>
      </w:r>
      <w:r>
        <w:t xml:space="preserve">   esfera (§3º, I para federal/estadual/distrital + §3º, II pra outro   município) — é o uso mais comum de "carona" na prática (município   pequeno aproveitando o processo de um governo maior). Ver   `src/lib/esferas.ts` (`verificarElegibilidadeEsfera`, 11 testes) e   §1.2 abaixo pro que </w:t>
      </w:r>
      <w:r>
        <w:rPr>
          <w:b/>
          <w:bCs/>
        </w:rPr>
        <w:t xml:space="preserve">não</w:t>
      </w:r>
      <w:r>
        <w:t xml:space="preserve"> está coberto ainda (§§6º e 7º).   </w:t>
      </w:r>
      <w:r>
        <w:rPr>
          <w:b/>
          <w:bCs/>
        </w:rPr>
        <w:t xml:space="preserve">Nota:</w:t>
      </w:r>
      <w:r>
        <w:t xml:space="preserve"> a primeira implementação (mesmo dia) tinha essa direção   invertida — corrigida depois que o usuário notou que "município não   poder aderir a ata estadual" não fazia sentido, e confirmou o texto   literal dos parágrafos.</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literal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rPr>
          <w:b/>
          <w:bCs/>
        </w:rPr>
        <w:t xml:space="preserve">Correção de direção (mesmo dia):</w:t>
      </w:r>
      <w:r>
        <w:t xml:space="preserve"> a primeira implementação leu o</w:t>
      </w:r>
    </w:p>
    <w:p>
      <w:pPr>
        <w:spacing w:after="150"/>
      </w:pPr>
      <w:r>
        <w:t xml:space="preserve">    §3º errado e bloqueava município de aderir a ata estadual/federal —     exatamente o caso mais comum de "carona" na prática. O usuário     notou que aquilo "não fazia o menor sentido" e confirmou o texto     literal dos incisos I e II do §3º; a regra certa é: município pode     aderir a </w:t>
      </w:r>
      <w:r>
        <w:rPr>
          <w:b/>
          <w:bCs/>
        </w:rPr>
        <w:t xml:space="preserve">qualquer</w:t>
      </w:r>
      <w:r>
        <w:t xml:space="preserve"> esfera; só o federal é restrito (só adere a     ata federal, §8º). Corrigida em `NIVEIS_PERMITIDOS_POR_ADERENTE`     (`src/lib/esferas.ts`), sem precisar mexer no seed (as adesões de     demonstração já usavam órgãos estaduais/federais compatíveis mesmo     antes da correção — só o comentário do seed estava desatualizado,     também corrigido).</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Compras.gov.br, segunda fonte em paralelo (2026-09-04):</w:t>
      </w:r>
    </w:p>
    <w:p>
      <w:pPr>
        <w:spacing w:after="150"/>
      </w:pPr>
      <w:r>
        <w:t xml:space="preserve">  `src/lib/compras-gov.ts` + `src/lib/rastreador-compras-gov.ts`, rodando   ao lado do rastreador do PNCP (não em substituição a ele — pedido   explícito de usar as duas fontes juntas). Consome a API pública e sem   autenticação `dadosabertos.compras.gov.br` (o banco por trás do "Painel   de Preços", confirmado ao vivo como multi-esfera — federal, estadual e   municipal na mesma consulta — e atual, com dados de 2026). Mesma chave   de deduplicação do PNCP (`Ata.numeroControlePncp`, único), então uma   ata que já entrou por uma fonte não é importada de novo pela outra.   Diferença estrutural relevante: o endpoint de itens dessa API já traz   descrição, quantidade, valor e fornecedor juntos numa única chamada   (o PNCP exige duas chamadas separadas); em compensação, esse mesmo   endpoint não filtra por ata, só pela compra de origem — uma compra pode   ter gerado mais de uma ata (um pregão com vários lotes), então o código   busca por compra e filtra pela ata específica do lado do cliente   (`mapearItensDaCompra`). Verificado ao vivo nesta sessão contra a API   real (não só com testes unitários, diferente do PNCP, que nunca teve   rede de saída disponível neste sandbox): um primeiro teste mostrou 0%   de enriquecimento de itens por causa de uma suposição errada de   parâmetro (`numeroAtaRegistroPreco` direto no endpoint de itens, que na   verdade não existe); corrigido e reverificado, chegando a ~70% de   enriquecimento numa amostra real. Cron próprio em `vercel.json`   (`/api/rastreador-compras-gov`, protegido pelo mesmo `CRON_SECRET`).   Mesma limitação do PNCP quanto à esfera do órgão: nenhum dos dois   endpoints usados informa a esfera federativa direto, então todo órgão   novo criado por este importador entra com `esfera: "não informada"`   (bloqueia adesão até confirmação manual — não existe hoje uma tela de   admin pra editar a esfera de um órgão já cadastrado, só a de completar   fornecedor/itens de uma ata PNCP incompleta; gap registrado, não   resolvido).</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`/admin/atas/[ataId]/completar`</w:t>
            </w:r>
          </w:p>
        </w:tc>
        <w:tc>
          <w:tcPr>
            <w:tcW w:type="dxa" w:w="3000"/>
            <w:tcMar>
              <w:top w:type="dxa" w:w="80"/>
              <w:left w:type="dxa" w:w="100"/>
              <w:bottom w:type="dxa" w:w="80"/>
              <w:right w:type="dxa" w:w="100"/>
            </w:tcMar>
          </w:tcPr>
          <w:p>
            <w:r>
              <w:t xml:space="preserve">Completar ata PNCP incompleta (fornecedor real +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`/admin/pontos-focais`</w:t>
            </w:r>
          </w:p>
        </w:tc>
        <w:tc>
          <w:tcPr>
            <w:tcW w:type="dxa" w:w="3000"/>
            <w:tcMar>
              <w:top w:type="dxa" w:w="80"/>
              <w:left w:type="dxa" w:w="100"/>
              <w:bottom w:type="dxa" w:w="80"/>
              <w:right w:type="dxa" w:w="100"/>
            </w:tcMar>
          </w:tcPr>
          <w:p>
            <w:r>
              <w:t xml:space="preserve">Banco de contatos por esfera/UF/município (prefeito, governador, intermediário) — cadastro + histórico de match</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`/admin/parceiros`</w:t>
            </w:r>
          </w:p>
        </w:tc>
        <w:tc>
          <w:tcPr>
            <w:tcW w:type="dxa" w:w="3000"/>
            <w:tcMar>
              <w:top w:type="dxa" w:w="80"/>
              <w:left w:type="dxa" w:w="100"/>
              <w:bottom w:type="dxa" w:w="80"/>
              <w:right w:type="dxa" w:w="100"/>
            </w:tcMar>
          </w:tcPr>
          <w:p>
            <w:r>
              <w:t xml:space="preserve">Parceiros comerciais (revendedores de atas) + atas compatíveis por categoria/UF</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`/admin/perfil`</w:t>
            </w:r>
          </w:p>
        </w:tc>
        <w:tc>
          <w:tcPr>
            <w:tcW w:type="dxa" w:w="3000"/>
            <w:tcMar>
              <w:top w:type="dxa" w:w="80"/>
              <w:left w:type="dxa" w:w="100"/>
              <w:bottom w:type="dxa" w:w="80"/>
              <w:right w:type="dxa" w:w="100"/>
            </w:tcMar>
          </w:tcPr>
          <w:p>
            <w:r>
              <w:t xml:space="preserve">Perfil — trocar senha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w:t>
      </w:r>
    </w:p>
    <w:p>
      <w:pPr>
        <w:pStyle w:val="ListParagraph"/>
        <w:numPr>
          <w:ilvl w:val="0"/>
          <w:numId w:val="1"/>
        </w:numPr>
        <w:spacing w:after="60"/>
      </w:pPr>
      <w:r>
        <w:rPr>
          <w:b/>
          <w:bCs/>
        </w:rPr>
        <w:t xml:space="preserve">Completar ata PNCP incompleta</w:t>
      </w:r>
      <w:r>
        <w:t xml:space="preserve"> (2026-09-04) — botão "Completar" nas</w:t>
      </w:r>
    </w:p>
    <w:p>
      <w:pPr>
        <w:spacing w:after="150"/>
      </w:pPr>
      <w:r>
        <w:t xml:space="preserve">  atas sinalizadas leva a `/admin/atas/[ataId]/completar`. Confirmar   fornecedor faz upsert de um fornecedor real por CNPJ e reaponta só   aquela ata pra ele — </w:t>
      </w:r>
      <w:r>
        <w:rPr>
          <w:b/>
          <w:bCs/>
        </w:rPr>
        <w:t xml:space="preserve">não edita o fornecedor-placeholder em si</w:t>
      </w:r>
      <w:r>
        <w:t xml:space="preserve">   (`CNPJ 00000000000000`), porque ele é compartilhado por qualquer outra   ata PNCP ainda sem fornecedor confirmado; editar em cima dele mudaria   o fornecedor de todas as outras. Adicionar item cria um item por vez   (formulário mais simples que o do fornecedor, que aceita N de uma vez —   aqui o volume típico é baixo, completar uma ata específica).</w:t>
      </w:r>
    </w:p>
    <w:p>
      <w:pPr>
        <w:pStyle w:val="ListParagraph"/>
        <w:numPr>
          <w:ilvl w:val="0"/>
          <w:numId w:val="1"/>
        </w:numPr>
        <w:spacing w:after="60"/>
      </w:pPr>
      <w:r>
        <w:rPr>
          <w:b/>
          <w:bCs/>
        </w:rPr>
        <w:t xml:space="preserve">Segunda fonte de importação automática (2026-09-04)</w:t>
      </w:r>
      <w:r>
        <w:t xml:space="preserve"> — com a entrada</w:t>
      </w:r>
    </w:p>
    <w:p>
      <w:pPr>
        <w:spacing w:after="150"/>
      </w:pPr>
      <w:r>
        <w:t xml:space="preserve">  do Compras.gov.br ao lado do PNCP (ver §3), o selo e o rótulo em   `/admin` deixaram de dizer só "PNCP incompleta"/"Importada do PNCP" e   passaram a cobrir as duas origens (`ataImportadaIncompleta()`,   `src/app/admin/page.tsx`) — mesma regra de detecção (sem fornecedor   real ou sem itens), agora checando `origem === "PNCP" || origem ===   "COMPRAS_GOV"`.</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ListParagraph"/>
        <w:numPr>
          <w:ilvl w:val="0"/>
          <w:numId w:val="1"/>
        </w:numPr>
        <w:spacing w:after="60"/>
      </w:pPr>
      <w:r>
        <w:rPr>
          <w:b/>
          <w:bCs/>
        </w:rPr>
        <w:t xml:space="preserve">Mapa do "Núcleo de Atas" (2026-09-05)</w:t>
      </w:r>
      <w:r>
        <w:t xml:space="preserve"> — a pedido explícito</w:t>
      </w:r>
    </w:p>
    <w:p>
      <w:pPr>
        <w:spacing w:after="150"/>
      </w:pPr>
      <w:r>
        <w:t xml:space="preserve">  ("tudo isso que te mandei são pontos pra lapidarmos e inserir no nosso   sistema, construa"), depois de um mapa operacional (artefato publicado   separadamente) traduzindo notas de voz sobre a operação de venda de   atas em blocos concretos. Do que era construível sem inventar mais   regra de negócio, entrou nesta leva:</w:t>
      </w:r>
    </w:p>
    <w:p>
      <w:pPr>
        <w:pStyle w:val="ListParagraph"/>
        <w:numPr>
          <w:ilvl w:val="0"/>
          <w:numId w:val="1"/>
        </w:numPr>
        <w:spacing w:after="60"/>
      </w:pPr>
      <w:r>
        <w:rPr>
          <w:b/>
          <w:bCs/>
        </w:rPr>
        <w:t xml:space="preserve">Funil de conversão</w:t>
      </w:r>
      <w:r>
        <w:t xml:space="preserve"> — dois cartões novos em `/admin`: "Atas com</w:t>
      </w:r>
    </w:p>
    <w:p>
      <w:pPr>
        <w:spacing w:after="150"/>
      </w:pPr>
      <w:r>
        <w:t xml:space="preserve">    adesão" e "Taxa de conversão" (`atasComAdesao / totalAtas`). Não     existe estágio "cancelada" em `Adesao` hoje, então qualquer adesão     registrada já conta como conversão — `Ata.count({ itens: { some: {     adesoes: { some: {} } } } })`.</w:t>
      </w:r>
    </w:p>
    <w:p>
      <w:pPr>
        <w:pStyle w:val="ListParagraph"/>
        <w:numPr>
          <w:ilvl w:val="0"/>
          <w:numId w:val="1"/>
        </w:numPr>
        <w:spacing w:after="60"/>
      </w:pPr>
      <w:r>
        <w:rPr>
          <w:b/>
          <w:bCs/>
        </w:rPr>
        <w:t xml:space="preserve">Banco de pontos focais</w:t>
      </w:r>
      <w:r>
        <w:t xml:space="preserve"> (`/admin/pontos-focais`) — cadastro de</w:t>
      </w:r>
    </w:p>
    <w:p>
      <w:pPr>
        <w:spacing w:after="150"/>
      </w:pPr>
      <w:r>
        <w:t xml:space="preserve">    contato por esfera/UF/município (prefeito, governador ou     intermediário) com particularidades e histórico de interação     (`PontoFocal` + `InteracaoPontoFocal`, migração     `20260905120000_nucleo_de_atas`). Acesso restrito ao admin de     propósito — é o "banco de dados secreto" das notas de voz; controle     de acesso mais fino entre pessoas do time interno fica para quando     existir mais de um perfil de admin (hoje é tudo-ou-nada por login).</w:t>
      </w:r>
    </w:p>
    <w:p>
      <w:pPr>
        <w:pStyle w:val="ListParagraph"/>
        <w:numPr>
          <w:ilvl w:val="0"/>
          <w:numId w:val="1"/>
        </w:numPr>
        <w:spacing w:after="60"/>
      </w:pPr>
      <w:r>
        <w:rPr>
          <w:b/>
          <w:bCs/>
        </w:rPr>
        <w:t xml:space="preserve">Parceiros e match por necessidade</w:t>
      </w:r>
      <w:r>
        <w:t xml:space="preserve"> (`/admin/parceiros`) — cadastro</w:t>
      </w:r>
    </w:p>
    <w:p>
      <w:pPr>
        <w:spacing w:after="150"/>
      </w:pPr>
      <w:r>
        <w:t xml:space="preserve">    de parceiro comercial (nome, contato, categorias e UFs de interesse,     `String[]` no Postgres) com uma tela de detalhe que já calcula, ao     vivo, quais atas aprovadas batem com os interesses dele (união por     categoria OU UF — não interseção). Verificado ao vivo com Playwright:     um parceiro de teste com interesse em "material hospitalar" + UFs     GO/SP encontrou 8 atas compatíveis nos dados de desenvolvimento.</w:t>
      </w:r>
    </w:p>
    <w:p>
      <w:pPr>
        <w:pStyle w:val="ListParagraph"/>
        <w:numPr>
          <w:ilvl w:val="0"/>
          <w:numId w:val="1"/>
        </w:numPr>
        <w:spacing w:after="60"/>
      </w:pPr>
      <w:r>
        <w:rPr>
          <w:b/>
          <w:bCs/>
        </w:rPr>
        <w:t xml:space="preserve">Deixado de fora desta leva, por decisão explícita</w:t>
      </w:r>
      <w:r>
        <w:t xml:space="preserve"> — expandir a</w:t>
      </w:r>
    </w:p>
    <w:p>
      <w:pPr>
        <w:spacing w:after="150"/>
      </w:pPr>
      <w:r>
        <w:t xml:space="preserve">    raspagem vertical pra portais estaduais/municipais específicos (§3     do mapa) não entrou porque exige decidir fonte por fonte quais     portais valem o esforço, decisão que ninguém tomou ainda; nenhuma     fonte nova foi inventada. O mapa completo, com os cinco blocos e o     que cada um significa, está no artefato publicado separadamente.</w:t>
      </w:r>
    </w:p>
    <w:p>
      <w:pPr>
        <w:pStyle w:val="Heading1"/>
        <w:spacing w:after="150" w:before="300"/>
      </w:pPr>
      <w:r>
        <w:t xml:space="preserve">6. Telas transversais — faltam em qualquer perfil</w:t>
      </w:r>
    </w:p>
    <w:p>
      <w:pPr>
        <w:spacing w:after="150"/>
      </w:pPr>
      <w:r>
        <w:t xml:space="preserve">Levantadas na primeira rodada de gap-analysis. Status em 2026-09-04:</w:t>
      </w:r>
    </w:p>
    <w:p>
      <w:pPr>
        <w:pStyle w:val="ListParagraph"/>
        <w:numPr>
          <w:ilvl w:val="0"/>
          <w:numId w:val="1"/>
        </w:numPr>
        <w:spacing w:after="60"/>
      </w:pPr>
      <w:r>
        <w:rPr>
          <w:b/>
          <w:bCs/>
        </w:rPr>
        <w:t xml:space="preserve">Perfil/configurações</w:t>
      </w:r>
      <w:r>
        <w:t xml:space="preserve"> (2026-09-04) ✅ — `/fornecedor/perfil`,</w:t>
      </w:r>
    </w:p>
    <w:p>
      <w:pPr>
        <w:spacing w:after="150"/>
      </w:pPr>
      <w:r>
        <w:t xml:space="preserve">  `/orgao/perfil`, `/admin/perfil` mostram os dados cadastrais (leitura)   e um formulário de troca de senha (`FormularioTrocarSenha`,   componente único reaproveitado pelos 3 perfis — só a server action   muda). Exige a senha atual correta antes de trocar. Verificado ao vivo   com Playwright, inclusive o ciclo completo: senha errada recusada,   senha certa trocada, login com a nova senha funcionando.   </w:t>
      </w:r>
      <w:r>
        <w:rPr>
          <w:b/>
          <w:bCs/>
        </w:rPr>
        <w:t xml:space="preserve">Não incluído:</w:t>
      </w:r>
      <w:r>
        <w:t xml:space="preserve"> edição de dados cadastrais (razão social, CNPJ,   etc.) — só troca de senha por ora.</w:t>
      </w:r>
    </w:p>
    <w:p>
      <w:pPr>
        <w:pStyle w:val="ListParagraph"/>
        <w:numPr>
          <w:ilvl w:val="0"/>
          <w:numId w:val="1"/>
        </w:numPr>
        <w:spacing w:after="60"/>
      </w:pPr>
      <w:r>
        <w:rPr>
          <w:b/>
          <w:bCs/>
        </w:rPr>
        <w:t xml:space="preserve">404 customizado</w:t>
      </w:r>
      <w:r>
        <w:t xml:space="preserve"> (2026-09-04) ✅ — `src/app/not-found.tsx`, no</w:t>
      </w:r>
    </w:p>
    <w:p>
      <w:pPr>
        <w:spacing w:after="150"/>
      </w:pPr>
      <w:r>
        <w:t xml:space="preserve">  mesmo estilo visual do resto do site, com link pra home e catálogo.</w:t>
      </w:r>
    </w:p>
    <w:p>
      <w:pPr>
        <w:pStyle w:val="ListParagraph"/>
        <w:numPr>
          <w:ilvl w:val="0"/>
          <w:numId w:val="1"/>
        </w:numPr>
        <w:spacing w:after="60"/>
      </w:pPr>
      <w:r>
        <w:rPr>
          <w:b/>
          <w:bCs/>
        </w:rPr>
        <w:t xml:space="preserve">Central de ajuda / FAQ</w:t>
      </w:r>
      <w:r>
        <w:t xml:space="preserve"> (2026-09-04) ✅ — `/ajuda`, com perguntas</w:t>
      </w:r>
    </w:p>
    <w:p>
      <w:pPr>
        <w:spacing w:after="150"/>
      </w:pPr>
      <w:r>
        <w:t xml:space="preserve">  sobre carona, limites de 50%/200%, elegibilidade por esfera, a taxa de   5% e como cadastrar uma ata. Linkada no rodapé do site inteiro.</w:t>
      </w:r>
    </w:p>
    <w:p>
      <w:pPr>
        <w:pStyle w:val="ListParagraph"/>
        <w:numPr>
          <w:ilvl w:val="0"/>
          <w:numId w:val="1"/>
        </w:numPr>
        <w:spacing w:after="60"/>
      </w:pPr>
      <w:r>
        <w:rPr>
          <w:b/>
          <w:bCs/>
        </w:rPr>
        <w:t xml:space="preserve">Notificação por e-mail</w:t>
      </w:r>
      <w:r>
        <w:t xml:space="preserve"> — </w:t>
      </w:r>
      <w:r>
        <w:rPr>
          <w:b/>
          <w:bCs/>
        </w:rPr>
        <w:t xml:space="preserve">não construído.</w:t>
      </w:r>
      <w:r>
        <w:t xml:space="preserve"> Nenhum evento do</w:t>
      </w:r>
    </w:p>
    <w:p>
      <w:pPr>
        <w:spacing w:after="150"/>
      </w:pPr>
      <w:r>
        <w:t xml:space="preserve">  sistema (ata aprovada, pedido de adesão recebido, mudança de estágio)   dispara e-mail hoje. Não é uma questão de código simples: exige   escolher um provedor de envio de e-mail (Resend, SendGrid, SES, etc.)   e as credenciais correspondentes, que não temos configuradas — mesma   natureza da decisão de upload de documento (§3.2), mas aqui não dava   pra contornar guardando algo no próprio banco (e-mail é uma chamada de   API externa de verdade, não um arquivo). Aguardando decisão de qual   provedor usar antes de implementar.</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p>
      <w:pPr>
        <w:pStyle w:val="ListParagraph"/>
        <w:numPr>
          <w:ilvl w:val="0"/>
          <w:numId w:val="1"/>
        </w:numPr>
        <w:spacing w:after="60"/>
      </w:pPr>
      <w:r>
        <w:rPr>
          <w:b/>
          <w:bCs/>
        </w:rPr>
        <w:t xml:space="preserve">2026-09-04 (mesmo dia, revisão dos prints pelo usuário)</w:t>
      </w:r>
      <w:r>
        <w:t xml:space="preserve"> — Usuário</w:t>
      </w:r>
    </w:p>
    <w:p>
      <w:pPr>
        <w:spacing w:after="150"/>
      </w:pPr>
      <w:r>
        <w:t xml:space="preserve">  revisou os prints de todas as telas e notou que a trava de esfera   estava bloqueando município de aderir a ata estadual — "isso não faz   o menor sentido". Reconferido o texto literal dos incisos I e II do   §3º: a direção estava mesmo invertida. Corrigida `NIVEIS_PERMITIDOS_   POR_ADERENTE` em `src/lib/esferas.ts` (município passa a poder aderir   a qualquer esfera; só federal continua restrito, só a ata federal).   11 testes ajustados, todos passando. Seed não precisou mudar de dado,   só de comentário.</w:t>
      </w:r>
    </w:p>
    <w:p>
      <w:pPr>
        <w:pStyle w:val="ListParagraph"/>
        <w:numPr>
          <w:ilvl w:val="0"/>
          <w:numId w:val="1"/>
        </w:numPr>
        <w:spacing w:after="60"/>
      </w:pPr>
      <w:r>
        <w:rPr>
          <w:b/>
          <w:bCs/>
        </w:rPr>
        <w:t xml:space="preserve">2026-09-04 (mesmo dia, "termina o projeto")</w:t>
      </w:r>
      <w:r>
        <w:t xml:space="preserve"> — Fechado tudo que era</w:t>
      </w:r>
    </w:p>
    <w:p>
      <w:pPr>
        <w:spacing w:after="150"/>
      </w:pPr>
      <w:r>
        <w:t xml:space="preserve">  possível fechar sem inventar regra de negócio: perfil/troca de senha   pros 3 perfis autenticados, 404 customizado, central de ajuda/FAQ, e a   tela de completar ata PNCP incompleta (fornecedor real + itens) no   admin. `npm run build` (produção) rodado com sucesso, todas as rotas   novas compilando. Dois itens ficaram de fora, sinalizados e não   escondidos: notificação por e-mail (precisa de provedor de e-mail com   credencial que não temos) e §§6º/7º da Lei 14.133/2021 (exceções ao   teto de 200%, precisam de campo novo no schema que exige decisão de   negócio primeiro — ver §1.2).</w:t>
      </w:r>
    </w:p>
    <w:p>
      <w:pPr>
        <w:pStyle w:val="ListParagraph"/>
        <w:numPr>
          <w:ilvl w:val="0"/>
          <w:numId w:val="1"/>
        </w:numPr>
        <w:spacing w:after="60"/>
      </w:pPr>
      <w:r>
        <w:rPr>
          <w:b/>
          <w:bCs/>
        </w:rPr>
        <w:t xml:space="preserve">2026-09-04 (mesmo dia, "o que falta pra rodar")</w:t>
      </w:r>
      <w:r>
        <w:t xml:space="preserve"> — Verificado que o</w:t>
      </w:r>
    </w:p>
    <w:p>
      <w:pPr>
        <w:spacing w:after="150"/>
      </w:pPr>
      <w:r>
        <w:t xml:space="preserve">  banco de dados aplica as 10 migrations do zero, num Postgres vazio,   sem erro, e que o schema resultante bate exatamente com   `prisma/schema.prisma` (`prisma migrate diff` vazio) — confirma que um   banco de produção novo (Supabase etc.) vai funcionar de primeira.   Confirmado também que `/api/rastreador-pncp` já está protegido pelo   `CRON_SECRET`. `README.md` ganhou um passo a passo real de deploy em   produção (variáveis de ambiente, migrations, criação do admin,   alerta de nunca rodar o seed de demonstração em produção), no lugar   dos 3 bullets soltos que existiam antes. Fica só faltando o que   depende de contas externas (Supabase, Vercel, Registro.br, e as duas   decisões de negócio já registradas acima).</w:t>
      </w:r>
    </w:p>
    <w:p>
      <w:pPr>
        <w:pStyle w:val="ListParagraph"/>
        <w:numPr>
          <w:ilvl w:val="0"/>
          <w:numId w:val="1"/>
        </w:numPr>
        <w:spacing w:after="60"/>
      </w:pPr>
      <w:r>
        <w:rPr>
          <w:b/>
          <w:bCs/>
        </w:rPr>
        <w:t xml:space="preserve">2026-09-04 (mesmo dia, decisão de infraestrutura fechada)</w:t>
      </w:r>
      <w:r>
        <w:t xml:space="preserve"> —</w:t>
      </w:r>
    </w:p>
    <w:p>
      <w:pPr>
        <w:spacing w:after="150"/>
      </w:pPr>
      <w:r>
        <w:t xml:space="preserve">  Avaliada a Hostinger como alternativa a Vercel/Supabase. Decisão:   </w:t>
      </w:r>
      <w:r>
        <w:rPr>
          <w:b/>
          <w:bCs/>
        </w:rPr>
        <w:t xml:space="preserve">banco no Supabase, aplicação na Vercel, domínio `.com.br` comprado   onde for mais conveniente (Hostinger inclusive) e apontado pra   Vercel</w:t>
      </w:r>
      <w:r>
        <w:t xml:space="preserve">. Motivo de descartar a rota "Hostinger completo" (app +   banco autoadministrado em VPS): os planos gerenciados de Node.js da   Hostinger não incluem Postgres gerenciado — banco em VPS exigiria a   equipe cuidar sozinha de backup e atualização de segurança, risco   desnecessário num sistema que fatura de verdade e não tem equipe de   infraestrutura dedicada. Confirmado que domínio e hospedagem são   decisões independentes: comprar o `.com.br` na Hostinger não impede   (nem tem relação com) hospedar o site na Vercel. `README.md`   atualizado pra registrar essa decisão como definitiva, não mais como   opção em aberto.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2026-09-05T15:40:36.189Z</dcterms:created>
  <dcterms:modified xsi:type="dcterms:W3CDTF">2026-09-05T15:40:36.189Z</dcterms:modified>
</cp:coreProperties>
</file>

<file path=docProps/custom.xml><?xml version="1.0" encoding="utf-8"?>
<Properties xmlns="http://schemas.openxmlformats.org/officeDocument/2006/custom-properties" xmlns:vt="http://schemas.openxmlformats.org/officeDocument/2006/docPropsVTypes"/>
</file>