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w:t>
            </w:r>
          </w:p>
        </w:tc>
        <w:tc>
          <w:tcPr>
            <w:tcW w:type="dxa" w:w="3000"/>
            <w:tcMar>
              <w:top w:type="dxa" w:w="80"/>
              <w:left w:type="dxa" w:w="100"/>
              <w:bottom w:type="dxa" w:w="80"/>
              <w:right w:type="dxa" w:w="100"/>
            </w:tcMar>
          </w:tcPr>
          <w:p>
            <w:r>
              <w:t xml:space="preserve">Municípios/entidades (prefeitura, secretaria, ministério) — cadastro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w:t>
            </w:r>
          </w:p>
        </w:tc>
        <w:tc>
          <w:tcPr>
            <w:tcW w:type="dxa" w:w="3000"/>
            <w:tcMar>
              <w:top w:type="dxa" w:w="80"/>
              <w:left w:type="dxa" w:w="100"/>
              <w:bottom w:type="dxa" w:w="80"/>
              <w:right w:type="dxa" w:w="100"/>
            </w:tcMar>
          </w:tcPr>
          <w:p>
            <w:r>
              <w:t xml:space="preserve">Contatos de uma entidade (prefeito, cada secretário...)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`/admin/entidades/[id]/contatos/[contatoId]`</w:t>
            </w:r>
          </w:p>
        </w:tc>
        <w:tc>
          <w:tcPr>
            <w:tcW w:type="dxa" w:w="3000"/>
            <w:tcMar>
              <w:top w:type="dxa" w:w="80"/>
              <w:left w:type="dxa" w:w="100"/>
              <w:bottom w:type="dxa" w:w="80"/>
              <w:right w:type="dxa" w:w="100"/>
            </w:tcMar>
          </w:tcPr>
          <w:p>
            <w:r>
              <w:t xml:space="preserve">Histórico de interação/match de um contato específico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`/admin/fornecedores`</w:t>
            </w:r>
          </w:p>
        </w:tc>
        <w:tc>
          <w:tcPr>
            <w:tcW w:type="dxa" w:w="3000"/>
            <w:tcMar>
              <w:top w:type="dxa" w:w="80"/>
              <w:left w:type="dxa" w:w="100"/>
              <w:bottom w:type="dxa" w:w="80"/>
              <w:right w:type="dxa" w:w="100"/>
            </w:tcMar>
          </w:tcPr>
          <w:p>
            <w:r>
              <w:t xml:space="preserve">Catálogo interno — o que cada fornecedor realmente fornece</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 filtro por objeto/cidade/órgão/esfera</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ListParagraph"/>
        <w:numPr>
          <w:ilvl w:val="0"/>
          <w:numId w:val="1"/>
        </w:numPr>
        <w:spacing w:after="60"/>
      </w:pPr>
      <w:r>
        <w:rPr>
          <w:b/>
          <w:bCs/>
        </w:rPr>
        <w:t xml:space="preserve">Filtro por objeto + cidade em `/atas` (2026-09-05)</w:t>
      </w:r>
      <w:r>
        <w:t xml:space="preserve"> — a listagem</w:t>
      </w:r>
    </w:p>
    <w:p>
      <w:pPr>
        <w:spacing w:after="150"/>
      </w:pPr>
      <w:r>
        <w:t xml:space="preserve">  interna do admin (mostra TODA ata, qualquer status/origem) não tinha   filtro nenhum até então; era só uma lista corrida. Agora tem uma busca   por texto livre do objeto (`Ata.objeto`) combinada com a cidade do   órgão gerenciador (`Orgao.municipio`) — diferente do filtro do catálogo   público (`/catalogo`), que só filtra atas aprovadas/vigentes por tema e   UF, não por município. Verificado ao vivo: 24 atas sem filtro → 2 ao   combinar objeto + cidade nos dados de desenvolvimento, e mensagem clara   quando o filtro não bate com nada.</w:t>
      </w:r>
    </w:p>
    <w:p>
      <w:pPr>
        <w:pStyle w:val="ListParagraph"/>
        <w:numPr>
          <w:ilvl w:val="0"/>
          <w:numId w:val="1"/>
        </w:numPr>
        <w:spacing w:after="60"/>
      </w:pPr>
      <w:r>
        <w:rPr>
          <w:b/>
          <w:bCs/>
        </w:rPr>
        <w:t xml:space="preserve">Reorganização "trabalho é humano, sistema é CRM" (2026-09-05)</w:t>
      </w:r>
      <w:r>
        <w:t xml:space="preserve"> — o</w:t>
      </w:r>
    </w:p>
    <w:p>
      <w:pPr>
        <w:spacing w:after="150"/>
      </w:pPr>
      <w:r>
        <w:t xml:space="preserve">  usuário explicou que a venda de ata não é automatizada nem   automatizável: é trabalho comercial de gente (ligação, reunião), feito   pela própria Tech 10 — nem o parceiro nem o município vão cadastrar   nada sozinhos. Isso reorganizou o que tinha sido construído como   "Pontos Focais" (mapa do núcleo de atas):</w:t>
      </w:r>
    </w:p>
    <w:p>
      <w:pPr>
        <w:pStyle w:val="ListParagraph"/>
        <w:numPr>
          <w:ilvl w:val="0"/>
          <w:numId w:val="1"/>
        </w:numPr>
        <w:spacing w:after="60"/>
      </w:pPr>
      <w:r>
        <w:rPr>
          <w:b/>
          <w:bCs/>
        </w:rPr>
        <w:t xml:space="preserve">Pesquisado antes de construir</w:t>
      </w:r>
      <w:r>
        <w:t xml:space="preserve">: onde mais achar atas de registro</w:t>
      </w:r>
    </w:p>
    <w:p>
      <w:pPr>
        <w:spacing w:after="150"/>
      </w:pPr>
      <w:r>
        <w:t xml:space="preserve">    de preços além de PNCP e Compras.gov.br. Achado principal: o PNCP já     é, por lei (14.133/2021), o agregador universal de toda licitação de     qualquer esfera — inclusive as que passam por plataformas     terceirizadas (BLL Compras, Portal de Compras Públicas, BNC), que se     anunciam "100% integradas ao PNCP". Ou seja, o rastreador do PNCP já     deveria cobrir estadual/municipal também — isso nunca foi testado ao     vivo (o sandbox segue sem rede até pncp.gov.br, confirmado de novo     nesta sessão). Tribunais de Contas estaduais têm APIs próprias de     dados abertos de licitação municipal (TCE-PE, TCM-SP confirmados),     mas são 27 fontes diferentes — fica de fora deste momento, é backlog.</w:t>
      </w:r>
    </w:p>
    <w:p>
      <w:pPr>
        <w:pStyle w:val="ListParagraph"/>
        <w:numPr>
          <w:ilvl w:val="0"/>
          <w:numId w:val="1"/>
        </w:numPr>
        <w:spacing w:after="60"/>
      </w:pPr>
      <w:r>
        <w:rPr>
          <w:b/>
          <w:bCs/>
        </w:rPr>
        <w:t xml:space="preserve">`PontoFocal` virou duas tabelas</w:t>
      </w:r>
      <w:r>
        <w:t xml:space="preserve"> (migração</w:t>
      </w:r>
    </w:p>
    <w:p>
      <w:pPr>
        <w:spacing w:after="150"/>
      </w:pPr>
      <w:r>
        <w:t xml:space="preserve">    `20260905180000_entidade_alvo`): `EntidadeAlvo` (o "lugar" — prefeitura,     secretaria estadual, ministério, com nome/tipo/esfera/UF/município/     endereço) e `PontoFocal` agora é só o contato (pessoa) dentro dela,     com `cargo` + `area` (pasta específica, ex.: "Secretaria de Saúde") —     permite guardar quantos contatos forem necessários por entidade     ("de todas as áreas", como pedido). Rotas movidas de     `/admin/pontos-focais` para `/admin/entidades` (lista + criação) e     `/admin/entidades/[id]/contatos/[contatoId]` (histórico de interação     de cada contato, mesmo formulário de antes).</w:t>
      </w:r>
    </w:p>
    <w:p>
      <w:pPr>
        <w:pStyle w:val="ListParagraph"/>
        <w:numPr>
          <w:ilvl w:val="0"/>
          <w:numId w:val="1"/>
        </w:numPr>
        <w:spacing w:after="60"/>
      </w:pPr>
      <w:r>
        <w:rPr>
          <w:b/>
          <w:bCs/>
        </w:rPr>
        <w:t xml:space="preserve">Catálogo interno de fornecedores</w:t>
      </w:r>
      <w:r>
        <w:t xml:space="preserve"> (`/admin/fornecedores`, novo) —</w:t>
      </w:r>
    </w:p>
    <w:p>
      <w:pPr>
        <w:spacing w:after="150"/>
      </w:pPr>
      <w:r>
        <w:t xml:space="preserve">    mostra, por fornecedor, quais categorias ele fornece, quantas atas     aprovadas e em quais UFs — "quem são os fornecedores, o que eles     estão fornecendo", separado da tela de ativar/desativar que já     existia em `/admin/usuarios`.</w:t>
      </w:r>
    </w:p>
    <w:p>
      <w:pPr>
        <w:pStyle w:val="ListParagraph"/>
        <w:numPr>
          <w:ilvl w:val="0"/>
          <w:numId w:val="1"/>
        </w:numPr>
        <w:spacing w:after="60"/>
      </w:pPr>
      <w:r>
        <w:rPr>
          <w:b/>
          <w:bCs/>
        </w:rPr>
        <w:t xml:space="preserve">Banco de atas segmentado</w:t>
      </w:r>
      <w:r>
        <w:t xml:space="preserve"> — `/atas` ganhou filtro por esfera e por</w:t>
      </w:r>
    </w:p>
    <w:p>
      <w:pPr>
        <w:spacing w:after="150"/>
      </w:pPr>
      <w:r>
        <w:t xml:space="preserve">    nome do órgão (além de objeto+cidade), cobrindo a separação     "ministerial, secretaria, municipal, estadual, federal" pedida —     ministério/secretaria não viraram esfera nova (evita mexer na trava     do art. 86); aparecem via busca de texto no nome do órgão.</w:t>
      </w:r>
    </w:p>
    <w:p>
      <w:pPr>
        <w:pStyle w:val="ListParagraph"/>
        <w:numPr>
          <w:ilvl w:val="0"/>
          <w:numId w:val="1"/>
        </w:numPr>
        <w:spacing w:after="60"/>
      </w:pPr>
      <w:r>
        <w:t xml:space="preserve">Verificado ao vivo com Playwright: criar entidade → criar contato →</w:t>
      </w:r>
    </w:p>
    <w:p>
      <w:pPr>
        <w:spacing w:after="150"/>
      </w:pPr>
      <w:r>
        <w:t xml:space="preserve">    registrar interação → catálogo de fornecedores → filtro esfera+órgão     em `/atas`, tudo funcionando, sem erro de console.</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2026-09-05T16:14:49.120Z</dcterms:created>
  <dcterms:modified xsi:type="dcterms:W3CDTF">2026-09-05T16:14:49.120Z</dcterms:modified>
</cp:coreProperties>
</file>

<file path=docProps/custom.xml><?xml version="1.0" encoding="utf-8"?>
<Properties xmlns="http://schemas.openxmlformats.org/officeDocument/2006/custom-properties" xmlns:vt="http://schemas.openxmlformats.org/officeDocument/2006/docPropsVTypes"/>
</file>