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pecTitle"/>
        <w:jc w:val="center"/>
      </w:pPr>
      <w:r>
        <w:t>AIFR3D Halo System Build Specification</w:t>
      </w:r>
    </w:p>
    <w:p>
      <w:pPr>
        <w:pStyle w:val="SpecSubtitle"/>
        <w:jc w:val="center"/>
      </w:pPr>
      <w:r>
        <w:t>Locked scoring model, routing architecture, issue engine, UI semantics, and usability polish plan</w:t>
      </w:r>
    </w:p>
    <w:p>
      <w:pPr>
        <w:pStyle w:val="SpecSubtitle"/>
        <w:jc w:val="center"/>
      </w:pPr>
      <w:r>
        <w:t>Prepared for implementation sequencing and code handoff</w:t>
      </w:r>
    </w:p>
    <w:tbl>
      <w:tblPr>
        <w:tblW w:type="auto" w:w="0"/>
        <w:jc w:val="center"/>
        <w:tblLayout w:type="fixed"/>
        <w:tblLook w:firstColumn="1" w:firstRow="1" w:lastColumn="0" w:lastRow="0" w:noHBand="0" w:noVBand="1" w:val="04A0"/>
      </w:tblPr>
      <w:tblGrid>
        <w:gridCol w:w="3168"/>
        <w:gridCol w:w="3168"/>
        <w:gridCol w:w="3168"/>
      </w:tblGrid>
      <w:tr>
        <w:tc>
          <w:tcPr>
            <w:tcW w:type="dxa" w:w="3312"/>
            <w:shd w:fill="0F4C81"/>
            <w:tcBorders>
              <w:top w:val="single" w:sz="6" w:space="0" w:color="0F4C81"/>
              <w:left w:val="single" w:sz="6" w:space="0" w:color="0F4C81"/>
              <w:bottom w:val="single" w:sz="6" w:space="0" w:color="0F4C81"/>
              <w:right w:val="single" w:sz="6" w:space="0" w:color="0F4C81"/>
            </w:tcBorders>
            <w:tcMar>
              <w:top w:w="120" w:type="dxa"/>
              <w:start w:w="120" w:type="dxa"/>
              <w:bottom w:w="120" w:type="dxa"/>
              <w:end w:w="120" w:type="dxa"/>
            </w:tcMar>
            <w:vAlign w:val="center"/>
          </w:tcPr>
          <w:p>
            <w:pPr>
              <w:jc w:val="center"/>
            </w:pPr>
            <w:r>
              <w:rPr>
                <w:b/>
                <w:color w:val="FFFFFF"/>
                <w:sz w:val="22"/>
              </w:rPr>
              <w:t>Purpose</w:t>
              <w:br/>
            </w:r>
            <w:r>
              <w:rPr>
                <w:color w:val="FFFFFF"/>
                <w:sz w:val="19"/>
              </w:rPr>
              <w:t>Turn Halo into one coherent analysis language</w:t>
            </w:r>
          </w:p>
        </w:tc>
        <w:tc>
          <w:tcPr>
            <w:tcW w:type="dxa" w:w="3312"/>
            <w:shd w:fill="14919B"/>
            <w:tcBorders>
              <w:top w:val="single" w:sz="6" w:space="0" w:color="14919B"/>
              <w:left w:val="single" w:sz="6" w:space="0" w:color="14919B"/>
              <w:bottom w:val="single" w:sz="6" w:space="0" w:color="14919B"/>
              <w:right w:val="single" w:sz="6" w:space="0" w:color="14919B"/>
            </w:tcBorders>
            <w:tcMar>
              <w:top w:w="120" w:type="dxa"/>
              <w:start w:w="120" w:type="dxa"/>
              <w:bottom w:w="120" w:type="dxa"/>
              <w:end w:w="120" w:type="dxa"/>
            </w:tcMar>
            <w:vAlign w:val="center"/>
          </w:tcPr>
          <w:p>
            <w:pPr>
              <w:jc w:val="center"/>
            </w:pPr>
            <w:r>
              <w:rPr>
                <w:b/>
                <w:color w:val="FFFFFF"/>
                <w:sz w:val="22"/>
              </w:rPr>
              <w:t>Core Output</w:t>
              <w:br/>
            </w:r>
            <w:r>
              <w:rPr>
                <w:color w:val="FFFFFF"/>
                <w:sz w:val="19"/>
              </w:rPr>
              <w:t>Alignment score, diagnosis, cause, ranked fixes</w:t>
            </w:r>
          </w:p>
        </w:tc>
        <w:tc>
          <w:tcPr>
            <w:tcW w:type="dxa" w:w="3312"/>
            <w:shd w:fill="7BDCB5"/>
            <w:tcBorders>
              <w:top w:val="single" w:sz="6" w:space="0" w:color="7BDCB5"/>
              <w:left w:val="single" w:sz="6" w:space="0" w:color="7BDCB5"/>
              <w:bottom w:val="single" w:sz="6" w:space="0" w:color="7BDCB5"/>
              <w:right w:val="single" w:sz="6" w:space="0" w:color="7BDCB5"/>
            </w:tcBorders>
            <w:tcMar>
              <w:top w:w="120" w:type="dxa"/>
              <w:start w:w="120" w:type="dxa"/>
              <w:bottom w:w="120" w:type="dxa"/>
              <w:end w:w="120" w:type="dxa"/>
            </w:tcMar>
            <w:vAlign w:val="center"/>
          </w:tcPr>
          <w:p>
            <w:pPr>
              <w:jc w:val="center"/>
            </w:pPr>
            <w:r>
              <w:rPr>
                <w:b/>
                <w:color w:val="FFFFFF"/>
                <w:sz w:val="22"/>
              </w:rPr>
              <w:t>Implementation Bias</w:t>
              <w:br/>
            </w:r>
            <w:r>
              <w:rPr>
                <w:color w:val="FFFFFF"/>
                <w:sz w:val="19"/>
              </w:rPr>
              <w:t>Stable logic first, visuals second</w:t>
            </w:r>
          </w:p>
        </w:tc>
      </w:tr>
    </w:tbl>
    <w:p/>
    <w:p>
      <w:pPr>
        <w:pStyle w:val="Callout"/>
        <w:jc w:val="center"/>
      </w:pPr>
      <w:r>
        <w:rPr>
          <w:i/>
        </w:rPr>
        <w:t>Product sentence: AIFR3D Halo is a live mix-to-target alignment engine that converts tone, stereo, loudness, and dynamics deviations into a stable score, dominant diagnosis, and ranked cause-based fixes.</w:t>
      </w:r>
    </w:p>
    <w:p>
      <w:r>
        <w:br w:type="page"/>
      </w:r>
    </w:p>
    <w:p>
      <w:pPr>
        <w:pStyle w:val="Heading1"/>
      </w:pPr>
      <w:r>
        <w:t>1. System objectives</w:t>
      </w:r>
    </w:p>
    <w:p>
      <w:pPr/>
      <w:r>
        <w:t>This specification defines the Halo as the plugin's primary interpretation engine. The Halo must answer one question at all times: how close is the current mix state to the selected target profile, and what is the most important reason it is not closer.</w:t>
      </w:r>
    </w:p>
    <w:p>
      <w:pPr/>
      <w:r>
        <w:t>The Halo is not a beauty score, not a genre correctness meter, and not a loudness meter. It is an alignment-and-diagnosis layer that sits on top of the raw analysis pipeline.</w:t>
      </w:r>
    </w:p>
    <w:p>
      <w:pPr>
        <w:pStyle w:val="ListBullet"/>
        <w:ind w:left="0"/>
      </w:pPr>
      <w:r>
        <w:t>Convert raw audio features into four stable domains: Tone, Stereo, Loudness, Dynamics.</w:t>
      </w:r>
    </w:p>
    <w:p>
      <w:pPr>
        <w:pStyle w:val="ListBullet"/>
        <w:ind w:left="0"/>
      </w:pPr>
      <w:r>
        <w:t>Aggregate those domains into one Alignment Score from 0 to 100.</w:t>
      </w:r>
    </w:p>
    <w:p>
      <w:pPr>
        <w:pStyle w:val="ListBullet"/>
        <w:ind w:left="0"/>
      </w:pPr>
      <w:r>
        <w:t>Select one dominant diagnosis from a ranked issue engine.</w:t>
      </w:r>
    </w:p>
    <w:p>
      <w:pPr>
        <w:pStyle w:val="ListBullet"/>
        <w:ind w:left="0"/>
      </w:pPr>
      <w:r>
        <w:t>Generate cause-based, confidence-tagged fixes.</w:t>
      </w:r>
    </w:p>
    <w:p>
      <w:pPr>
        <w:pStyle w:val="ListBullet"/>
        <w:ind w:left="0"/>
      </w:pPr>
      <w:r>
        <w:t>Keep fast visual motion separate from stable decision logic so the UI feels alive without becoming twitchy.</w:t>
      </w:r>
    </w:p>
    <w:tbl>
      <w:tblPr>
        <w:tblW w:type="auto" w:w="0"/>
        <w:jc w:val="center"/>
        <w:tblLook w:firstColumn="1" w:firstRow="1" w:lastColumn="0" w:lastRow="0" w:noHBand="0" w:noVBand="1" w:val="04A0"/>
      </w:tblPr>
      <w:tblGrid>
        <w:gridCol w:w="9936"/>
      </w:tblGrid>
      <w:tr>
        <w:tc>
          <w:tcPr>
            <w:tcW w:type="dxa" w:w="9936"/>
            <w:shd w:fill="EAF4F7"/>
            <w:tcBorders>
              <w:top w:val="single" w:sz="6" w:space="0" w:color="C7D7E2"/>
              <w:left w:val="single" w:sz="6" w:space="0" w:color="C7D7E2"/>
              <w:bottom w:val="single" w:sz="6" w:space="0" w:color="C7D7E2"/>
              <w:right w:val="single" w:sz="6" w:space="0" w:color="C7D7E2"/>
            </w:tcBorders>
            <w:tcMar>
              <w:top w:w="100" w:type="dxa"/>
              <w:start w:w="130" w:type="dxa"/>
              <w:bottom w:w="100" w:type="dxa"/>
              <w:end w:w="130" w:type="dxa"/>
            </w:tcMar>
          </w:tcPr>
          <w:p>
            <w:r>
              <w:rPr>
                <w:b/>
              </w:rPr>
              <w:t xml:space="preserve">Implementation rule: </w:t>
            </w:r>
            <w:r>
              <w:t>No visible panel is allowed to invent its own diagnosis. Halo, measure scales, fix list, compare view, and assistant text must all consume the same scored state model.</w:t>
            </w:r>
          </w:p>
        </w:tc>
      </w:tr>
    </w:tbl>
    <w:p>
      <w:pPr>
        <w:pStyle w:val="Heading1"/>
      </w:pPr>
      <w:r>
        <w:t>2. End-to-end routing architecture</w:t>
      </w:r>
    </w:p>
    <w:p>
      <w:pPr/>
      <w:r>
        <w:t>Use a four-layer architecture. The plugin becomes much easier to reason about when each layer has one job and one handoff shape.</w:t>
      </w:r>
    </w:p>
    <w:tbl>
      <w:tblPr>
        <w:tblW w:type="auto" w:w="0"/>
        <w:jc w:val="center"/>
        <w:tblLayout w:type="fixed"/>
        <w:tblLook w:firstColumn="1" w:firstRow="1" w:lastColumn="0" w:lastRow="0" w:noHBand="0" w:noVBand="1" w:val="04A0"/>
      </w:tblPr>
      <w:tblGrid>
        <w:gridCol w:w="1944"/>
        <w:gridCol w:w="2448"/>
        <w:gridCol w:w="2592"/>
        <w:gridCol w:w="2592"/>
      </w:tblGrid>
      <w:tr>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Layer</w:t>
            </w:r>
          </w:p>
        </w:tc>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Input</w:t>
            </w:r>
          </w:p>
        </w:tc>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Output</w:t>
            </w:r>
          </w:p>
        </w:tc>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Rules</w:t>
            </w:r>
          </w:p>
        </w:tc>
      </w:tr>
      <w:tr>
        <w:tc>
          <w:tcPr>
            <w:tcW w:type="dxa" w:w="194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A. Audio feature extraction</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Live audio blocks + target profile</w:t>
            </w:r>
          </w:p>
        </w:tc>
        <w:tc>
          <w:tcPr>
            <w:tcW w:type="dxa" w:w="259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Raw metrics</w:t>
            </w:r>
          </w:p>
        </w:tc>
        <w:tc>
          <w:tcPr>
            <w:tcW w:type="dxa" w:w="259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Runs from DSP-safe analyzers; no UI dependencies.</w:t>
            </w:r>
          </w:p>
        </w:tc>
      </w:tr>
      <w:tr>
        <w:tc>
          <w:tcPr>
            <w:tcW w:type="dxa" w:w="194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B. Domain normalization</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Raw metrics</w:t>
            </w:r>
          </w:p>
        </w:tc>
        <w:tc>
          <w:tcPr>
            <w:tcW w:type="dxa" w:w="259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Normalized deviations 0-100</w:t>
            </w:r>
          </w:p>
        </w:tc>
        <w:tc>
          <w:tcPr>
            <w:tcW w:type="dxa" w:w="259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Maps unlike units into a common severity space.</w:t>
            </w:r>
          </w:p>
        </w:tc>
      </w:tr>
      <w:tr>
        <w:tc>
          <w:tcPr>
            <w:tcW w:type="dxa" w:w="194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C. Halo decision engine</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Domain deviations + history</w:t>
            </w:r>
          </w:p>
        </w:tc>
        <w:tc>
          <w:tcPr>
            <w:tcW w:type="dxa" w:w="259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Halo state model</w:t>
            </w:r>
          </w:p>
        </w:tc>
        <w:tc>
          <w:tcPr>
            <w:tcW w:type="dxa" w:w="259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Selects score, issue, cause, fix ranking, severity, confidence.</w:t>
            </w:r>
          </w:p>
        </w:tc>
      </w:tr>
      <w:tr>
        <w:tc>
          <w:tcPr>
            <w:tcW w:type="dxa" w:w="194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D. Presentation layer</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Halo state model</w:t>
            </w:r>
          </w:p>
        </w:tc>
        <w:tc>
          <w:tcPr>
            <w:tcW w:type="dxa" w:w="259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UI panels and assistant text</w:t>
            </w:r>
          </w:p>
        </w:tc>
        <w:tc>
          <w:tcPr>
            <w:tcW w:type="dxa" w:w="259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Read-only; no scoring logic in paint code.</w:t>
            </w:r>
          </w:p>
        </w:tc>
      </w:tr>
    </w:tbl>
    <w:p/>
    <w:p>
      <w:pPr/>
      <w:r>
        <w:t>Recommended processing route:</w:t>
      </w:r>
    </w:p>
    <w:p>
      <w:pPr>
        <w:pStyle w:val="ListNumber"/>
      </w:pPr>
      <w:r>
        <w:t>Audio block enters analysis engine.</w:t>
      </w:r>
    </w:p>
    <w:p>
      <w:pPr>
        <w:pStyle w:val="ListNumber"/>
      </w:pPr>
      <w:r>
        <w:t>DSP-side analyzers update lightweight rolling feature stores.</w:t>
      </w:r>
    </w:p>
    <w:p>
      <w:pPr>
        <w:pStyle w:val="ListNumber"/>
      </w:pPr>
      <w:r>
        <w:t>A stable timer or low-priority worker converts those stores into normalized deviations.</w:t>
      </w:r>
    </w:p>
    <w:p>
      <w:pPr>
        <w:pStyle w:val="ListNumber"/>
      </w:pPr>
      <w:r>
        <w:t>Decision engine computes domain alignments, total alignment, dominant issue, severity, confidence, and fix list.</w:t>
      </w:r>
    </w:p>
    <w:p>
      <w:pPr>
        <w:pStyle w:val="ListNumber"/>
      </w:pPr>
      <w:r>
        <w:t>UI thread reads the latest immutable Halo state snapshot and repaints only the components that changed.</w:t>
      </w:r>
    </w:p>
    <w:p>
      <w:pPr>
        <w:pStyle w:val="Heading1"/>
      </w:pPr>
      <w:r>
        <w:t>3. Feature measurement model</w:t>
      </w:r>
    </w:p>
    <w:p>
      <w:pPr>
        <w:pStyle w:val="Heading2"/>
      </w:pPr>
      <w:r>
        <w:t>3.1 Tone</w:t>
      </w:r>
    </w:p>
    <w:p>
      <w:pPr/>
      <w:r>
        <w:t>Tone measures spectral shape relative to the target. Use a frequency decomposition that is broad enough to be readable but specific enough to expose low-mid buildup and high-mid harshness.</w:t>
      </w:r>
    </w:p>
    <w:p>
      <w:pPr>
        <w:pStyle w:val="ListBullet"/>
        <w:ind w:left="0"/>
      </w:pPr>
      <w:r>
        <w:t>Spectral tilt deviation: compare fitted tilt slope in dB per octave against target corridor.</w:t>
      </w:r>
    </w:p>
    <w:p>
      <w:pPr>
        <w:pStyle w:val="ListBullet"/>
        <w:ind w:left="0"/>
      </w:pPr>
      <w:r>
        <w:t>Band energy deviation: compare normalized energy in bands (20-60 Hz, 60-120 Hz, 120-400 Hz, 400 Hz-2 kHz, 2-6 kHz, 6-12 kHz, 12-20 kHz).</w:t>
      </w:r>
    </w:p>
    <w:p>
      <w:pPr>
        <w:pStyle w:val="ListBullet"/>
        <w:ind w:left="0"/>
      </w:pPr>
      <w:r>
        <w:t>Tone shape deviation: compare spectral centroid and relative distribution of low, mid, and air energy.</w:t>
      </w:r>
    </w:p>
    <w:p>
      <w:pPr>
        <w:pStyle w:val="Heading2"/>
      </w:pPr>
      <w:r>
        <w:t>3.2 Stereo</w:t>
      </w:r>
    </w:p>
    <w:p>
      <w:pPr/>
      <w:r>
        <w:t>Stereo measures side availability and spatial behavior above the protected low end. The low end must not be punished for being mono-safe.</w:t>
      </w:r>
    </w:p>
    <w:p>
      <w:pPr>
        <w:pStyle w:val="ListBullet"/>
        <w:ind w:left="0"/>
      </w:pPr>
      <w:r>
        <w:t>Width deviation: compare perceived width metric to target, using 120 Hz+ as the general width-sensitive region.</w:t>
      </w:r>
    </w:p>
    <w:p>
      <w:pPr>
        <w:pStyle w:val="ListBullet"/>
        <w:ind w:left="0"/>
      </w:pPr>
      <w:r>
        <w:t>Side-energy deviation: compare side energy above 200 Hz to target corridor.</w:t>
      </w:r>
    </w:p>
    <w:p>
      <w:pPr>
        <w:pStyle w:val="ListBullet"/>
        <w:ind w:left="0"/>
      </w:pPr>
      <w:r>
        <w:t>Correlation deviation: compare live correlation against target or corridor; protect low-frequency mono safety.</w:t>
      </w:r>
    </w:p>
    <w:p>
      <w:pPr>
        <w:pStyle w:val="ListBullet"/>
        <w:ind w:left="0"/>
      </w:pPr>
      <w:r>
        <w:t>Stereo motion deviation: measure stability or collapse of width over time; use this to avoid overreacting to one instant.</w:t>
      </w:r>
    </w:p>
    <w:p>
      <w:pPr>
        <w:pStyle w:val="Heading2"/>
      </w:pPr>
      <w:r>
        <w:t>3.3 Loudness</w:t>
      </w:r>
    </w:p>
    <w:p>
      <w:pPr/>
      <w:r>
        <w:t>Loudness is not only LUFS. It must reflect level relationship and headroom behavior.</w:t>
      </w:r>
    </w:p>
    <w:p>
      <w:pPr>
        <w:pStyle w:val="ListBullet"/>
        <w:ind w:left="0"/>
      </w:pPr>
      <w:r>
        <w:t>Short-term LUFS deviation</w:t>
      </w:r>
    </w:p>
    <w:p>
      <w:pPr>
        <w:pStyle w:val="ListBullet"/>
        <w:ind w:left="0"/>
      </w:pPr>
      <w:r>
        <w:t>Integrated LUFS deviation</w:t>
      </w:r>
    </w:p>
    <w:p>
      <w:pPr>
        <w:pStyle w:val="ListBullet"/>
        <w:ind w:left="0"/>
      </w:pPr>
      <w:r>
        <w:t>RMS deviation</w:t>
      </w:r>
    </w:p>
    <w:p>
      <w:pPr>
        <w:pStyle w:val="ListBullet"/>
        <w:ind w:left="0"/>
      </w:pPr>
      <w:r>
        <w:t>True peak deviation</w:t>
      </w:r>
    </w:p>
    <w:p>
      <w:pPr>
        <w:pStyle w:val="Heading2"/>
      </w:pPr>
      <w:r>
        <w:t>3.4 Dynamics</w:t>
      </w:r>
    </w:p>
    <w:p>
      <w:pPr/>
      <w:r>
        <w:t>Dynamics must distinguish controlled from crushed. Use crest and transient behavior as the primary read.</w:t>
      </w:r>
    </w:p>
    <w:p>
      <w:pPr>
        <w:pStyle w:val="ListBullet"/>
        <w:ind w:left="0"/>
      </w:pPr>
      <w:r>
        <w:t>Crest factor deviation</w:t>
      </w:r>
    </w:p>
    <w:p>
      <w:pPr>
        <w:pStyle w:val="ListBullet"/>
        <w:ind w:left="0"/>
      </w:pPr>
      <w:r>
        <w:t>Transient density deviation</w:t>
      </w:r>
    </w:p>
    <w:p>
      <w:pPr>
        <w:pStyle w:val="ListBullet"/>
        <w:ind w:left="0"/>
      </w:pPr>
      <w:r>
        <w:t>Dynamic motion deviation across the stable analysis window</w:t>
      </w:r>
    </w:p>
    <w:p>
      <w:pPr>
        <w:pStyle w:val="Heading1"/>
      </w:pPr>
      <w:r>
        <w:t>4. Normalization and domain scoring</w:t>
      </w:r>
    </w:p>
    <w:p>
      <w:pPr/>
      <w:r>
        <w:t>Every sub-metric must be normalized to a 0-100 deviation scale before weighting. 0 means fully aligned to target or corridor. 100 means critically outside useful bounds.</w:t>
      </w:r>
    </w:p>
    <w:tbl>
      <w:tblPr>
        <w:tblW w:type="auto" w:w="0"/>
        <w:jc w:val="center"/>
        <w:tblLook w:firstColumn="1" w:firstRow="1" w:lastColumn="0" w:lastRow="0" w:noHBand="0" w:noVBand="1" w:val="04A0"/>
      </w:tblPr>
      <w:tblGrid>
        <w:gridCol w:w="9936"/>
      </w:tblGrid>
      <w:tr>
        <w:tc>
          <w:tcPr>
            <w:tcW w:type="dxa" w:w="9936"/>
            <w:shd w:fill="EAF4F7"/>
            <w:tcBorders>
              <w:top w:val="single" w:sz="6" w:space="0" w:color="C7D7E2"/>
              <w:left w:val="single" w:sz="6" w:space="0" w:color="C7D7E2"/>
              <w:bottom w:val="single" w:sz="6" w:space="0" w:color="C7D7E2"/>
              <w:right w:val="single" w:sz="6" w:space="0" w:color="C7D7E2"/>
            </w:tcBorders>
            <w:tcMar>
              <w:top w:w="100" w:type="dxa"/>
              <w:start w:w="130" w:type="dxa"/>
              <w:bottom w:w="100" w:type="dxa"/>
              <w:end w:w="130" w:type="dxa"/>
            </w:tcMar>
          </w:tcPr>
          <w:p>
            <w:r>
              <w:rPr>
                <w:b/>
              </w:rPr>
              <w:t xml:space="preserve">Normalization guideline: </w:t>
            </w:r>
            <w:r>
              <w:t>Use corridor-based clamping. Small misses inside an acceptable corridor should produce very low deviation. Once outside the corridor, scale nonlinearly so clearly audible misses rise quickly.</w:t>
            </w:r>
          </w:p>
        </w:tc>
      </w:tr>
    </w:tbl>
    <w:tbl>
      <w:tblPr>
        <w:tblW w:type="auto" w:w="0"/>
        <w:jc w:val="center"/>
        <w:tblLayout w:type="fixed"/>
        <w:tblLook w:firstColumn="1" w:firstRow="1" w:lastColumn="0" w:lastRow="0" w:noHBand="0" w:noVBand="1" w:val="04A0"/>
      </w:tblPr>
      <w:tblGrid>
        <w:gridCol w:w="1872"/>
        <w:gridCol w:w="3600"/>
        <w:gridCol w:w="4032"/>
      </w:tblGrid>
      <w:tr>
        <w:tc>
          <w:tcPr>
            <w:tcW w:type="dxa" w:w="3312"/>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Domain</w:t>
            </w:r>
          </w:p>
        </w:tc>
        <w:tc>
          <w:tcPr>
            <w:tcW w:type="dxa" w:w="3312"/>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Formula</w:t>
            </w:r>
          </w:p>
        </w:tc>
        <w:tc>
          <w:tcPr>
            <w:tcW w:type="dxa" w:w="3312"/>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Internal weighting</w:t>
            </w:r>
          </w:p>
        </w:tc>
      </w:tr>
      <w:tr>
        <w:tc>
          <w:tcPr>
            <w:tcW w:type="dxa" w:w="187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Tone</w:t>
            </w:r>
          </w:p>
        </w:tc>
        <w:tc>
          <w:tcPr>
            <w:tcW w:type="dxa" w:w="360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0.30*tilt + 0.50*band + 0.20*shape</w:t>
            </w:r>
          </w:p>
        </w:tc>
        <w:tc>
          <w:tcPr>
            <w:tcW w:type="dxa" w:w="403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Tilt 30%; band energy 50%; spectral shape 20%</w:t>
            </w:r>
          </w:p>
        </w:tc>
      </w:tr>
      <w:tr>
        <w:tc>
          <w:tcPr>
            <w:tcW w:type="dxa" w:w="187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Stereo</w:t>
            </w:r>
          </w:p>
        </w:tc>
        <w:tc>
          <w:tcPr>
            <w:tcW w:type="dxa" w:w="360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0.40*width + 0.30*side + 0.20*corr + 0.10*motion</w:t>
            </w:r>
          </w:p>
        </w:tc>
        <w:tc>
          <w:tcPr>
            <w:tcW w:type="dxa" w:w="403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Width 40%; side deficit 30%; correlation 20%; motion 10%</w:t>
            </w:r>
          </w:p>
        </w:tc>
      </w:tr>
      <w:tr>
        <w:tc>
          <w:tcPr>
            <w:tcW w:type="dxa" w:w="187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Loudness</w:t>
            </w:r>
          </w:p>
        </w:tc>
        <w:tc>
          <w:tcPr>
            <w:tcW w:type="dxa" w:w="360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0.40*ST + 0.30*INT + 0.15*RMS + 0.15*TP</w:t>
            </w:r>
          </w:p>
        </w:tc>
        <w:tc>
          <w:tcPr>
            <w:tcW w:type="dxa" w:w="403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Short-term 40%; integrated 30%; RMS 15%; true peak 15%</w:t>
            </w:r>
          </w:p>
        </w:tc>
      </w:tr>
      <w:tr>
        <w:tc>
          <w:tcPr>
            <w:tcW w:type="dxa" w:w="187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Dynamics</w:t>
            </w:r>
          </w:p>
        </w:tc>
        <w:tc>
          <w:tcPr>
            <w:tcW w:type="dxa" w:w="360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0.45*crest + 0.30*transient + 0.25*motion</w:t>
            </w:r>
          </w:p>
        </w:tc>
        <w:tc>
          <w:tcPr>
            <w:tcW w:type="dxa" w:w="403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vAlign w:val="center"/>
          </w:tcPr>
          <w:p>
            <w:r>
              <w:t>Crest 45%; transient density 30%; dynamic motion 25%</w:t>
            </w:r>
          </w:p>
        </w:tc>
      </w:tr>
    </w:tbl>
    <w:p>
      <w:pPr/>
      <w:r>
        <w:t>Compute domain alignment as:</w:t>
      </w:r>
    </w:p>
    <w:p>
      <w:pPr/>
      <w:r>
        <w:rPr>
          <w:b/>
        </w:rPr>
        <w:t>domainAlignment = 100 - domainError</w:t>
      </w:r>
    </w:p>
    <w:p>
      <w:pPr/>
      <w:r>
        <w:t>Clamp to the range 0-100 after weighting.</w:t>
      </w:r>
    </w:p>
    <w:p>
      <w:pPr/>
      <w:r>
        <w:t>Compute total Alignment Score as:</w:t>
      </w:r>
    </w:p>
    <w:p>
      <w:pPr/>
      <w:r>
        <w:rPr>
          <w:b/>
        </w:rPr>
        <w:t>AlignmentScore = 100 - (0.35*toneError + 0.25*stereoError + 0.20*loudnessError + 0.20*dynamicsError)</w:t>
      </w:r>
    </w:p>
    <w:p>
      <w:pPr>
        <w:pStyle w:val="Heading1"/>
      </w:pPr>
      <w:r>
        <w:t>5. Severity, confidence, and relevance</w:t>
      </w:r>
    </w:p>
    <w:p>
      <w:pPr/>
      <w:r>
        <w:t>All visible issues must share one severity system so the plugin feels engineered rather than improvised.</w:t>
      </w:r>
    </w:p>
    <w:tbl>
      <w:tblPr>
        <w:tblW w:type="auto" w:w="0"/>
        <w:jc w:val="center"/>
        <w:tblLayout w:type="fixed"/>
        <w:tblLook w:firstColumn="1" w:firstRow="1" w:lastColumn="0" w:lastRow="0" w:noHBand="0" w:noVBand="1" w:val="04A0"/>
      </w:tblPr>
      <w:tblGrid>
        <w:gridCol w:w="2016"/>
        <w:gridCol w:w="2160"/>
        <w:gridCol w:w="5184"/>
      </w:tblGrid>
      <w:tr>
        <w:tc>
          <w:tcPr>
            <w:tcW w:type="dxa" w:w="3312"/>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Band</w:t>
            </w:r>
          </w:p>
        </w:tc>
        <w:tc>
          <w:tcPr>
            <w:tcW w:type="dxa" w:w="3312"/>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Severity</w:t>
            </w:r>
          </w:p>
        </w:tc>
        <w:tc>
          <w:tcPr>
            <w:tcW w:type="dxa" w:w="3312"/>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Meaning</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0-19</w:t>
            </w:r>
          </w:p>
        </w:tc>
        <w:tc>
          <w:tcPr>
            <w:tcW w:type="dxa" w:w="216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Minor</w:t>
            </w:r>
          </w:p>
        </w:tc>
        <w:tc>
          <w:tcPr>
            <w:tcW w:type="dxa" w:w="518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Outside target only slightly; surface only when context requires.</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20-39</w:t>
            </w:r>
          </w:p>
        </w:tc>
        <w:tc>
          <w:tcPr>
            <w:tcW w:type="dxa" w:w="216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Moderate</w:t>
            </w:r>
          </w:p>
        </w:tc>
        <w:tc>
          <w:tcPr>
            <w:tcW w:type="dxa" w:w="518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Noticeable mismatch; useful fix candidate.</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40-64</w:t>
            </w:r>
          </w:p>
        </w:tc>
        <w:tc>
          <w:tcPr>
            <w:tcW w:type="dxa" w:w="216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High</w:t>
            </w:r>
          </w:p>
        </w:tc>
        <w:tc>
          <w:tcPr>
            <w:tcW w:type="dxa" w:w="518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Clearly audible issue; should normally rank near top.</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65-100</w:t>
            </w:r>
          </w:p>
        </w:tc>
        <w:tc>
          <w:tcPr>
            <w:tcW w:type="dxa" w:w="216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Critical</w:t>
            </w:r>
          </w:p>
        </w:tc>
        <w:tc>
          <w:tcPr>
            <w:tcW w:type="dxa" w:w="518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Structurally dominant problem; can become primary diagnosis.</w:t>
            </w:r>
          </w:p>
        </w:tc>
      </w:tr>
    </w:tbl>
    <w:p>
      <w:pPr/>
      <w:r>
        <w:t>Confidence must be computed separately from severity. High severity does not guarantee high confidence.</w:t>
      </w:r>
    </w:p>
    <w:p>
      <w:pPr>
        <w:pStyle w:val="ListBullet"/>
        <w:ind w:left="0"/>
      </w:pPr>
      <w:r>
        <w:t>Use persistence over the stable window as the first confidence input.</w:t>
      </w:r>
    </w:p>
    <w:p>
      <w:pPr>
        <w:pStyle w:val="ListBullet"/>
        <w:ind w:left="0"/>
      </w:pPr>
      <w:r>
        <w:t>Increase confidence when multiple metrics agree on the same issue (for example low width plus high correlation plus low side energy).</w:t>
      </w:r>
    </w:p>
    <w:p>
      <w:pPr>
        <w:pStyle w:val="ListBullet"/>
        <w:ind w:left="0"/>
      </w:pPr>
      <w:r>
        <w:t>Lower confidence for one-off spikes or conflicting evidence.</w:t>
      </w:r>
    </w:p>
    <w:p>
      <w:pPr>
        <w:pStyle w:val="ListBullet"/>
        <w:ind w:left="0"/>
      </w:pPr>
      <w:r>
        <w:t>Expose confidence in the fix list as Low, Moderate, or High.</w:t>
      </w:r>
    </w:p>
    <w:p>
      <w:pPr/>
      <w:r>
        <w:t>Issue priority must be ranked by:</w:t>
      </w:r>
    </w:p>
    <w:p>
      <w:pPr/>
      <w:r>
        <w:rPr>
          <w:b/>
        </w:rPr>
        <w:t>IssuePriority = Severity * Confidence * Relevance</w:t>
      </w:r>
    </w:p>
    <w:p>
      <w:r>
        <w:br w:type="page"/>
      </w:r>
    </w:p>
    <w:p>
      <w:pPr>
        <w:pStyle w:val="Heading1"/>
      </w:pPr>
      <w:r>
        <w:t>6. Halo visual semantics</w:t>
      </w:r>
    </w:p>
    <w:p>
      <w:pPr/>
      <w:r>
        <w:t>The Halo stops being decorative once each visual element has a rigid meaning.</w:t>
      </w:r>
    </w:p>
    <w:tbl>
      <w:tblPr>
        <w:tblW w:type="auto" w:w="0"/>
        <w:jc w:val="center"/>
        <w:tblLayout w:type="fixed"/>
        <w:tblLook w:firstColumn="1" w:firstRow="1" w:lastColumn="0" w:lastRow="0" w:noHBand="0" w:noVBand="1" w:val="04A0"/>
      </w:tblPr>
      <w:tblGrid>
        <w:gridCol w:w="2016"/>
        <w:gridCol w:w="2304"/>
        <w:gridCol w:w="2448"/>
        <w:gridCol w:w="3168"/>
      </w:tblGrid>
      <w:tr>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Element</w:t>
            </w:r>
          </w:p>
        </w:tc>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Meaning</w:t>
            </w:r>
          </w:p>
        </w:tc>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Update speed</w:t>
            </w:r>
          </w:p>
        </w:tc>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Presentation rule</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Center score</w:t>
            </w:r>
          </w:p>
        </w:tc>
        <w:tc>
          <w:tcPr>
            <w:tcW w:type="dxa" w:w="230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Total Alignment Score</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Stable</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Always labeled as Alignment Score.</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Center title</w:t>
            </w:r>
          </w:p>
        </w:tc>
        <w:tc>
          <w:tcPr>
            <w:tcW w:type="dxa" w:w="230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Primary diagnosis</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Stable</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Must be chosen by issue engine, not a raw metric.</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Center cause line</w:t>
            </w:r>
          </w:p>
        </w:tc>
        <w:tc>
          <w:tcPr>
            <w:tcW w:type="dxa" w:w="230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Why diagnosis was chosen</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Stable</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One short sentence. Optional in compact layouts.</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Top arc</w:t>
            </w:r>
          </w:p>
        </w:tc>
        <w:tc>
          <w:tcPr>
            <w:tcW w:type="dxa" w:w="230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Tone alignment</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Fast visual + stable fill</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Color tinted by severity.</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Right arc</w:t>
            </w:r>
          </w:p>
        </w:tc>
        <w:tc>
          <w:tcPr>
            <w:tcW w:type="dxa" w:w="230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Stereo alignment</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Fast visual + stable fill</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Pulse only when stereo is dominant issue.</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Bottom arc</w:t>
            </w:r>
          </w:p>
        </w:tc>
        <w:tc>
          <w:tcPr>
            <w:tcW w:type="dxa" w:w="230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Loudness alignment</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Fast visual + stable fill</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Never imply raw LUFS.</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Left arc</w:t>
            </w:r>
          </w:p>
        </w:tc>
        <w:tc>
          <w:tcPr>
            <w:tcW w:type="dxa" w:w="230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Dynamics alignment</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Fast visual + stable fill</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Reflect alignment only.</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Ghost ring</w:t>
            </w:r>
          </w:p>
        </w:tc>
        <w:tc>
          <w:tcPr>
            <w:tcW w:type="dxa" w:w="230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Reference corridor or target state</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Static</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Thin, dim, non-competitive.</w:t>
            </w:r>
          </w:p>
        </w:tc>
      </w:tr>
      <w:tr>
        <w:tc>
          <w:tcPr>
            <w:tcW w:type="dxa" w:w="201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Pulse trace</w:t>
            </w:r>
          </w:p>
        </w:tc>
        <w:tc>
          <w:tcPr>
            <w:tcW w:type="dxa" w:w="230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Recent composite or selected-domain movement</w:t>
            </w:r>
          </w:p>
        </w:tc>
        <w:tc>
          <w:tcPr>
            <w:tcW w:type="dxa" w:w="244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Fast</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Driven by short-window deviation movement.</w:t>
            </w:r>
          </w:p>
        </w:tc>
      </w:tr>
    </w:tbl>
    <w:p>
      <w:pPr/>
      <w:r>
        <w:t>Ring color policy:</w:t>
      </w:r>
    </w:p>
    <w:p>
      <w:pPr>
        <w:pStyle w:val="ListBullet"/>
        <w:ind w:left="0"/>
      </w:pPr>
      <w:r>
        <w:t>80-100 alignment: cyan/green healthy zone</w:t>
      </w:r>
    </w:p>
    <w:p>
      <w:pPr>
        <w:pStyle w:val="ListBullet"/>
        <w:ind w:left="0"/>
      </w:pPr>
      <w:r>
        <w:t>60-79 alignment: teal/caution</w:t>
      </w:r>
    </w:p>
    <w:p>
      <w:pPr>
        <w:pStyle w:val="ListBullet"/>
        <w:ind w:left="0"/>
      </w:pPr>
      <w:r>
        <w:t>40-59 alignment: yellow/orange concern</w:t>
      </w:r>
    </w:p>
    <w:p>
      <w:pPr>
        <w:pStyle w:val="ListBullet"/>
        <w:ind w:left="0"/>
      </w:pPr>
      <w:r>
        <w:t>0-39 alignment: orange/red critical</w:t>
      </w:r>
    </w:p>
    <w:tbl>
      <w:tblPr>
        <w:tblW w:type="auto" w:w="0"/>
        <w:jc w:val="center"/>
        <w:tblLook w:firstColumn="1" w:firstRow="1" w:lastColumn="0" w:lastRow="0" w:noHBand="0" w:noVBand="1" w:val="04A0"/>
      </w:tblPr>
      <w:tblGrid>
        <w:gridCol w:w="9936"/>
      </w:tblGrid>
      <w:tr>
        <w:tc>
          <w:tcPr>
            <w:tcW w:type="dxa" w:w="9936"/>
            <w:shd w:fill="EAF4F7"/>
            <w:tcBorders>
              <w:top w:val="single" w:sz="6" w:space="0" w:color="C7D7E2"/>
              <w:left w:val="single" w:sz="6" w:space="0" w:color="C7D7E2"/>
              <w:bottom w:val="single" w:sz="6" w:space="0" w:color="C7D7E2"/>
              <w:right w:val="single" w:sz="6" w:space="0" w:color="C7D7E2"/>
            </w:tcBorders>
            <w:tcMar>
              <w:top w:w="100" w:type="dxa"/>
              <w:start w:w="130" w:type="dxa"/>
              <w:bottom w:w="100" w:type="dxa"/>
              <w:end w:w="130" w:type="dxa"/>
            </w:tcMar>
          </w:tcPr>
          <w:p>
            <w:r>
              <w:rPr>
                <w:b/>
              </w:rPr>
              <w:t xml:space="preserve">Non-negotiable rule: </w:t>
            </w:r>
            <w:r>
              <w:t>Arc length or fill represents interpreted domain alignment, not raw meter magnitude. Raw values belong in detail panels only.</w:t>
            </w:r>
          </w:p>
        </w:tc>
      </w:tr>
    </w:tbl>
    <w:p>
      <w:pPr>
        <w:pStyle w:val="Heading1"/>
      </w:pPr>
      <w:r>
        <w:t>7. Center-state decision model</w:t>
      </w:r>
    </w:p>
    <w:p>
      <w:pPr/>
      <w:r>
        <w:t>The center state is the plugin's one-sentence truth. It must stay stable, clear, and ranked by perceptual importance.</w:t>
      </w:r>
    </w:p>
    <w:p>
      <w:pPr>
        <w:pStyle w:val="ListBullet"/>
        <w:ind w:left="0"/>
      </w:pPr>
      <w:r>
        <w:t>Always display Primary Issue on line 1.</w:t>
      </w:r>
    </w:p>
    <w:p>
      <w:pPr>
        <w:pStyle w:val="ListBullet"/>
        <w:ind w:left="0"/>
      </w:pPr>
      <w:r>
        <w:t>Always display Alignment Score on line 2.</w:t>
      </w:r>
    </w:p>
    <w:p>
      <w:pPr>
        <w:pStyle w:val="ListBullet"/>
        <w:ind w:left="0"/>
      </w:pPr>
      <w:r>
        <w:t>Display one short cause summary on line 3 when space allows.</w:t>
      </w:r>
    </w:p>
    <w:p>
      <w:pPr>
        <w:pStyle w:val="ListBullet"/>
        <w:ind w:left="0"/>
      </w:pPr>
      <w:r>
        <w:t>When overall alignment is good, switch from issue mode to status mode: Good Match, Close To Reference, Balanced Tone, Mono-Safe / Width Limited.</w:t>
      </w:r>
    </w:p>
    <w:p>
      <w:pPr>
        <w:pStyle w:val="Heading2"/>
      </w:pPr>
      <w:r>
        <w:t>7.1 Decision order</w:t>
      </w:r>
    </w:p>
    <w:p>
      <w:pPr/>
      <w:r>
        <w:t>Evaluate critical gate conditions before simply choosing the lowest alignment domain.</w:t>
      </w:r>
    </w:p>
    <w:p>
      <w:pPr>
        <w:pStyle w:val="ListNumber"/>
      </w:pPr>
      <w:r>
        <w:t>Critical stereo collapse</w:t>
      </w:r>
    </w:p>
    <w:p>
      <w:pPr>
        <w:pStyle w:val="ListNumber"/>
      </w:pPr>
      <w:r>
        <w:t>Critical peak risk</w:t>
      </w:r>
    </w:p>
    <w:p>
      <w:pPr>
        <w:pStyle w:val="ListNumber"/>
      </w:pPr>
      <w:r>
        <w:t>Critical low-mid masking</w:t>
      </w:r>
    </w:p>
    <w:p>
      <w:pPr>
        <w:pStyle w:val="ListNumber"/>
      </w:pPr>
      <w:r>
        <w:t>Critical high-mid harshness</w:t>
      </w:r>
    </w:p>
    <w:p>
      <w:pPr>
        <w:pStyle w:val="ListNumber"/>
      </w:pPr>
      <w:r>
        <w:t>Critical dynamic flattening</w:t>
      </w:r>
    </w:p>
    <w:p>
      <w:pPr>
        <w:pStyle w:val="ListNumber"/>
      </w:pPr>
      <w:r>
        <w:t>Otherwise choose the lowest alignment domain with highest priority score</w:t>
      </w:r>
    </w:p>
    <w:p>
      <w:pPr>
        <w:pStyle w:val="ListNumber"/>
      </w:pPr>
      <w:r>
        <w:t>If total alignment exceeds the good threshold, show a positive or neutral status</w:t>
      </w:r>
    </w:p>
    <w:p>
      <w:pPr>
        <w:pStyle w:val="Heading2"/>
      </w:pPr>
      <w:r>
        <w:t>7.2 Example decision logic</w:t>
      </w:r>
    </w:p>
    <w:p>
      <w:pPr/>
      <w:r>
        <w:rPr>
          <w:b/>
        </w:rPr>
        <w:t xml:space="preserve">If </w:t>
      </w:r>
      <w:r>
        <w:rPr>
          <w:i/>
        </w:rPr>
        <w:t>stereoWidth &lt; widthCollapseThreshold</w:t>
      </w:r>
      <w:r>
        <w:rPr>
          <w:b/>
        </w:rPr>
        <w:t xml:space="preserve"> and </w:t>
      </w:r>
      <w:r>
        <w:rPr>
          <w:i/>
        </w:rPr>
        <w:t>correlation &gt; monoCollapseLevel</w:t>
      </w:r>
      <w:r>
        <w:rPr>
          <w:b/>
        </w:rPr>
        <w:t xml:space="preserve">, show </w:t>
      </w:r>
      <w:r>
        <w:rPr>
          <w:i/>
        </w:rPr>
        <w:t>"Stereo Too Narrow"</w:t>
      </w:r>
    </w:p>
    <w:p>
      <w:pPr/>
      <w:r>
        <w:t>Else if true peak exceeds the limit, show Peak Risk. Else if low-mid deviation exceeds the mud threshold, show Mud Building Up. Else if high-mid deviation exceeds the harsh threshold, show Upper Mids Too Aggressive. Else if dynamics has the lowest aligned score, show Dynamics Too Flat. Else if total alignment exceeds the good threshold, show Good Match.</w:t>
      </w:r>
    </w:p>
    <w:p>
      <w:pPr>
        <w:pStyle w:val="Heading1"/>
      </w:pPr>
      <w:r>
        <w:t>8. Problem -&gt; Cause -&gt; Fix engine</w:t>
      </w:r>
    </w:p>
    <w:p>
      <w:pPr/>
      <w:r>
        <w:t>Every fix card must be generated from the same structure so that assistant text, fix list, and detail popovers remain consistent.</w:t>
      </w:r>
    </w:p>
    <w:tbl>
      <w:tblPr>
        <w:tblW w:type="auto" w:w="0"/>
        <w:jc w:val="center"/>
        <w:tblLayout w:type="fixed"/>
        <w:tblLook w:firstColumn="1" w:firstRow="1" w:lastColumn="0" w:lastRow="0" w:noHBand="0" w:noVBand="1" w:val="04A0"/>
      </w:tblPr>
      <w:tblGrid>
        <w:gridCol w:w="2160"/>
        <w:gridCol w:w="3024"/>
        <w:gridCol w:w="3456"/>
        <w:gridCol w:w="1296"/>
        <w:gridCol w:w="1440"/>
        <w:gridCol w:w="1728"/>
      </w:tblGrid>
      <w:tr>
        <w:tc>
          <w:tcPr>
            <w:tcW w:type="dxa" w:w="1656"/>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Problem</w:t>
            </w:r>
          </w:p>
        </w:tc>
        <w:tc>
          <w:tcPr>
            <w:tcW w:type="dxa" w:w="1656"/>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Cause</w:t>
            </w:r>
          </w:p>
        </w:tc>
        <w:tc>
          <w:tcPr>
            <w:tcW w:type="dxa" w:w="1656"/>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Next step</w:t>
            </w:r>
          </w:p>
        </w:tc>
        <w:tc>
          <w:tcPr>
            <w:tcW w:type="dxa" w:w="1656"/>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Sev.</w:t>
            </w:r>
          </w:p>
        </w:tc>
        <w:tc>
          <w:tcPr>
            <w:tcW w:type="dxa" w:w="1656"/>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Conf.</w:t>
            </w:r>
          </w:p>
        </w:tc>
        <w:tc>
          <w:tcPr>
            <w:tcW w:type="dxa" w:w="1656"/>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Impact</w:t>
            </w:r>
          </w:p>
        </w:tc>
      </w:tr>
      <w:tr>
        <w:tc>
          <w:tcPr>
            <w:tcW w:type="dxa" w:w="216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Stereo Image Collapsed</w:t>
            </w:r>
          </w:p>
        </w:tc>
        <w:tc>
          <w:tcPr>
            <w:tcW w:type="dxa" w:w="302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Side energy above 200 Hz is below reference corridor while correlation stays near mono.</w:t>
            </w:r>
          </w:p>
        </w:tc>
        <w:tc>
          <w:tcPr>
            <w:tcW w:type="dxa" w:w="345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Add stereo information to reverb returns, high percussion, or layered synth content above the low end.</w:t>
            </w:r>
          </w:p>
        </w:tc>
        <w:tc>
          <w:tcPr>
            <w:tcW w:type="dxa" w:w="129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Critical</w:t>
            </w:r>
          </w:p>
        </w:tc>
        <w:tc>
          <w:tcPr>
            <w:tcW w:type="dxa" w:w="144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High</w:t>
            </w:r>
          </w:p>
        </w:tc>
        <w:tc>
          <w:tcPr>
            <w:tcW w:type="dxa" w:w="172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Stereo</w:t>
            </w:r>
          </w:p>
        </w:tc>
      </w:tr>
      <w:tr>
        <w:tc>
          <w:tcPr>
            <w:tcW w:type="dxa" w:w="216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Mud Building Up</w:t>
            </w:r>
          </w:p>
        </w:tc>
        <w:tc>
          <w:tcPr>
            <w:tcW w:type="dxa" w:w="302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Low-mid band exceeds target by &gt; 4 dB and masks clarity.</w:t>
            </w:r>
          </w:p>
        </w:tc>
        <w:tc>
          <w:tcPr>
            <w:tcW w:type="dxa" w:w="345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Trim 200-500 Hz buildup on bus or competing instruments.</w:t>
            </w:r>
          </w:p>
        </w:tc>
        <w:tc>
          <w:tcPr>
            <w:tcW w:type="dxa" w:w="129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High</w:t>
            </w:r>
          </w:p>
        </w:tc>
        <w:tc>
          <w:tcPr>
            <w:tcW w:type="dxa" w:w="144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Moderate</w:t>
            </w:r>
          </w:p>
        </w:tc>
        <w:tc>
          <w:tcPr>
            <w:tcW w:type="dxa" w:w="172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Tone</w:t>
            </w:r>
          </w:p>
        </w:tc>
      </w:tr>
      <w:tr>
        <w:tc>
          <w:tcPr>
            <w:tcW w:type="dxa" w:w="216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Dynamics Too Flat</w:t>
            </w:r>
          </w:p>
        </w:tc>
        <w:tc>
          <w:tcPr>
            <w:tcW w:type="dxa" w:w="302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Crest factor is low while transient density is suppressed.</w:t>
            </w:r>
          </w:p>
        </w:tc>
        <w:tc>
          <w:tcPr>
            <w:tcW w:type="dxa" w:w="345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Ease bus compression or restore transient attack on key sources.</w:t>
            </w:r>
          </w:p>
        </w:tc>
        <w:tc>
          <w:tcPr>
            <w:tcW w:type="dxa" w:w="1296"/>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High</w:t>
            </w:r>
          </w:p>
        </w:tc>
        <w:tc>
          <w:tcPr>
            <w:tcW w:type="dxa" w:w="1440"/>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High</w:t>
            </w:r>
          </w:p>
        </w:tc>
        <w:tc>
          <w:tcPr>
            <w:tcW w:type="dxa" w:w="172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Dynamics</w:t>
            </w:r>
          </w:p>
        </w:tc>
      </w:tr>
    </w:tbl>
    <w:p>
      <w:pPr>
        <w:pStyle w:val="Heading1"/>
      </w:pPr>
      <w:r>
        <w:t>9. Time behavior and state windows</w:t>
      </w:r>
    </w:p>
    <w:p>
      <w:pPr/>
      <w:r>
        <w:t>The analyzer must run on at least three timescales.</w:t>
      </w:r>
    </w:p>
    <w:tbl>
      <w:tblPr>
        <w:tblW w:type="auto" w:w="0"/>
        <w:jc w:val="center"/>
        <w:tblLayout w:type="fixed"/>
        <w:tblLook w:firstColumn="1" w:firstRow="1" w:lastColumn="0" w:lastRow="0" w:noHBand="0" w:noVBand="1" w:val="04A0"/>
      </w:tblPr>
      <w:tblGrid>
        <w:gridCol w:w="1872"/>
        <w:gridCol w:w="1728"/>
        <w:gridCol w:w="3168"/>
        <w:gridCol w:w="3168"/>
      </w:tblGrid>
      <w:tr>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Window</w:t>
            </w:r>
          </w:p>
        </w:tc>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Typical size</w:t>
            </w:r>
          </w:p>
        </w:tc>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Drives</w:t>
            </w:r>
          </w:p>
        </w:tc>
        <w:tc>
          <w:tcPr>
            <w:tcW w:type="dxa" w:w="2484"/>
            <w:shd w:fill="DCEBF4"/>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pPr>
              <w:jc w:val="center"/>
            </w:pPr>
            <w:r>
              <w:rPr>
                <w:b/>
              </w:rPr>
              <w:t>Notes</w:t>
            </w:r>
          </w:p>
        </w:tc>
      </w:tr>
      <w:tr>
        <w:tc>
          <w:tcPr>
            <w:tcW w:type="dxa" w:w="187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Fast</w:t>
            </w:r>
          </w:p>
        </w:tc>
        <w:tc>
          <w:tcPr>
            <w:tcW w:type="dxa" w:w="172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200-500 ms feel</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Pulse trace, motion cues, fine visual responsiveness</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Never rewrite primary diagnosis at this rate.</w:t>
            </w:r>
          </w:p>
        </w:tc>
      </w:tr>
      <w:tr>
        <w:tc>
          <w:tcPr>
            <w:tcW w:type="dxa" w:w="187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Stable</w:t>
            </w:r>
          </w:p>
        </w:tc>
        <w:tc>
          <w:tcPr>
            <w:tcW w:type="dxa" w:w="172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3-8 s rolling weighted average</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Alignment score, diagnosis, fix list, severity</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This is the main decision window.</w:t>
            </w:r>
          </w:p>
        </w:tc>
      </w:tr>
      <w:tr>
        <w:tc>
          <w:tcPr>
            <w:tcW w:type="dxa" w:w="1872"/>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Session</w:t>
            </w:r>
          </w:p>
        </w:tc>
        <w:tc>
          <w:tcPr>
            <w:tcW w:type="dxa" w:w="172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Completed snapshots / recent history</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Last 10 sessions, compare captures, trend memory</w:t>
            </w:r>
          </w:p>
        </w:tc>
        <w:tc>
          <w:tcPr>
            <w:tcW w:type="dxa" w:w="3168"/>
            <w:tcBorders>
              <w:top w:val="single" w:sz="6" w:space="0" w:color="D8E2EA"/>
              <w:left w:val="single" w:sz="6" w:space="0" w:color="D8E2EA"/>
              <w:bottom w:val="single" w:sz="6" w:space="0" w:color="D8E2EA"/>
              <w:right w:val="single" w:sz="6" w:space="0" w:color="D8E2EA"/>
            </w:tcBorders>
            <w:tcMar>
              <w:top w:w="80" w:type="dxa"/>
              <w:start w:w="110" w:type="dxa"/>
              <w:bottom w:w="80" w:type="dxa"/>
              <w:end w:w="110" w:type="dxa"/>
            </w:tcMar>
          </w:tcPr>
          <w:p>
            <w:r>
              <w:t>Updates rarely; safe to render lazily.</w:t>
            </w:r>
          </w:p>
        </w:tc>
      </w:tr>
    </w:tbl>
    <w:p>
      <w:pPr>
        <w:pStyle w:val="Heading1"/>
      </w:pPr>
      <w:r>
        <w:t>10. Mode behavior</w:t>
      </w:r>
    </w:p>
    <w:p>
      <w:pPr/>
      <w:r>
        <w:t>Analyze, Reference, and Compare must not be skin-deep label changes. Each mode answers a different question.</w:t>
      </w:r>
    </w:p>
    <w:p>
      <w:pPr>
        <w:pStyle w:val="Heading2"/>
      </w:pPr>
      <w:r>
        <w:t>Analyze mode</w:t>
      </w:r>
    </w:p>
    <w:p>
      <w:pPr/>
      <w:r>
        <w:t>How is the current live mix behaving on its own? Use a genre or corridor target if no direct reference is loaded. Keep fix list active and live motion emphasized.</w:t>
      </w:r>
    </w:p>
    <w:p>
      <w:pPr>
        <w:pStyle w:val="Heading2"/>
      </w:pPr>
      <w:r>
        <w:t>Reference mode</w:t>
      </w:r>
    </w:p>
    <w:p>
      <w:pPr/>
      <w:r>
        <w:t>How does the live mix compare to the chosen target profile? Enable ghost ring, show band differences against reference, and anchor fixes to target mismatch.</w:t>
      </w:r>
    </w:p>
    <w:p>
      <w:pPr>
        <w:pStyle w:val="Heading2"/>
      </w:pPr>
      <w:r>
        <w:t>Compare mode</w:t>
      </w:r>
    </w:p>
    <w:p>
      <w:pPr/>
      <w:r>
        <w:t>How does Mix A differ from Mix B? Show directional delta statements first. Only use good/bad language when one side is explicitly the target.</w:t>
      </w:r>
    </w:p>
    <w:p>
      <w:pPr>
        <w:pStyle w:val="Heading1"/>
      </w:pPr>
      <w:r>
        <w:t>11. Detailed panel rules</w:t>
      </w:r>
    </w:p>
    <w:p>
      <w:pPr>
        <w:pStyle w:val="Heading2"/>
      </w:pPr>
      <w:r>
        <w:t>11.1 Measure scales</w:t>
      </w:r>
    </w:p>
    <w:p>
      <w:pPr/>
      <w:r>
        <w:t>Each row must show alignment first, then raw metric context, then target miss language if a target exists.</w:t>
      </w:r>
    </w:p>
    <w:p>
      <w:pPr>
        <w:pStyle w:val="ListBullet"/>
        <w:ind w:left="0"/>
      </w:pPr>
      <w:r>
        <w:t>Tone: Alignment % | Tilt value | Balance value | target miss summary</w:t>
      </w:r>
    </w:p>
    <w:p>
      <w:pPr>
        <w:pStyle w:val="ListBullet"/>
        <w:ind w:left="0"/>
      </w:pPr>
      <w:r>
        <w:t>Stereo: Alignment % | Width | Correlation | side deficit summary</w:t>
      </w:r>
    </w:p>
    <w:p>
      <w:pPr>
        <w:pStyle w:val="ListBullet"/>
        <w:ind w:left="0"/>
      </w:pPr>
      <w:r>
        <w:t>Loudness: Alignment % | ST LUFS | RMS | TP</w:t>
      </w:r>
    </w:p>
    <w:p>
      <w:pPr>
        <w:pStyle w:val="ListBullet"/>
        <w:ind w:left="0"/>
      </w:pPr>
      <w:r>
        <w:t>Dynamics: Alignment % | Crest | Transient density | motion summary</w:t>
      </w:r>
    </w:p>
    <w:p>
      <w:pPr>
        <w:pStyle w:val="Heading2"/>
      </w:pPr>
      <w:r>
        <w:t>11.2 Spatial field + mono safety</w:t>
      </w:r>
    </w:p>
    <w:p>
      <w:pPr/>
      <w:r>
        <w:t>Rename or frame the current W/X/Y/Z panel as Spatial Field + Mono Safety. Make the legend explicit: cyan shape = live distribution, green contour = reference distribution, lower bar = correlation / mono safety.</w:t>
      </w:r>
    </w:p>
    <w:p>
      <w:pPr/>
      <w:r>
        <w:t>This panel should feed the issue engine directly. If center dominance exceeds the width corridor, the stereo cause engine can cite that fact.</w:t>
      </w:r>
    </w:p>
    <w:p>
      <w:pPr>
        <w:pStyle w:val="Heading2"/>
      </w:pPr>
      <w:r>
        <w:t>11.3 Session charts</w:t>
      </w:r>
    </w:p>
    <w:p>
      <w:pPr/>
      <w:r>
        <w:t>Session charts are useful, but they do not need high refresh. Update them slowly and render them cheaply. Never let session history redraw at the same cadence as the live Halo.</w:t>
      </w:r>
    </w:p>
    <w:p>
      <w:r>
        <w:br w:type="page"/>
      </w:r>
    </w:p>
    <w:p>
      <w:pPr>
        <w:pStyle w:val="Heading1"/>
      </w:pPr>
      <w:r>
        <w:t>12. UX and usability polish</w:t>
      </w:r>
    </w:p>
    <w:p>
      <w:pPr/>
      <w:r>
        <w:t>A polished analyzer is not only accurate; it must also teach the user how to read it without drowning them.</w:t>
      </w:r>
    </w:p>
    <w:p>
      <w:pPr>
        <w:pStyle w:val="Heading2"/>
      </w:pPr>
      <w:r>
        <w:t>12.1 Comprehension rules</w:t>
      </w:r>
    </w:p>
    <w:p>
      <w:pPr>
        <w:pStyle w:val="ListBullet"/>
        <w:ind w:left="0"/>
      </w:pPr>
      <w:r>
        <w:t>Every major visual needs one fixed meaning. Never reuse a shape for both raw activity and interpreted alignment.</w:t>
      </w:r>
    </w:p>
    <w:p>
      <w:pPr>
        <w:pStyle w:val="ListBullet"/>
        <w:ind w:left="0"/>
      </w:pPr>
      <w:r>
        <w:t>Keep the center message human-readable. Users should understand the current problem in under one second.</w:t>
      </w:r>
    </w:p>
    <w:p>
      <w:pPr>
        <w:pStyle w:val="ListBullet"/>
        <w:ind w:left="0"/>
      </w:pPr>
      <w:r>
        <w:t>Make the right-side detail panels support the Halo instead of competing with it.</w:t>
      </w:r>
    </w:p>
    <w:p>
      <w:pPr>
        <w:pStyle w:val="ListBullet"/>
        <w:ind w:left="0"/>
      </w:pPr>
      <w:r>
        <w:t>Use consistent wording across the fix list, compare mode, tooltips, and assistant responses.</w:t>
      </w:r>
    </w:p>
    <w:p>
      <w:pPr>
        <w:pStyle w:val="Heading2"/>
      </w:pPr>
      <w:r>
        <w:t>12.2 Ease-of-use recommendations</w:t>
      </w:r>
    </w:p>
    <w:p>
      <w:pPr>
        <w:pStyle w:val="ListBullet"/>
        <w:ind w:left="0"/>
      </w:pPr>
      <w:r>
        <w:t>Add a one-line inline legend under the Halo the first time the plugin opens: Alignment Score + dominant issue + domain rings.</w:t>
      </w:r>
    </w:p>
    <w:p>
      <w:pPr>
        <w:pStyle w:val="ListBullet"/>
        <w:ind w:left="0"/>
      </w:pPr>
      <w:r>
        <w:t>Provide hover tooltips or a help overlay that explains each domain in plain language.</w:t>
      </w:r>
    </w:p>
    <w:p>
      <w:pPr>
        <w:pStyle w:val="ListBullet"/>
        <w:ind w:left="0"/>
      </w:pPr>
      <w:r>
        <w:t>Expose a Compact and Detailed view. Compact keeps the Halo, domain scales, stereo field, and top fix only. Detailed expands session history, compare cards, and assistant tools.</w:t>
      </w:r>
    </w:p>
    <w:p>
      <w:pPr>
        <w:pStyle w:val="ListBullet"/>
        <w:ind w:left="0"/>
      </w:pPr>
      <w:r>
        <w:t>Move AI/provider setup out of the main analysis surface into a drawer, assistant tab, or settings panel.</w:t>
      </w:r>
    </w:p>
    <w:p>
      <w:pPr>
        <w:pStyle w:val="ListBullet"/>
        <w:ind w:left="0"/>
      </w:pPr>
      <w:r>
        <w:t>Use one action-focused verb for each next step: Add, Trim, Ease, Control, Widen, Rebuild, Restore.</w:t>
      </w:r>
    </w:p>
    <w:p>
      <w:pPr>
        <w:pStyle w:val="Heading2"/>
      </w:pPr>
      <w:r>
        <w:t>12.3 Cognitive hierarchy</w:t>
      </w:r>
    </w:p>
    <w:p>
      <w:pPr/>
      <w:r>
        <w:t>The user's eye should land in this order: center diagnosis -&gt; score -&gt; weakest domain ring -&gt; detail panel -&gt; top fix. If the UI draws attention to setup plumbing or long text before the diagnosis, the hierarchy is wrong.</w:t>
      </w:r>
    </w:p>
    <w:p>
      <w:pPr>
        <w:pStyle w:val="Heading2"/>
      </w:pPr>
      <w:r>
        <w:t>12.4 Positive states</w:t>
      </w:r>
    </w:p>
    <w:p>
      <w:pPr/>
      <w:r>
        <w:t>The plugin should acknowledge when the mix is close. Positive states such as Good Match, Close To Reference, or Mono-Safe / Width Limited build trust and keep the analyzer from sounding like a perpetual critic.</w:t>
      </w:r>
    </w:p>
    <w:p>
      <w:pPr>
        <w:pStyle w:val="Heading1"/>
      </w:pPr>
      <w:r>
        <w:t>13. Performance and routing guardrails</w:t>
      </w:r>
    </w:p>
    <w:p>
      <w:pPr/>
      <w:r>
        <w:t>The Halo will only feel premium if the UI and engine are staged correctly.</w:t>
      </w:r>
    </w:p>
    <w:p>
      <w:pPr>
        <w:pStyle w:val="ListBullet"/>
        <w:ind w:left="0"/>
      </w:pPr>
      <w:r>
        <w:t>Do not route UI paint directly from live DSP buffers.</w:t>
      </w:r>
    </w:p>
    <w:p>
      <w:pPr>
        <w:pStyle w:val="ListBullet"/>
        <w:ind w:left="0"/>
      </w:pPr>
      <w:r>
        <w:t>Use immutable state snapshots between the decision engine and UI.</w:t>
      </w:r>
    </w:p>
    <w:p>
      <w:pPr>
        <w:pStyle w:val="ListBullet"/>
        <w:ind w:left="0"/>
      </w:pPr>
      <w:r>
        <w:t>Defer optional backend startup (AI, cloud checks, provider discovery, telemetry) until after the editor is visible or until the user opens the assistant.</w:t>
      </w:r>
    </w:p>
    <w:p>
      <w:pPr>
        <w:pStyle w:val="ListBullet"/>
        <w:ind w:left="0"/>
      </w:pPr>
      <w:r>
        <w:t>Keep analysis state bounded: use ring buffers and capped histories instead of ever-growing vectors.</w:t>
      </w:r>
    </w:p>
    <w:p>
      <w:pPr>
        <w:pStyle w:val="ListBullet"/>
        <w:ind w:left="0"/>
      </w:pPr>
      <w:r>
        <w:t>Cache static graphics and geometry. Recompute only the changing values, not entire decorative layers.</w:t>
      </w:r>
    </w:p>
    <w:p>
      <w:pPr>
        <w:pStyle w:val="ListBullet"/>
        <w:ind w:left="0"/>
      </w:pPr>
      <w:r>
        <w:t>Separate fast-repainting components from slow panels so maximize mode does not trigger whole-window redraw storms.</w:t>
      </w:r>
    </w:p>
    <w:tbl>
      <w:tblPr>
        <w:tblW w:type="auto" w:w="0"/>
        <w:jc w:val="center"/>
        <w:tblLook w:firstColumn="1" w:firstRow="1" w:lastColumn="0" w:lastRow="0" w:noHBand="0" w:noVBand="1" w:val="04A0"/>
      </w:tblPr>
      <w:tblGrid>
        <w:gridCol w:w="9936"/>
      </w:tblGrid>
      <w:tr>
        <w:tc>
          <w:tcPr>
            <w:tcW w:type="dxa" w:w="9936"/>
            <w:shd w:fill="EAF4F7"/>
            <w:tcBorders>
              <w:top w:val="single" w:sz="6" w:space="0" w:color="C7D7E2"/>
              <w:left w:val="single" w:sz="6" w:space="0" w:color="C7D7E2"/>
              <w:bottom w:val="single" w:sz="6" w:space="0" w:color="C7D7E2"/>
              <w:right w:val="single" w:sz="6" w:space="0" w:color="C7D7E2"/>
            </w:tcBorders>
            <w:tcMar>
              <w:top w:w="100" w:type="dxa"/>
              <w:start w:w="130" w:type="dxa"/>
              <w:bottom w:w="100" w:type="dxa"/>
              <w:end w:w="130" w:type="dxa"/>
            </w:tcMar>
          </w:tcPr>
          <w:p>
            <w:r>
              <w:rPr>
                <w:b/>
              </w:rPr>
              <w:t xml:space="preserve">Minimum routing contract: </w:t>
            </w:r>
            <w:r>
              <w:t>DSP analyzers write to feature stores. Decision engine reads feature stores and writes HaloState. UI consumes HaloState only. Assistant and cloud features consume HaloState plus user actions, never the raw DSP path.</w:t>
            </w:r>
          </w:p>
        </w:tc>
      </w:tr>
    </w:tbl>
    <w:p>
      <w:pPr>
        <w:pStyle w:val="Heading1"/>
      </w:pPr>
      <w:r>
        <w:t>14. Suggested data structures and implementation map</w:t>
      </w:r>
    </w:p>
    <w:p>
      <w:pPr/>
      <w:r>
        <w:t>These structures are sufficient to freeze meaning before heavy UI refactoring.</w:t>
      </w:r>
    </w:p>
    <w:tbl>
      <w:tblPr>
        <w:tblW w:type="auto" w:w="0"/>
        <w:tblLook w:firstColumn="1" w:firstRow="1" w:lastColumn="0" w:lastRow="0" w:noHBand="0" w:noVBand="1" w:val="04A0"/>
      </w:tblPr>
      <w:tblGrid>
        <w:gridCol w:w="9936"/>
      </w:tblGrid>
      <w:tr>
        <w:tc>
          <w:tcPr>
            <w:tcW w:type="dxa" w:w="9936"/>
            <w:shd w:fill="F7F9FB"/>
            <w:tcBorders>
              <w:top w:val="single" w:sz="6" w:space="0" w:color="D1D9E0"/>
              <w:left w:val="single" w:sz="6" w:space="0" w:color="D1D9E0"/>
              <w:bottom w:val="single" w:sz="6" w:space="0" w:color="D1D9E0"/>
              <w:right w:val="single" w:sz="6" w:space="0" w:color="D1D9E0"/>
            </w:tcBorders>
            <w:tcMar>
              <w:top w:w="120" w:type="dxa"/>
              <w:start w:w="120" w:type="dxa"/>
              <w:bottom w:w="120" w:type="dxa"/>
              <w:end w:w="120" w:type="dxa"/>
            </w:tcMar>
          </w:tcPr>
          <w:p>
            <w:r>
              <w:rPr>
                <w:rFonts w:ascii="Consolas" w:hAnsi="Consolas" w:eastAsia="Consolas"/>
                <w:sz w:val="16"/>
              </w:rPr>
              <w:t>enum class AnalysisMode { Analyze, Reference, Compare };</w:t>
              <w:br/>
              <w:t>enum class Domain { Tone, Stereo, Loudness, Dynamics };</w:t>
              <w:br/>
              <w:t>enum class Severity { Minor, Moderate, High, Critical };</w:t>
              <w:br/>
              <w:t>enum class Confidence { Low, Moderate, High };</w:t>
              <w:br/>
              <w:br/>
              <w:t>struct DomainAlignment {</w:t>
              <w:br/>
              <w:t xml:space="preserve">    float error01;</w:t>
              <w:br/>
              <w:t xml:space="preserve">    float alignment01;</w:t>
              <w:br/>
              <w:t xml:space="preserve">    Severity severity;</w:t>
              <w:br/>
              <w:t xml:space="preserve">    Confidence confidence;</w:t>
              <w:br/>
              <w:t xml:space="preserve">    float rawPrimaryMetric;</w:t>
              <w:br/>
              <w:t xml:space="preserve">    float rawSecondaryMetric;</w:t>
              <w:br/>
              <w:t xml:space="preserve">    std::string summary;</w:t>
              <w:br/>
              <w:t>};</w:t>
              <w:br/>
              <w:br/>
              <w:t>struct FixItem {</w:t>
              <w:br/>
              <w:t xml:space="preserve">    std::string title;</w:t>
              <w:br/>
              <w:t xml:space="preserve">    std::string cause;</w:t>
              <w:br/>
              <w:t xml:space="preserve">    std::string nextStep;</w:t>
              <w:br/>
              <w:t xml:space="preserve">    Severity severity;</w:t>
              <w:br/>
              <w:t xml:space="preserve">    Confidence confidence;</w:t>
              <w:br/>
              <w:t xml:space="preserve">    Domain impactDomain;</w:t>
              <w:br/>
              <w:t xml:space="preserve">    float priority;</w:t>
              <w:br/>
              <w:t>};</w:t>
              <w:br/>
              <w:br/>
              <w:t>struct HaloState {</w:t>
              <w:br/>
              <w:t xml:space="preserve">    AnalysisMode mode;</w:t>
              <w:br/>
              <w:t xml:space="preserve">    DomainAlignment tone;</w:t>
              <w:br/>
              <w:t xml:space="preserve">    DomainAlignment stereo;</w:t>
              <w:br/>
              <w:t xml:space="preserve">    DomainAlignment loudness;</w:t>
              <w:br/>
              <w:t xml:space="preserve">    DomainAlignment dynamics;</w:t>
              <w:br/>
              <w:t xml:space="preserve">    float totalAlignment01;</w:t>
              <w:br/>
              <w:t xml:space="preserve">    std::string primaryTitle;</w:t>
              <w:br/>
              <w:t xml:space="preserve">    std::string primaryCause;</w:t>
              <w:br/>
              <w:t xml:space="preserve">    Severity primarySeverity;</w:t>
              <w:br/>
              <w:t xml:space="preserve">    Confidence primaryConfidence;</w:t>
              <w:br/>
              <w:t xml:space="preserve">    std::vector&lt;FixItem&gt; rankedFixes;</w:t>
              <w:br/>
              <w:t>};</w:t>
            </w:r>
          </w:p>
        </w:tc>
      </w:tr>
    </w:tbl>
    <w:p>
      <w:pPr>
        <w:pStyle w:val="Heading1"/>
      </w:pPr>
      <w:r>
        <w:t>15. Implementation order</w:t>
      </w:r>
    </w:p>
    <w:p>
      <w:pPr/>
      <w:r>
        <w:t>Do the work in this order so the project stops drifting.</w:t>
      </w:r>
    </w:p>
    <w:p>
      <w:pPr>
        <w:pStyle w:val="ListNumber"/>
      </w:pPr>
      <w:r>
        <w:t>Freeze enums, thresholds, and shared HaloState structure.</w:t>
      </w:r>
    </w:p>
    <w:p>
      <w:pPr>
        <w:pStyle w:val="ListNumber"/>
      </w:pPr>
      <w:r>
        <w:t>Implement feature normalization and domain scoring.</w:t>
      </w:r>
    </w:p>
    <w:p>
      <w:pPr>
        <w:pStyle w:val="ListNumber"/>
      </w:pPr>
      <w:r>
        <w:t>Implement total Alignment Score calculation.</w:t>
      </w:r>
    </w:p>
    <w:p>
      <w:pPr>
        <w:pStyle w:val="ListNumber"/>
      </w:pPr>
      <w:r>
        <w:t>Implement issue ranking, severity, confidence, and Problem -&gt; Cause -&gt; Fix templates.</w:t>
      </w:r>
    </w:p>
    <w:p>
      <w:pPr>
        <w:pStyle w:val="ListNumber"/>
      </w:pPr>
      <w:r>
        <w:t>Bind Halo center and domain rings to alignment values only.</w:t>
      </w:r>
    </w:p>
    <w:p>
      <w:pPr>
        <w:pStyle w:val="ListNumber"/>
      </w:pPr>
      <w:r>
        <w:t>Bind measure scales and spatial field to the same state model.</w:t>
      </w:r>
    </w:p>
    <w:p>
      <w:pPr>
        <w:pStyle w:val="ListNumber"/>
      </w:pPr>
      <w:r>
        <w:t>Refactor Analyze, Reference, and Compare into distinct logic branches.</w:t>
      </w:r>
    </w:p>
    <w:p>
      <w:pPr>
        <w:pStyle w:val="ListNumber"/>
      </w:pPr>
      <w:r>
        <w:t>Move AI/provider controls out of the main analysis surface.</w:t>
      </w:r>
    </w:p>
    <w:p>
      <w:pPr>
        <w:pStyle w:val="ListNumber"/>
      </w:pPr>
      <w:r>
        <w:t>Optimize repaint regions and defer optional services.</w:t>
      </w:r>
    </w:p>
    <w:p>
      <w:pPr>
        <w:pStyle w:val="ListNumber"/>
      </w:pPr>
      <w:r>
        <w:t>Tune thresholds against known mixes and reference material.</w:t>
      </w:r>
    </w:p>
    <w:p>
      <w:pPr>
        <w:pStyle w:val="Heading1"/>
      </w:pPr>
      <w:r>
        <w:t>16. Validation checklist</w:t>
      </w:r>
    </w:p>
    <w:p>
      <w:pPr>
        <w:pStyle w:val="ListBullet"/>
        <w:ind w:left="0"/>
      </w:pPr>
      <w:r>
        <w:t>Same input should produce the same center diagnosis across all panels.</w:t>
      </w:r>
    </w:p>
    <w:p>
      <w:pPr>
        <w:pStyle w:val="ListBullet"/>
        <w:ind w:left="0"/>
      </w:pPr>
      <w:r>
        <w:t>A nearly mono mix should trigger stereo collapse only when side-energy evidence and correlation support it.</w:t>
      </w:r>
    </w:p>
    <w:p>
      <w:pPr>
        <w:pStyle w:val="ListBullet"/>
        <w:ind w:left="0"/>
      </w:pPr>
      <w:r>
        <w:t>Mono-safe low end should not be punished as a width failure.</w:t>
      </w:r>
    </w:p>
    <w:p>
      <w:pPr>
        <w:pStyle w:val="ListBullet"/>
        <w:ind w:left="0"/>
      </w:pPr>
      <w:r>
        <w:t>Stable diagnosis should not flap every few hundred milliseconds.</w:t>
      </w:r>
    </w:p>
    <w:p>
      <w:pPr>
        <w:pStyle w:val="ListBullet"/>
        <w:ind w:left="0"/>
      </w:pPr>
      <w:r>
        <w:t>Compare mode should express directional deltas, not generic good/bad language unless a target is chosen.</w:t>
      </w:r>
    </w:p>
    <w:p>
      <w:pPr>
        <w:pStyle w:val="ListBullet"/>
        <w:ind w:left="0"/>
      </w:pPr>
      <w:r>
        <w:t>Users should be able to explain what the center score means in one sentence after a short use session.</w:t>
      </w:r>
    </w:p>
    <w:p>
      <w:pPr>
        <w:pStyle w:val="ListBullet"/>
        <w:ind w:left="0"/>
      </w:pPr>
      <w:r>
        <w:t>The plugin must remain readable in compact size and not rely on the assistant panel for core comprehension.</w:t>
      </w:r>
    </w:p>
    <w:p>
      <w:pPr>
        <w:pStyle w:val="Heading1"/>
      </w:pPr>
      <w:r>
        <w:t>17. Final lock</w:t>
      </w:r>
    </w:p>
    <w:tbl>
      <w:tblPr>
        <w:tblW w:type="auto" w:w="0"/>
        <w:jc w:val="center"/>
        <w:tblLook w:firstColumn="1" w:firstRow="1" w:lastColumn="0" w:lastRow="0" w:noHBand="0" w:noVBand="1" w:val="04A0"/>
      </w:tblPr>
      <w:tblGrid>
        <w:gridCol w:w="9936"/>
      </w:tblGrid>
      <w:tr>
        <w:tc>
          <w:tcPr>
            <w:tcW w:type="dxa" w:w="9936"/>
            <w:shd w:fill="EAF4F7"/>
            <w:tcBorders>
              <w:top w:val="single" w:sz="6" w:space="0" w:color="C7D7E2"/>
              <w:left w:val="single" w:sz="6" w:space="0" w:color="C7D7E2"/>
              <w:bottom w:val="single" w:sz="6" w:space="0" w:color="C7D7E2"/>
              <w:right w:val="single" w:sz="6" w:space="0" w:color="C7D7E2"/>
            </w:tcBorders>
            <w:tcMar>
              <w:top w:w="100" w:type="dxa"/>
              <w:start w:w="130" w:type="dxa"/>
              <w:bottom w:w="100" w:type="dxa"/>
              <w:end w:w="130" w:type="dxa"/>
            </w:tcMar>
          </w:tcPr>
          <w:p>
            <w:r>
              <w:rPr>
                <w:b/>
              </w:rPr>
              <w:t xml:space="preserve">Locked definition: </w:t>
            </w:r>
            <w:r>
              <w:t>AIFR3D Halo is a weighted live-to-target alignment engine that converts tone, stereo, loudness, and dynamics deviations into a stable Alignment Score, a dominant diagnosis, domain-alignment rings, and ranked cause-based fixes.</w:t>
            </w:r>
          </w:p>
        </w:tc>
      </w:tr>
    </w:tbl>
    <w:p>
      <w:pPr/>
      <w:r>
        <w:t>Once this contract is implemented, all future UI and DSP decisions should be evaluated against it. If a new widget or metric does not reinforce the contract, it should not be on the main screen.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69"/>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102840"/>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w:hAnsi="Aptos" w:eastAsia="Aptos"/>
      <w:b/>
      <w:bCs/>
      <w:color w:val="185B80"/>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eastAsia="Aptos"/>
      <w:b/>
      <w:bCs/>
      <w:color w:val="3862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Title">
    <w:name w:val="Spec Title"/>
    <w:basedOn w:val="Normal"/>
    <w:pPr>
      <w:spacing w:after="160"/>
    </w:pPr>
    <w:rPr>
      <w:rFonts w:ascii="Aptos Display" w:hAnsi="Aptos Display" w:eastAsia="Aptos Display"/>
      <w:b/>
      <w:color w:val="102840"/>
      <w:sz w:val="48"/>
    </w:rPr>
  </w:style>
  <w:style w:type="paragraph" w:customStyle="1" w:styleId="SpecSubtitle">
    <w:name w:val="Spec Subtitle"/>
    <w:basedOn w:val="Normal"/>
    <w:pPr>
      <w:spacing w:after="120"/>
    </w:pPr>
    <w:rPr>
      <w:rFonts w:ascii="Aptos" w:hAnsi="Aptos" w:eastAsia="Aptos"/>
      <w:color w:val="465569"/>
      <w:sz w:val="23"/>
    </w:rPr>
  </w:style>
  <w:style w:type="paragraph" w:customStyle="1" w:styleId="Callout">
    <w:name w:val="Callout"/>
    <w:basedOn w:val="Normal"/>
    <w:rPr>
      <w:rFonts w:ascii="Aptos" w:hAnsi="Aptos" w:eastAsia="Aptos"/>
      <w:sz w:val="20"/>
    </w:rPr>
  </w:style>
  <w:style w:type="paragraph" w:customStyle="1" w:styleId="Small">
    <w:name w:val="Small"/>
    <w:basedOn w:val="Normal"/>
    <w:rPr>
      <w:rFonts w:ascii="Aptos" w:hAnsi="Aptos" w:eastAsia="Aptos"/>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