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2545"/>
          <w:sz w:val="46"/>
          <w:szCs w:val="46"/>
        </w:rPr>
        <w:t xml:space="preserve">CSI473 Laboratory 2 Hand-in</w:t>
      </w:r>
    </w:p>
    <w:p>
      <w:pPr>
        <w:spacing w:after="200"/>
      </w:pPr>
      <w:r>
        <w:rPr>
          <w:color w:val="555555"/>
          <w:sz w:val="26"/>
          <w:szCs w:val="26"/>
        </w:rPr>
        <w:t xml:space="preserve">Campus Concierge - Project problem selection, stakeholders, scope and system context</w:t>
      </w:r>
    </w:p>
    <w:p>
      <w:pPr>
        <w:spacing w:after="40"/>
      </w:pPr>
      <w:r>
        <w:rPr>
          <w:b/>
          <w:bCs/>
        </w:rPr>
        <w:t xml:space="preserve">Repository: </w:t>
      </w:r>
      <w:r>
        <w:t xml:space="preserve">CampusConcierge-</w:t>
      </w:r>
    </w:p>
    <w:p>
      <w:pPr>
        <w:spacing w:after="40"/>
      </w:pPr>
      <w:r>
        <w:rPr>
          <w:b/>
          <w:bCs/>
        </w:rPr>
        <w:t xml:space="preserve">Evidence: </w:t>
      </w:r>
      <w:r>
        <w:t xml:space="preserve">Project Problem Proposal and Approval Form, problem statement and scope, stakeholder table, system-context diagram, decision record D-001</w:t>
      </w:r>
    </w:p>
    <w:p>
      <w:pPr>
        <w:spacing w:after="40"/>
      </w:pPr>
      <w:r>
        <w:rPr>
          <w:b/>
          <w:bCs/>
        </w:rPr>
        <w:t xml:space="preserve">Status: </w:t>
      </w:r>
      <w:r>
        <w:t xml:space="preserve">Approved with minor conditions (six conditions issued, all addressed; see docs/lecturer-feedback.md)</w:t>
      </w:r>
    </w:p>
    <w:p>
      <w:pPr>
        <w:spacing w:after="120" w:before="260"/>
      </w:pPr>
      <w:r>
        <w:rPr>
          <w:b/>
          <w:bCs/>
          <w:color w:val="2E74B5"/>
          <w:sz w:val="32"/>
          <w:szCs w:val="32"/>
        </w:rPr>
        <w:t xml:space="preserve">Problem statement</w:t>
      </w:r>
    </w:p>
    <w:p>
      <w:pPr>
        <w:spacing w:after="140"/>
      </w:pPr>
      <w:r>
        <w:t xml:space="preserve">Students at the University of Botswana regularly need small errands run: collecting a parcel from a courier point, standing in a long registration or bank queue, buying an item in town, or printing and submitting a document before a deadline. Students currently ask around informally, usually in residence WhatsApp groups or by word of mouth, and this works unevenly: requests go unanswered for hours, helpers are not always trusted, and once someone agrees there is no shared record of the task, price or deadline. Campus Concierge gives students one place to post an errand, get matched with a vetted helper, and keep a traceable record of the deal.</w:t>
      </w:r>
    </w:p>
    <w:p>
      <w:pPr>
        <w:spacing w:after="120" w:before="260"/>
      </w:pPr>
      <w:r>
        <w:rPr>
          <w:b/>
          <w:bCs/>
          <w:color w:val="2E74B5"/>
          <w:sz w:val="32"/>
          <w:szCs w:val="32"/>
        </w:rPr>
        <w:t xml:space="preserve">Goal and objectives</w:t>
      </w:r>
    </w:p>
    <w:p>
      <w:pPr>
        <w:spacing w:after="140"/>
      </w:pPr>
      <w:r>
        <w:rPr>
          <w:b/>
          <w:bCs/>
        </w:rPr>
        <w:t xml:space="preserve">Goal: </w:t>
      </w:r>
      <w:r>
        <w:t xml:space="preserve">Enable students to find a trustworthy peer helper for a campus errand and keep a shared, traceable record of the agreed deal, so disputes and unresolved no-shows become rare rather than routine.</w:t>
      </w:r>
    </w:p>
    <w:p>
      <w:pPr>
        <w:pStyle w:val="ListParagraph"/>
        <w:numPr>
          <w:ilvl w:val="0"/>
          <w:numId w:val="1"/>
        </w:numPr>
        <w:spacing w:after="60"/>
      </w:pPr>
      <w:r>
        <w:t xml:space="preserve">Objective 1: In controlled prototype test scenarios, correctly match at least 80% of scenario cases with an eligible helper within the 10-minute acceptance window.</w:t>
      </w:r>
    </w:p>
    <w:p>
      <w:pPr>
        <w:pStyle w:val="ListParagraph"/>
        <w:numPr>
          <w:ilvl w:val="0"/>
          <w:numId w:val="1"/>
        </w:numPr>
        <w:spacing w:after="60"/>
      </w:pPr>
      <w:r>
        <w:t xml:space="preserve">Objective 2: Ensure at least 90% of matched deals have an explicit, timestamped record of task category, standard price and deadline before work starts.</w:t>
      </w:r>
    </w:p>
    <w:p>
      <w:pPr>
        <w:pStyle w:val="ListParagraph"/>
        <w:numPr>
          <w:ilvl w:val="0"/>
          <w:numId w:val="1"/>
        </w:numPr>
        <w:spacing w:after="60"/>
      </w:pPr>
      <w:r>
        <w:t xml:space="preserve">Objective 3: Provide a dispute-report workflow that captures enough evidence to reconstruct at least 90% of test dispute scenarios.</w:t>
      </w:r>
    </w:p>
    <w:p>
      <w:pPr>
        <w:spacing w:after="120" w:before="260"/>
      </w:pPr>
      <w:r>
        <w:rPr>
          <w:b/>
          <w:bCs/>
          <w:color w:val="2E74B5"/>
          <w:sz w:val="32"/>
          <w:szCs w:val="32"/>
        </w:rPr>
        <w:t xml:space="preserve">Stakeholders</w:t>
      </w:r>
    </w:p>
    <w:p>
      <w:pPr>
        <w:pStyle w:val="ListParagraph"/>
        <w:numPr>
          <w:ilvl w:val="0"/>
          <w:numId w:val="1"/>
        </w:numPr>
        <w:spacing w:after="60"/>
      </w:pPr>
      <w:r>
        <w:t xml:space="preserve">Requester (student needing an errand run)</w:t>
      </w:r>
    </w:p>
    <w:p>
      <w:pPr>
        <w:pStyle w:val="ListParagraph"/>
        <w:numPr>
          <w:ilvl w:val="0"/>
          <w:numId w:val="1"/>
        </w:numPr>
        <w:spacing w:after="60"/>
      </w:pPr>
      <w:r>
        <w:t xml:space="preserve">Helper (vetted student registered to run errands)</w:t>
      </w:r>
    </w:p>
    <w:p>
      <w:pPr>
        <w:pStyle w:val="ListParagraph"/>
        <w:numPr>
          <w:ilvl w:val="0"/>
          <w:numId w:val="1"/>
        </w:numPr>
        <w:spacing w:after="60"/>
      </w:pPr>
      <w:r>
        <w:t xml:space="preserve">App admin (helper vetting and assignment)</w:t>
      </w:r>
    </w:p>
    <w:p>
      <w:pPr>
        <w:pStyle w:val="ListParagraph"/>
        <w:numPr>
          <w:ilvl w:val="0"/>
          <w:numId w:val="1"/>
        </w:numPr>
        <w:spacing w:after="60"/>
      </w:pPr>
      <w:r>
        <w:t xml:space="preserve">Residence / hall administration</w:t>
      </w:r>
    </w:p>
    <w:p>
      <w:pPr>
        <w:pStyle w:val="ListParagraph"/>
        <w:numPr>
          <w:ilvl w:val="0"/>
          <w:numId w:val="1"/>
        </w:numPr>
        <w:spacing w:after="60"/>
      </w:pPr>
      <w:r>
        <w:t xml:space="preserve">University IT (no direct engagement this semester, per D-007; see docs/stakeholders.md)</w:t>
      </w:r>
    </w:p>
    <w:p>
      <w:pPr>
        <w:spacing w:after="140"/>
      </w:pPr>
      <w:r>
        <w:t xml:space="preserve">Full need/concern/evidence detail for each stakeholder is in docs/stakeholders.md.</w:t>
      </w:r>
    </w:p>
    <w:p>
      <w:pPr>
        <w:spacing w:after="120" w:before="260"/>
      </w:pPr>
      <w:r>
        <w:rPr>
          <w:b/>
          <w:bCs/>
          <w:color w:val="2E74B5"/>
          <w:sz w:val="32"/>
          <w:szCs w:val="32"/>
        </w:rPr>
        <w:t xml:space="preserve">Scope</w:t>
      </w:r>
    </w:p>
    <w:p>
      <w:pPr>
        <w:spacing w:after="140"/>
      </w:pPr>
      <w:r>
        <w:t xml:space="preserve">In scope: posting an errand under one of two approved categories (Parcel Collection, Non-assessed Document Printing/Collection), vetting and registering helpers, auto-assignment, recording task/category/price/deadline, and dispute reporting.</w:t>
      </w:r>
    </w:p>
    <w:p>
      <w:pPr>
        <w:spacing w:after="140"/>
      </w:pPr>
      <w:r>
        <w:t xml:space="preserve">Out of scope: real payment processing, per-errand price negotiation, open self-signup as a helper, university disciplinary adjudication, and prohibited errand types (bank/identity representation, assessed academic work, confidential documents, restricted goods, high-value purchases, unsafe off-campus travel, impersonation). Full detail in docs/problem-and-scope.md.</w:t>
      </w:r>
    </w:p>
    <w:p>
      <w:pPr>
        <w:spacing w:after="120" w:before="260"/>
      </w:pPr>
      <w:r>
        <w:rPr>
          <w:b/>
          <w:bCs/>
          <w:color w:val="2E74B5"/>
          <w:sz w:val="32"/>
          <w:szCs w:val="32"/>
        </w:rPr>
        <w:t xml:space="preserve">System context</w:t>
      </w:r>
    </w:p>
    <w:p>
      <w:pPr>
        <w:spacing w:after="140"/>
      </w:pPr>
      <w:r>
        <w:t xml:space="preserve">A Level 0 context diagram (models/context/level-0-context.drawio) shows Requester, Helper, Administrator, Identity Service and Notification Service as external entities around a single Campus Concierge process, with labelled information flows and no internal components shown.</w:t>
      </w:r>
    </w:p>
    <w:p>
      <w:pPr>
        <w:spacing w:after="120" w:before="260"/>
      </w:pPr>
      <w:r>
        <w:rPr>
          <w:b/>
          <w:bCs/>
          <w:color w:val="2E74B5"/>
          <w:sz w:val="32"/>
          <w:szCs w:val="32"/>
        </w:rPr>
        <w:t xml:space="preserve">Exit record</w:t>
      </w:r>
    </w:p>
    <w:p>
      <w:pPr>
        <w:spacing w:after="140"/>
      </w:pPr>
      <w:r>
        <w:rPr>
          <w:b/>
          <w:bCs/>
        </w:rPr>
        <w:t xml:space="preserve">Evidence that changed our mind: </w:t>
      </w:r>
      <w:r>
        <w:t xml:space="preserve">The system boundary needed to explicitly exclude payment processing and university identity management, since building either would require compliance and integration work beyond a semester project.</w:t>
      </w:r>
    </w:p>
    <w:p>
      <w:pPr>
        <w:spacing w:after="140"/>
      </w:pPr>
      <w:r>
        <w:rPr>
          <w:b/>
          <w:bCs/>
        </w:rPr>
        <w:t xml:space="preserve">Decision made: </w:t>
      </w:r>
      <w:r>
        <w:t xml:space="preserve">Campus Concierge delegates authentication and does not process payments; only a category's standard price is recorded as data (D-005, which absorbed the earlier decisions/D-001.md before the design-record cleanup).</w:t>
      </w:r>
    </w:p>
    <w:p>
      <w:pPr>
        <w:spacing w:after="140"/>
      </w:pPr>
      <w:r>
        <w:rPr>
          <w:b/>
          <w:bCs/>
        </w:rPr>
        <w:t xml:space="preserve">Consequence accepted: </w:t>
      </w:r>
      <w:r>
        <w:t xml:space="preserve">The system cannot enforce that payment was actually made, so trust rests on the deal record and dispute process rather than automatic confirmation.</w:t>
      </w:r>
    </w:p>
    <w:p>
      <w:pPr>
        <w:spacing w:after="140"/>
      </w:pPr>
      <w:r>
        <w:rPr>
          <w:b/>
          <w:bCs/>
        </w:rPr>
        <w:t xml:space="preserve">Next uncertainty: </w:t>
      </w:r>
      <w:r>
        <w:t xml:space="preserve">How reliably a mocked identity layer (D-007) can stand in for real university login before this goes beyond a semester project.</w:t>
      </w:r>
    </w:p>
    <w:p>
      <w:pPr>
        <w:spacing w:after="120" w:before="260"/>
      </w:pPr>
      <w:r>
        <w:rPr>
          <w:b/>
          <w:bCs/>
          <w:color w:val="2E74B5"/>
          <w:sz w:val="32"/>
          <w:szCs w:val="32"/>
        </w:rPr>
        <w:t xml:space="preserve">Lecturer feedback and response</w:t>
      </w:r>
    </w:p>
    <w:p>
      <w:pPr>
        <w:spacing w:after="140"/>
      </w:pPr>
      <w:r>
        <w:t xml:space="preserve">The proposal was approved with six conditions (R1-R6): restrict to two low-risk categories, prohibit unsafe/high-risk errand types, define timeout/reassignment/cancellation/no-show/dispute rules, no payment processing, evaluate via controlled scenarios rather than a real pilot, and submit a Level 0 context diagram.</w:t>
      </w:r>
    </w:p>
    <w:p>
      <w:pPr>
        <w:spacing w:after="140"/>
      </w:pPr>
      <w:r>
        <w:t xml:space="preserve">All six are addressed in design-record/001 through 007 and models/context/level-0-context.drawio. The full condition-to-artifact mapping is in docs/lecturer-feedback.md.</w:t>
      </w:r>
    </w:p>
    <w:p>
      <w:pPr>
        <w:spacing w:after="120" w:before="260"/>
      </w:pPr>
      <w:r>
        <w:rPr>
          <w:b/>
          <w:bCs/>
          <w:color w:val="2E74B5"/>
          <w:sz w:val="32"/>
          <w:szCs w:val="32"/>
        </w:rPr>
        <w:t xml:space="preserve">Repository evidence</w:t>
      </w:r>
    </w:p>
    <w:p>
      <w:pPr>
        <w:spacing w:after="140"/>
      </w:pPr>
      <w:r>
        <w:t xml:space="preserve">Included: completed Project Problem Proposal and Approval Form (docs/project-proposal-and-approval.docx); problem statement, scope, assumptions and constraints (docs/problem-and-scope.md); stakeholder table (docs/stakeholders.md); editable system-context diagram (models/context/level-0-context.drawio); decision records D-001 through D-007 (design-record/); functional requirements (docs/functional-requirements.md); use-case diagram and scenario (models/use-cases/).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2026-08-21T08:34:23.052Z</dcterms:created>
  <dcterms:modified xsi:type="dcterms:W3CDTF">2026-08-21T08:34:23.052Z</dcterms:modified>
</cp:coreProperties>
</file>

<file path=docProps/custom.xml><?xml version="1.0" encoding="utf-8"?>
<Properties xmlns="http://schemas.openxmlformats.org/officeDocument/2006/custom-properties" xmlns:vt="http://schemas.openxmlformats.org/officeDocument/2006/docPropsVTypes"/>
</file>