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pBdr/>
        <w:spacing w:before="600" w:after="0"/>
        <w:ind w:hanging="0"/>
        <w:jc w:val="left"/>
        <w:rPr>
          <w:color w:val="000000"/>
        </w:rPr>
      </w:pPr>
      <w:bookmarkStart w:id="0" w:name="_heading=h.gjdgxs"/>
      <w:bookmarkEnd w:id="0"/>
      <w:r>
        <w:rPr/>
        <w:t>УДК 532.685</w:t>
      </w:r>
    </w:p>
    <w:p>
      <w:pPr>
        <w:pStyle w:val="Normal"/>
        <w:keepNext w:val="true"/>
        <w:keepLines/>
        <w:pBdr/>
        <w:spacing w:before="160" w:after="60"/>
        <w:ind w:hanging="0"/>
        <w:jc w:val="center"/>
        <w:rPr>
          <w:b/>
          <w:color w:val="000000"/>
          <w:sz w:val="24"/>
          <w:highlight w:val="white"/>
        </w:rPr>
      </w:pPr>
      <w:bookmarkStart w:id="1" w:name="_heading=h.30j0zll"/>
      <w:bookmarkEnd w:id="1"/>
      <w:r>
        <w:rPr>
          <w:b/>
          <w:sz w:val="24"/>
          <w:highlight w:val="white"/>
        </w:rPr>
        <w:t>Моделирование процессов вытеснения в пористых средах с периодической неоднородностью</w:t>
      </w:r>
    </w:p>
    <w:p>
      <w:pPr>
        <w:pStyle w:val="Normal"/>
        <w:keepNext w:val="true"/>
        <w:pBdr/>
        <w:spacing w:before="240" w:after="0"/>
        <w:ind w:hanging="0"/>
        <w:jc w:val="center"/>
        <w:rPr>
          <w:b/>
          <w:i/>
          <w:i/>
          <w:color w:val="000000"/>
        </w:rPr>
      </w:pPr>
      <w:bookmarkStart w:id="2" w:name="_heading=h.1fob9te"/>
      <w:bookmarkEnd w:id="2"/>
      <w:r>
        <w:rPr>
          <w:b/>
          <w:i/>
        </w:rPr>
        <w:t>К. Шаббир</w:t>
      </w:r>
      <w:r>
        <w:rPr>
          <w:b/>
          <w:vertAlign w:val="superscript"/>
        </w:rPr>
        <w:t>1</w:t>
      </w:r>
      <w:r>
        <w:rPr>
          <w:b/>
          <w:i/>
        </w:rPr>
        <w:t>, О. Я. Извеков</w:t>
      </w:r>
      <w:r>
        <w:rPr>
          <w:b/>
          <w:vertAlign w:val="superscript"/>
        </w:rPr>
        <w:t>1</w:t>
      </w:r>
      <w:r>
        <w:rPr>
          <w:b/>
          <w:i/>
        </w:rPr>
        <w:t>, А. В. Конюхов</w:t>
      </w:r>
      <w:r>
        <w:rPr>
          <w:b/>
          <w:vertAlign w:val="superscript"/>
        </w:rPr>
        <w:t>2</w:t>
      </w:r>
    </w:p>
    <w:p>
      <w:pPr>
        <w:pStyle w:val="Normal"/>
        <w:keepNext w:val="true"/>
        <w:keepLines/>
        <w:pBdr/>
        <w:spacing w:before="120" w:after="0"/>
        <w:ind w:hanging="0"/>
        <w:jc w:val="center"/>
        <w:rPr>
          <w:color w:val="000000"/>
        </w:rPr>
      </w:pPr>
      <w:r>
        <w:rPr>
          <w:vertAlign w:val="superscript"/>
        </w:rPr>
        <w:t>1</w:t>
      </w:r>
      <w:r>
        <w:rPr/>
        <w:t>Московский физико-технический</w:t>
      </w:r>
      <w:r>
        <w:rPr>
          <w:color w:val="000000"/>
        </w:rPr>
        <w:t xml:space="preserve"> институт</w:t>
      </w:r>
    </w:p>
    <w:p>
      <w:pPr>
        <w:pStyle w:val="Normal"/>
        <w:keepNext w:val="true"/>
        <w:keepLines/>
        <w:pBdr/>
        <w:spacing w:before="120" w:after="0"/>
        <w:ind w:hanging="0"/>
        <w:jc w:val="center"/>
        <w:rPr/>
      </w:pPr>
      <w:r>
        <w:rPr>
          <w:vertAlign w:val="superscript"/>
        </w:rPr>
        <w:t>2</w:t>
      </w:r>
      <w:r>
        <w:rPr/>
        <w:t>Объединенный институт высоких температур РАН</w:t>
      </w:r>
    </w:p>
    <w:p>
      <w:pPr>
        <w:pStyle w:val="Normal"/>
        <w:keepNext w:val="true"/>
        <w:keepLines/>
        <w:pBdr/>
        <w:spacing w:before="120" w:after="0"/>
        <w:ind w:hanging="0"/>
        <w:jc w:val="center"/>
        <w:rPr/>
      </w:pPr>
      <w:r>
        <w:rPr/>
      </w:r>
    </w:p>
    <w:p>
      <w:pPr>
        <w:pStyle w:val="Normal"/>
        <w:rPr/>
      </w:pPr>
      <w:r>
        <w:rPr/>
        <w:t>Двухфазный поток в пористых средах имеет важное значение в нефтяной инженерии для оптимизации добычи углеводородов и управления производительностью пласта. Он позволяет прогнозировать взаимодействие и движение нефти, воды и газа через пласт. Точное моделирование способствует улучшению проектирования скважин, разработке методов увеличения нефтеотдачи и эффективному освоению месторождений, что в конечном итоге повышает эффективность производства и снижает затраты [1].</w:t>
      </w:r>
    </w:p>
    <w:p>
      <w:pPr>
        <w:pStyle w:val="Normal"/>
        <w:rPr/>
      </w:pPr>
      <w:r>
        <w:rPr/>
        <w:t xml:space="preserve">Сетевые модели широко применяются для моделирования двухфазного потока в пористых средах, где капилляры представлены трубками, а поры — узлами. Это позволяет проводить вычисления с относительно высокой скоростью [2]. С помощью сетевых моделей хорошо воспроизводится гетерогенность, анизотропия и капиллярно-доминирующий поток [3]. </w:t>
      </w:r>
    </w:p>
    <w:p>
      <w:pPr>
        <w:pStyle w:val="Normal"/>
        <w:rPr/>
      </w:pPr>
      <w:r>
        <w:rPr/>
        <w:t>В предыдущих работах авторов была предложена сетевая модель, использующая новый подход к распределению фаз в узле, когда две фазы поступают в него одновременно [4–7]. В модели используется система капилляров одинаковой длины, пересекающихся в узлах. Объемом узлов пренебрегается, две фазы имеют одинаковую вязкость.  Сохранение потока в каждом узле приводит к системе линейных уравнений для неизвестных узловых давлений. Уравнения потока записываются с использованием модифицированного уравнения Пуазейля с учетом лапласового давления на поверхности контакта фаз. С использованием данной модели был смоделирован процесс противоточной пропитки, рассчитаны равновесные капиллярные кривые. Результаты моделирования показали качественное соответствие классическим литературным данным и экспериментальным результатам, что подтверждает валидность модели [5, 6]. В работе [7] моделируется поток в пористых средах с периодической неоднородностью. Однако, в связи с тем, что объем флюидов в областях с тонкими трубками был пренебрежимо мал по сравнению с объемом толстых трубок, результаты расчетов [7] имеют достаточно частный характер.</w:t>
      </w:r>
    </w:p>
    <w:p>
      <w:pPr>
        <w:pStyle w:val="Normal"/>
        <w:keepLines/>
        <w:pBdr/>
        <w:shd w:val="clear" w:color="auto" w:fill="FFFFFF"/>
        <w:spacing w:before="120" w:after="240"/>
        <w:ind w:hanging="0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0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Рис.</w:t>
      </w:r>
      <w:r>
        <w:rPr/>
        <w:t xml:space="preserve"> </w:t>
      </w:r>
      <w:r>
        <w:rPr>
          <w:color w:val="000000"/>
        </w:rPr>
        <w:t>1. Расчетная область</w:t>
      </w:r>
      <w:r>
        <w:rPr/>
        <w:t xml:space="preserve">, состоящая из 21x21 узлов. Смачивающая жидкость (обозначена синим цветом) вводится с постоянной скоростью в систему капилляров, первоначально насыщенных несмачивающей жидкостью (обозначена красным цветом) </w:t>
      </w:r>
      <w:r>
        <w:rPr>
          <w:i/>
        </w:rPr>
        <w:t>(a)</w:t>
      </w:r>
      <w:r>
        <w:rPr/>
        <w:t xml:space="preserve">; зависимость средней насыщенности смачивающей жидкости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 xml:space="preserve">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для различных безразмерных объемных расходов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 в разные моменты времени (</w:t>
      </w:r>
      <w:r>
        <w:rPr>
          <w:i/>
        </w:rPr>
        <w:t>б</w:t>
      </w:r>
      <w:r>
        <w:rPr/>
        <w:t>)</w:t>
      </w:r>
    </w:p>
    <w:p>
      <w:pPr>
        <w:pStyle w:val="Normal"/>
        <w:rPr/>
      </w:pPr>
      <w:r>
        <w:rPr/>
        <w:t>В настоящей работе для выравнивания объемов включений принято решение отказаться от постоянства длины капилляров.  Предложен следующий закон, связывающий длину капилляра и его радиус: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ab/>
      </w:r>
    </w:p>
    <w:p>
      <w:pPr>
        <w:pStyle w:val="Normal"/>
        <w:ind w:hanging="0"/>
        <w:rPr/>
      </w:pPr>
      <w:r>
        <w:rPr/>
        <w:t xml:space="preserve">где </w:t>
      </w:r>
      <w:r>
        <w:rPr>
          <w:i/>
        </w:rPr>
        <w:t>A</w:t>
      </w:r>
      <w:r>
        <w:rPr/>
        <w:t xml:space="preserve"> — константа. То есть, в рассматриваемом случае все капилляры имеют одинаковый объем.</w:t>
      </w:r>
    </w:p>
    <w:p>
      <w:pPr>
        <w:pStyle w:val="Normal"/>
        <w:rPr/>
      </w:pPr>
      <w:r>
        <w:rPr/>
        <w:t>Конфигурация расчетной области состоит из регулярной системы узлов, расположенных на плоскости (рис. 1</w:t>
      </w:r>
      <w:r>
        <w:rPr>
          <w:i/>
        </w:rPr>
        <w:t>а</w:t>
      </w:r>
      <w:r>
        <w:rPr/>
        <w:t xml:space="preserve">). В каждом внутреннем узле пересекаются четыре капилляра, сами капилляры из-за переменной длины в плоскости не лежат. Радиус капилляров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(безразмерный) задается следующим выражением: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/>
        <w:t>,</w:t>
      </w:r>
    </w:p>
    <w:p>
      <w:pPr>
        <w:pStyle w:val="Normal"/>
        <w:ind w:hanging="0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— безразмерная константа,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/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/>
        <w:t xml:space="preserve"> — параметры периодичности,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— координаты на плоскости центра отрезка между ближайшими узлами (концами капилляра с номером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) .</w:t>
      </w:r>
    </w:p>
    <w:p>
      <w:pPr>
        <w:pStyle w:val="Normal"/>
        <w:rPr/>
      </w:pPr>
      <w:r>
        <w:rPr/>
        <w:t>Верхняя и нижняя границы расчетной области являются закрытыми. Смачивающая жидкость вводится через левую границу, а несмачивающая жидкость выходит через правую границу (рис. 1</w:t>
      </w:r>
      <w:r>
        <w:rPr>
          <w:i/>
        </w:rPr>
        <w:t>а</w:t>
      </w:r>
      <w:r>
        <w:rPr/>
        <w:t xml:space="preserve">). Давление на входе в каждом узле определяется на каждом расчетном шаге в зависимости от конфигурации жидкостей в системе. При этом расход втекающего флюида в каждом входном узле поддерживается постоянным. Давление на выходе полагается равным нулю на протяжении всего процесса. Для интерпретации результатов расчета вычислялась средняя насыщенность поперек градиента давления в зависимости от координаты </w:t>
      </w:r>
      <w:r>
        <w:rPr>
          <w:i/>
        </w:rPr>
        <w:t>x</w:t>
      </w:r>
      <w:r>
        <w:rPr/>
        <w:t xml:space="preserve">, то есть объемная доля смачивающей жидкости в совокупности капилляров, соединяющих узлы с фиксированной координатой </w:t>
      </w:r>
      <w:r>
        <w:rPr>
          <w:i/>
        </w:rPr>
        <w:t xml:space="preserve">x, </w:t>
      </w:r>
      <w:r>
        <w:rPr/>
        <w:t>но различными</w:t>
      </w:r>
      <w:r>
        <w:rPr>
          <w:i/>
        </w:rPr>
        <w:t xml:space="preserve"> y</w:t>
      </w:r>
      <w:r>
        <w:rPr/>
        <w:t>. На рис. 1</w:t>
      </w:r>
      <w:r>
        <w:rPr>
          <w:i/>
        </w:rPr>
        <w:t>б</w:t>
      </w:r>
      <w:r>
        <w:rPr/>
        <w:t xml:space="preserve"> представлены насыщенности для различных значений безразмерного расхода</w:t>
      </w:r>
      <w:r>
        <w:rPr>
          <w:i/>
        </w:rPr>
        <w:t xml:space="preserve"> Q</w:t>
      </w:r>
      <w:r>
        <w:rPr/>
        <w:t xml:space="preserve"> = {100, 50, 10} и безразмерного времени </w:t>
      </w:r>
      <w:r>
        <w:rPr>
          <w:i/>
        </w:rPr>
        <w:t>T</w:t>
      </w:r>
      <w:r>
        <w:rPr/>
        <w:t xml:space="preserve"> = {10, 20, 100}, соответственно. Такой выбор расходов и моментов времени обеспечивает одинаковый объем введенной смачивающей жидкости. Результаты моделирования показали, что при больших расходах амплитуда скачка насыщенности в квазиодномерной задаче уменьшается, а профиль насыщенности вытягивается. В этом случае смачивающая жидкость не успевает пропитать области с тонкими трубками, что соответствует</w:t>
      </w:r>
      <w:bookmarkStart w:id="3" w:name="_GoBack"/>
      <w:bookmarkEnd w:id="3"/>
      <w:r>
        <w:rPr/>
        <w:t xml:space="preserve"> случаю капиллярной неравновесности. При более низких скоростях потока капиллярные силы успевают перераспределить флюиды по подсистемам капилляров (рис. 1</w:t>
      </w:r>
      <w:r>
        <w:rPr>
          <w:i/>
        </w:rPr>
        <w:t>б</w:t>
      </w:r>
      <w:r>
        <w:rPr/>
        <w:t>), что приближает процесс вытеснения к равновесному случаю.</w:t>
      </w:r>
    </w:p>
    <w:p>
      <w:pPr>
        <w:pStyle w:val="Normal"/>
        <w:keepNext w:val="true"/>
        <w:pBdr/>
        <w:spacing w:before="24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Литература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</w:rPr>
        <w:t>Кондауров В. И.</w:t>
      </w:r>
      <w:r>
        <w:rPr/>
        <w:t xml:space="preserve"> Неравновесная модель пористой среды, насыщенной несмешивающимися жидкостями // Прикладная математика и механика. 2009. Т. 73. № 1. С. 121–142.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  <w:lang w:val="en-US"/>
        </w:rPr>
        <w:t>Aker E.</w:t>
      </w:r>
      <w:r>
        <w:rPr>
          <w:lang w:val="en-US"/>
        </w:rPr>
        <w:t xml:space="preserve"> [et al.]. A two-dimensional network simulator for two-phase flow in porous media // Transport in porous media. </w:t>
      </w:r>
      <w:r>
        <w:rPr/>
        <w:t>1998. V. 32. P. 163–186.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  <w:lang w:val="en-US"/>
        </w:rPr>
        <w:t>Shabbir K.</w:t>
      </w:r>
      <w:r>
        <w:rPr>
          <w:lang w:val="en-US"/>
        </w:rPr>
        <w:t xml:space="preserve"> Simulation of Two-Phase Flow in Porous Media using a Two-Dimensional Network Model // </w:t>
      </w:r>
      <w:r>
        <w:rPr/>
        <w:t>Труды</w:t>
      </w:r>
      <w:r>
        <w:rPr>
          <w:lang w:val="en-US"/>
        </w:rPr>
        <w:t xml:space="preserve"> 65-</w:t>
      </w:r>
      <w:r>
        <w:rPr/>
        <w:t>й</w:t>
      </w:r>
      <w:r>
        <w:rPr>
          <w:lang w:val="en-US"/>
        </w:rPr>
        <w:t xml:space="preserve"> </w:t>
      </w:r>
      <w:r>
        <w:rPr/>
        <w:t>Всероссийской</w:t>
      </w:r>
      <w:r>
        <w:rPr>
          <w:lang w:val="en-US"/>
        </w:rPr>
        <w:t xml:space="preserve"> </w:t>
      </w:r>
      <w:r>
        <w:rPr/>
        <w:t>научной</w:t>
      </w:r>
      <w:r>
        <w:rPr>
          <w:lang w:val="en-US"/>
        </w:rPr>
        <w:t xml:space="preserve"> </w:t>
      </w:r>
      <w:r>
        <w:rPr/>
        <w:t>конференции</w:t>
      </w:r>
      <w:r>
        <w:rPr>
          <w:lang w:val="en-US"/>
        </w:rPr>
        <w:t xml:space="preserve"> </w:t>
      </w:r>
      <w:r>
        <w:rPr/>
        <w:t>МФТИ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честь</w:t>
      </w:r>
      <w:r>
        <w:rPr>
          <w:lang w:val="en-US"/>
        </w:rPr>
        <w:t xml:space="preserve"> 115-</w:t>
      </w:r>
      <w:r>
        <w:rPr/>
        <w:t>летия</w:t>
      </w:r>
      <w:r>
        <w:rPr>
          <w:lang w:val="en-US"/>
        </w:rPr>
        <w:t xml:space="preserve"> </w:t>
      </w:r>
      <w:r>
        <w:rPr/>
        <w:t>Л</w:t>
      </w:r>
      <w:r>
        <w:rPr>
          <w:lang w:val="en-US"/>
        </w:rPr>
        <w:t xml:space="preserve">. </w:t>
      </w:r>
      <w:r>
        <w:rPr/>
        <w:t>Д</w:t>
      </w:r>
      <w:r>
        <w:rPr>
          <w:lang w:val="en-US"/>
        </w:rPr>
        <w:t xml:space="preserve">. </w:t>
      </w:r>
      <w:r>
        <w:rPr/>
        <w:t>Ландау</w:t>
      </w:r>
      <w:r>
        <w:rPr>
          <w:lang w:val="en-US"/>
        </w:rPr>
        <w:t xml:space="preserve">. </w:t>
      </w:r>
      <w:r>
        <w:rPr/>
        <w:t>Аэрокосмические технологии. — М: Физматкнига. 2023. С. 205–206.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</w:rPr>
        <w:t>Вамси Б., Шаббир К., Извеков О.</w:t>
      </w:r>
      <w:r>
        <w:rPr/>
        <w:t xml:space="preserve"> Моделирование двухфазного течения в пористых средах с использованием трехмерной сетевой модели // Труды 66-й Всероссийской научной конференции МФТИ. Аэрокосмические технологии. — М: Физматкнига. 2024. С. 159–161.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</w:rPr>
        <w:t>Шаббир К., Извеков O. Я., Вамси Б.</w:t>
      </w:r>
      <w:r>
        <w:rPr/>
        <w:t xml:space="preserve"> Моделирование пропитки пористой среды с помощью двумерной сетевой модели // Труды МФТИ. 2024. Т. 18. №. 2. С. 41–50.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</w:rPr>
        <w:t>Шаббир К., Извеков О., Конюхов А.</w:t>
      </w:r>
      <w:r>
        <w:rPr/>
        <w:t xml:space="preserve"> Моделирование двухфазного потока в пористой среде с использованием двумерной сетевой модели // Труды 66-й Всероссийской научной конференции МФТИ. Аэрокосмические технологии. — М: Физматкнига. 2024. С. 164–166.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i/>
          <w:lang w:val="en-US"/>
        </w:rPr>
        <w:t xml:space="preserve">Shabbir </w:t>
      </w:r>
      <w:r>
        <w:rPr>
          <w:i/>
        </w:rPr>
        <w:t>К</w:t>
      </w:r>
      <w:r>
        <w:rPr>
          <w:i/>
          <w:lang w:val="en-US"/>
        </w:rPr>
        <w:t>., Izvekov O. Ya., Konyukhov A. V.</w:t>
      </w:r>
      <w:r>
        <w:rPr>
          <w:lang w:val="en-US"/>
        </w:rPr>
        <w:t xml:space="preserve"> Simulation of two-phase flow in porous media using an inhomogeneous network model // Computer research and modeling. </w:t>
      </w:r>
      <w:r>
        <w:rPr/>
        <w:t>2024. V. 16(4). P. 913–925. DOI: 10.20537/2076-7633-2024-16-4-913-925.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52cf"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852cf"/>
    <w:rPr>
      <w:color w:themeColor="hyperlink" w:val="0563C1"/>
      <w:u w:val="single"/>
    </w:rPr>
  </w:style>
  <w:style w:type="character" w:styleId="Emphasis">
    <w:name w:val="Emphasis"/>
    <w:uiPriority w:val="20"/>
    <w:qFormat/>
    <w:rsid w:val="005a1d55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55b7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9" w:customStyle="1">
    <w:name w:val="! Название"/>
    <w:basedOn w:val="Normal"/>
    <w:next w:val="Style10"/>
    <w:qFormat/>
    <w:rsid w:val="004852cf"/>
    <w:pPr>
      <w:keepNext w:val="true"/>
      <w:keepLines/>
      <w:suppressAutoHyphens w:val="true"/>
      <w:spacing w:before="160" w:after="60"/>
      <w:ind w:hanging="0"/>
      <w:jc w:val="center"/>
    </w:pPr>
    <w:rPr>
      <w:rFonts w:eastAsia="Calibri"/>
      <w:b/>
      <w:sz w:val="24"/>
      <w:szCs w:val="28"/>
      <w:shd w:fill="FFFFFF" w:val="clear"/>
    </w:rPr>
  </w:style>
  <w:style w:type="paragraph" w:styleId="Style10" w:customStyle="1">
    <w:name w:val="! Авторы"/>
    <w:next w:val="Style11"/>
    <w:qFormat/>
    <w:rsid w:val="004852cf"/>
    <w:pPr>
      <w:keepNext w:val="true"/>
      <w:widowControl/>
      <w:suppressAutoHyphens w:val="true"/>
      <w:bidi w:val="0"/>
      <w:spacing w:before="240" w:after="0"/>
      <w:ind w:firstLine="567"/>
      <w:jc w:val="center"/>
      <w:outlineLvl w:val="0"/>
    </w:pPr>
    <w:rPr>
      <w:rFonts w:eastAsia="SimSun" w:ascii="Times New Roman" w:hAnsi="Times New Roman" w:cs="Times New Roman"/>
      <w:b/>
      <w:i/>
      <w:iCs/>
      <w:color w:val="auto"/>
      <w:kern w:val="0"/>
      <w:sz w:val="22"/>
      <w:szCs w:val="22"/>
      <w:lang w:val="en-US" w:eastAsia="ru-RU" w:bidi="ar-SA"/>
    </w:rPr>
  </w:style>
  <w:style w:type="paragraph" w:styleId="Style11" w:customStyle="1">
    <w:name w:val="! Организация"/>
    <w:qFormat/>
    <w:rsid w:val="004852cf"/>
    <w:pPr>
      <w:keepNext w:val="true"/>
      <w:keepLines/>
      <w:widowControl/>
      <w:suppressAutoHyphens w:val="true"/>
      <w:bidi w:val="0"/>
      <w:spacing w:before="120" w:after="240"/>
      <w:ind w:firstLine="567"/>
      <w:contextualSpacing/>
      <w:jc w:val="center"/>
    </w:pPr>
    <w:rPr>
      <w:rFonts w:eastAsia="SimSun" w:ascii="Times New Roman" w:hAnsi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2" w:customStyle="1">
    <w:name w:val="! Литература"/>
    <w:qFormat/>
    <w:rsid w:val="004852cf"/>
    <w:pPr>
      <w:keepNext w:val="true"/>
      <w:widowControl/>
      <w:bidi w:val="0"/>
      <w:spacing w:before="240" w:after="120"/>
      <w:ind w:firstLine="567"/>
      <w:jc w:val="center"/>
    </w:pPr>
    <w:rPr>
      <w:rFonts w:eastAsia="SimSun" w:ascii="Times New Roman" w:hAnsi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Style13" w:customStyle="1">
    <w:name w:val="! УДК"/>
    <w:next w:val="Style9"/>
    <w:qFormat/>
    <w:rsid w:val="004852cf"/>
    <w:pPr>
      <w:keepNext w:val="true"/>
      <w:widowControl/>
      <w:bidi w:val="0"/>
      <w:spacing w:before="600" w:after="0"/>
      <w:ind w:firstLine="567"/>
      <w:jc w:val="both"/>
    </w:pPr>
    <w:rPr>
      <w:rFonts w:eastAsia="Calibri" w:ascii="Times New Roman" w:hAnsi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-" w:customStyle="1">
    <w:name w:val="! Рисунок-Подпись"/>
    <w:qFormat/>
    <w:rsid w:val="004852cf"/>
    <w:pPr>
      <w:keepLines/>
      <w:widowControl/>
      <w:shd w:val="clear" w:color="auto" w:fill="FFFFFF" w:themeFill="background1"/>
      <w:suppressAutoHyphens w:val="true"/>
      <w:bidi w:val="0"/>
      <w:spacing w:before="120" w:after="240"/>
      <w:ind w:firstLine="567"/>
      <w:jc w:val="both"/>
    </w:pPr>
    <w:rPr>
      <w:rFonts w:eastAsia="Arial" w:ascii="Times New Roman" w:hAnsi="Times New Roman" w:cs="Times New Roman"/>
      <w:color w:val="auto"/>
      <w:kern w:val="0"/>
      <w:sz w:val="20"/>
      <w:szCs w:val="22"/>
      <w:lang w:val="ru-RU" w:eastAsia="ru-RU" w:bidi="ar-SA"/>
    </w:rPr>
  </w:style>
  <w:style w:type="paragraph" w:styleId="-1" w:customStyle="1">
    <w:name w:val="! Рисунок-графика"/>
    <w:next w:val="-"/>
    <w:qFormat/>
    <w:rsid w:val="004852cf"/>
    <w:pPr>
      <w:keepNext w:val="true"/>
      <w:widowControl/>
      <w:suppressAutoHyphens w:val="true"/>
      <w:bidi w:val="0"/>
      <w:spacing w:before="120" w:after="0"/>
      <w:ind w:firstLine="567"/>
      <w:jc w:val="center"/>
    </w:pPr>
    <w:rPr>
      <w:rFonts w:eastAsia="SimSun" w:ascii="Times New Roman" w:hAnsi="Times New Roman" w:cs="Times New Roman"/>
      <w:color w:val="auto"/>
      <w:kern w:val="2"/>
      <w:sz w:val="22"/>
      <w:szCs w:val="24"/>
      <w:lang w:val="ru-RU" w:eastAsia="ru-RU" w:bidi="ar-SA"/>
    </w:rPr>
  </w:style>
  <w:style w:type="paragraph" w:styleId="Style14" w:customStyle="1">
    <w:name w:val="! Таблица"/>
    <w:basedOn w:val="Normal"/>
    <w:qFormat/>
    <w:rsid w:val="004852cf"/>
    <w:pPr>
      <w:keepNext w:val="true"/>
      <w:suppressLineNumbers/>
      <w:suppressAutoHyphens w:val="true"/>
      <w:spacing w:before="160" w:after="120"/>
      <w:ind w:hanging="0"/>
      <w:jc w:val="center"/>
    </w:pPr>
    <w:rPr>
      <w:rFonts w:eastAsia="DejaVu Sans" w:cs="FreeSans"/>
      <w:kern w:val="2"/>
      <w:sz w:val="21"/>
      <w:szCs w:val="21"/>
    </w:rPr>
  </w:style>
  <w:style w:type="paragraph" w:styleId="Style15" w:customStyle="1">
    <w:name w:val="! Список литературы"/>
    <w:basedOn w:val="ListParagraph"/>
    <w:qFormat/>
    <w:rsid w:val="007354ef"/>
    <w:pPr>
      <w:numPr>
        <w:ilvl w:val="0"/>
        <w:numId w:val="1"/>
      </w:numPr>
      <w:suppressAutoHyphens w:val="true"/>
    </w:pPr>
    <w:rPr>
      <w:rFonts w:cs="Calibri"/>
      <w:sz w:val="20"/>
      <w:szCs w:val="20"/>
      <w:lang w:val="en-US" w:eastAsia="zh-CN" w:bidi="he-IL"/>
    </w:rPr>
  </w:style>
  <w:style w:type="paragraph" w:styleId="Style16" w:customStyle="1">
    <w:name w:val="! Текст таблицы"/>
    <w:qFormat/>
    <w:rsid w:val="004852cf"/>
    <w:pPr>
      <w:widowControl/>
      <w:bidi w:val="0"/>
      <w:spacing w:before="0" w:after="0"/>
      <w:ind w:firstLine="567"/>
      <w:jc w:val="both"/>
    </w:pPr>
    <w:rPr>
      <w:rFonts w:cs="Calibri" w:ascii="Times New Roman" w:hAnsi="Times New Roman" w:eastAsia="Times New Roman"/>
      <w:color w:val="auto"/>
      <w:kern w:val="0"/>
      <w:sz w:val="20"/>
      <w:szCs w:val="20"/>
      <w:lang w:val="ru-RU" w:eastAsia="ru-RU" w:bidi="ar-SA"/>
    </w:rPr>
  </w:style>
  <w:style w:type="paragraph" w:styleId="Style17" w:customStyle="1">
    <w:name w:val="! Уравнение"/>
    <w:qFormat/>
    <w:rsid w:val="004852cf"/>
    <w:pPr>
      <w:widowControl/>
      <w:tabs>
        <w:tab w:val="clear" w:pos="720"/>
        <w:tab w:val="center" w:pos="4820" w:leader="none"/>
        <w:tab w:val="right" w:pos="9412" w:leader="none"/>
      </w:tabs>
      <w:bidi w:val="0"/>
      <w:spacing w:before="120" w:after="0"/>
      <w:ind w:firstLine="567"/>
      <w:jc w:val="center"/>
    </w:pPr>
    <w:rPr>
      <w:rFonts w:eastAsia="SimSun" w:ascii="Times New Roman" w:hAnsi="Times New Roman" w:cs="Times New Roman"/>
      <w:color w:val="auto"/>
      <w:kern w:val="2"/>
      <w:sz w:val="22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4852cf"/>
    <w:pPr>
      <w:spacing w:before="0" w:after="0"/>
      <w:ind w:left="720"/>
      <w:contextualSpacing/>
    </w:pPr>
    <w:rPr/>
  </w:style>
  <w:style w:type="paragraph" w:styleId="Style18" w:customStyle="1">
    <w:name w:val="!! Список литературы"/>
    <w:basedOn w:val="ListParagraph"/>
    <w:qFormat/>
    <w:rsid w:val="001733eb"/>
    <w:pPr>
      <w:suppressAutoHyphens w:val="true"/>
      <w:ind w:hanging="360" w:left="502"/>
    </w:pPr>
    <w:rPr>
      <w:rFonts w:cs="Calibri"/>
      <w:sz w:val="20"/>
      <w:szCs w:val="20"/>
      <w:lang w:val="en-US" w:eastAsia="zh-CN" w:bidi="he-IL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55b7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2"/>
    <w:uiPriority w:val="59"/>
    <w:qFormat/>
    <w:rsid w:val="004852cf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jh+Y55CPIRaH26deoervXeU4ZA==">CgMxLjAyCGguZ2pkZ3hzMgloLjMwajB6bGwyCWguMWZvYjl0ZTgAciExR2VDZ3F6QjhHTF9oUnUybFNFZGRJazZaVUltMDF5S1g=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2</Pages>
  <Words>805</Words>
  <Characters>5352</Characters>
  <CharactersWithSpaces>6138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2025-02-14T15:06:00Z</dcterms:created>
  <dc:creator>Rozanov</dc:creator>
  <dc:description/>
  <dc:language>ru-RU</dc:language>
  <cp:lastModifiedBy/>
  <cp:lastPrinted>2025-03-19T10:46:37Z</cp:lastPrinted>
  <dcterms:modified xsi:type="dcterms:W3CDTF">2025-03-19T10:46:38Z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