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 xml:space="preserve">ФГАОУ ВО </w:t>
      </w:r>
      <w:r>
        <w:rPr/>
        <w:t xml:space="preserve">«Северо-Восточный федеральный университет имени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М</w:t>
      </w:r>
      <w:r>
        <w:rPr/>
        <w:t xml:space="preserve">.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К</w:t>
      </w:r>
      <w:r>
        <w:rPr/>
        <w:t>. Аммосова»</w:t>
      </w:r>
    </w:p>
    <w:p>
      <w:pPr>
        <w:pStyle w:val="Normal"/>
        <w:widowControl w:val="false"/>
        <w:spacing w:before="0" w:after="2381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{% if </w:t>
      </w:r>
      <w:r>
        <w:rPr>
          <w:rFonts w:eastAsia="Times New Roman" w:cs="Times New Roman"/>
        </w:rPr>
        <w:t>'4' in plan.code</w:t>
      </w:r>
      <w:r>
        <w:rPr/>
        <w:t xml:space="preserve"> %}магистратуры{% else %}бакалавриата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/>
      </w:pPr>
      <w:r>
        <w:rPr/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9"/>
        <w:gridCol w:w="3316"/>
        <w:gridCol w:w="3316"/>
      </w:tblGrid>
      <w:tr>
        <w:trPr/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if </w:t>
            </w:r>
            <w:r>
              <w:rPr>
                <w:rFonts w:eastAsia="Times New Roman" w:cs="Times New Roman"/>
              </w:rPr>
              <w:t>'4' in plan.code</w:t>
            </w:r>
            <w:r>
              <w:rPr>
                <w:rFonts w:cs="Calibri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ru-RU" w:eastAsia="zh-CN" w:bidi="ar-SA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1134" w:after="0"/>
        <w:jc w:val="center"/>
        <w:rPr/>
      </w:pPr>
      <w:r>
        <w:rPr/>
        <w:t xml:space="preserve">Якутск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{{ course.year }}</w:t>
      </w:r>
      <w:r>
        <w:br w:type="page"/>
      </w:r>
    </w:p>
    <w:p>
      <w:pPr>
        <w:pStyle w:val="Style28"/>
        <w:rPr>
          <w:b/>
          <w:b/>
          <w:bCs/>
        </w:rPr>
      </w:pPr>
      <w:r>
        <w:rPr/>
        <w:t>1. АННОТАЦИЯ</w:t>
        <w:br/>
        <w:t>к рабочей программе дисциплины</w:t>
        <w:br/>
      </w:r>
      <w:r>
        <w:rPr>
          <w:b/>
          <w:bCs/>
        </w:rPr>
        <w:t xml:space="preserve">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subject</w:t>
      </w:r>
      <w:r>
        <w:rPr>
          <w:b/>
          <w:bCs/>
        </w:rPr>
        <w:t xml:space="preserve">.code }} 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subject.name </w:t>
      </w:r>
      <w:r>
        <w:rPr>
          <w:b/>
          <w:bCs/>
        </w:rPr>
        <w:t>}}</w:t>
      </w:r>
    </w:p>
    <w:p>
      <w:pPr>
        <w:pStyle w:val="Normal"/>
        <w:jc w:val="center"/>
        <w:rPr/>
      </w:pPr>
      <w:r>
        <w:rPr/>
        <w:t xml:space="preserve">Трудоемкость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{{ subject.get_total_credits() }}</w:t>
      </w:r>
      <w:r>
        <w:rPr/>
        <w:t xml:space="preserve"> з. е.</w:t>
      </w:r>
    </w:p>
    <w:p>
      <w:pPr>
        <w:pStyle w:val="Style28"/>
        <w:rPr>
          <w:b/>
          <w:b/>
          <w:bCs/>
        </w:rPr>
      </w:pPr>
      <w:r>
        <w:rPr/>
        <w:t>1.1. Цель освоения и краткое содержание дисциплины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Cs/>
        </w:rPr>
        <w:t>Цель освоения:{%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>
      <w:pPr>
        <w:pStyle w:val="Normal"/>
        <w:ind w:left="0" w:right="0" w:firstLine="709"/>
        <w:rPr/>
      </w:pPr>
      <w:r>
        <w:rPr/>
        <w:t>Краткое содержание дисциплины: {{ course.</w:t>
      </w:r>
      <w:r>
        <w:rPr>
          <w:lang w:val="ru-RU" w:eastAsia="zh-CN" w:bidi="ar-SA"/>
        </w:rPr>
        <w:t>content</w:t>
      </w:r>
      <w:r>
        <w:rPr/>
        <w:t xml:space="preserve"> }}</w:t>
      </w:r>
    </w:p>
    <w:p>
      <w:pPr>
        <w:pStyle w:val="Style28"/>
        <w:rPr>
          <w:b/>
          <w:b/>
          <w:bCs/>
        </w:rPr>
      </w:pPr>
      <w:r>
        <w:rPr/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61"/>
        <w:gridCol w:w="2324"/>
        <w:gridCol w:w="2066"/>
        <w:gridCol w:w="2365"/>
        <w:gridCol w:w="1505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>1.3. Место дисциплины в структуре ОПОП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586"/>
        <w:gridCol w:w="826"/>
        <w:gridCol w:w="2490"/>
        <w:gridCol w:w="2657"/>
      </w:tblGrid>
      <w:tr>
        <w:trPr/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3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subject.code }}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subject.name }}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subject.get_semesters() }}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links_before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>{{ links_</w:t>
            </w:r>
            <w:r>
              <w:rPr>
                <w:rFonts w:eastAsia="Times New Roman" w:cs="Calibri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Style28"/>
        <w:rPr>
          <w:b/>
          <w:b/>
        </w:rPr>
      </w:pPr>
      <w:r>
        <w:rPr/>
        <w:t>1.4. Язык преподавания</w:t>
      </w:r>
    </w:p>
    <w:p>
      <w:pPr>
        <w:pStyle w:val="Style23"/>
        <w:ind w:left="720" w:right="0" w:hanging="0"/>
        <w:rPr/>
      </w:pPr>
      <w:r>
        <w:rPr/>
        <w:t>Русский</w:t>
      </w:r>
    </w:p>
    <w:p>
      <w:pPr>
        <w:pStyle w:val="Style28"/>
        <w:rPr>
          <w:b/>
          <w:b/>
          <w:bCs/>
        </w:rPr>
      </w:pPr>
      <w:r>
        <w:rPr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990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2"/>
        <w:gridCol w:w="2200"/>
        <w:gridCol w:w="1920"/>
      </w:tblGrid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subject.code }} 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get_total_hours()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{{ subject.get_hours_123()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get_hours('lectures') </w:t>
            </w:r>
            <w:r>
              <w:rPr>
                <w:b w:val="false"/>
                <w:bCs w:val="false"/>
              </w:rP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1.2. Занятия семинарского типа, всего, в т.ч.: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 xml:space="preserve">{{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subject.get_hours_2()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семинары (практические занятия, коллоквиумы и т.п.)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get_hours('practices')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лабораторные работы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get_hours('labworks')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практикумы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1.3. КСР (контроль самостоятельной работы, консультации)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get_hours('controls')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2. Самостоятельная работа обучающихся (СРС) (в часах)</w:t>
            </w:r>
          </w:p>
        </w:tc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get_hours('homeworks')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4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get_hours('exams')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Style28"/>
        <w:rPr>
          <w:b/>
          <w:b/>
          <w:bCs/>
        </w:rPr>
      </w:pPr>
      <w:r>
        <w:rPr/>
        <w:t>3.1. Распределение часов по темам и видам учебных занятий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688"/>
        <w:gridCol w:w="425"/>
        <w:gridCol w:w="418"/>
        <w:gridCol w:w="692"/>
        <w:gridCol w:w="416"/>
        <w:gridCol w:w="552"/>
        <w:gridCol w:w="419"/>
        <w:gridCol w:w="420"/>
        <w:gridCol w:w="412"/>
        <w:gridCol w:w="412"/>
        <w:gridCol w:w="843"/>
      </w:tblGrid>
      <w:tr>
        <w:trPr/>
        <w:tc>
          <w:tcPr>
            <w:tcW w:w="4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 xml:space="preserve">Тема </w:t>
            </w:r>
          </w:p>
        </w:tc>
        <w:tc>
          <w:tcPr>
            <w:tcW w:w="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4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>3.2. Содержание тем программы дисциплины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{% for 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 xml:space="preserve">elem </w:t>
      </w:r>
      <w:r>
        <w:rPr>
          <w:bCs/>
        </w:rPr>
        <w:t>in course.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themes</w:t>
      </w:r>
      <w:r>
        <w:rPr>
          <w:bCs/>
        </w:rPr>
        <w:t xml:space="preserve"> %}</w:t>
      </w:r>
      <w:r>
        <w:rPr>
          <w:b/>
          <w:bCs/>
        </w:rPr>
        <w:t xml:space="preserve">Тема {{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loop</w:t>
      </w:r>
      <w:r>
        <w:rPr>
          <w:b/>
          <w:bCs/>
        </w:rPr>
        <w:t xml:space="preserve">.index }}.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{{ elem['тема'] }}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{{r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elem['содержание']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 </w:t>
      </w:r>
      <w:r>
        <w:rPr>
          <w:bCs/>
        </w:rPr>
        <w:t>}}</w:t>
      </w:r>
    </w:p>
    <w:p>
      <w:pPr>
        <w:pStyle w:val="Normal"/>
        <w:ind w:left="0" w:right="0" w:hanging="0"/>
        <w:jc w:val="both"/>
        <w:rPr>
          <w:bCs/>
        </w:rPr>
      </w:pPr>
      <w:r>
        <w:rPr>
          <w:bCs/>
        </w:rPr>
        <w:t>{% endfor %}</w:t>
      </w:r>
    </w:p>
    <w:p>
      <w:pPr>
        <w:pStyle w:val="Style28"/>
        <w:rPr/>
      </w:pPr>
      <w:r>
        <w:rPr>
          <w:b/>
          <w:bCs/>
        </w:rPr>
        <w:t xml:space="preserve">3.3. </w:t>
      </w:r>
      <w:r>
        <w:rPr>
          <w:b/>
          <w:bCs/>
          <w:iCs/>
        </w:rPr>
        <w:t>Формы и методы проведения занятий, применяемые учебные технологии</w:t>
      </w:r>
    </w:p>
    <w:p>
      <w:pPr>
        <w:pStyle w:val="Style23"/>
        <w:ind w:left="0" w:right="0" w:firstLine="709"/>
        <w:jc w:val="both"/>
        <w:rPr>
          <w:bCs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>
      <w:pPr>
        <w:pStyle w:val="Style23"/>
        <w:ind w:left="0" w:right="0" w:firstLine="709"/>
        <w:jc w:val="both"/>
        <w:rPr/>
      </w:pP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>
      <w:pPr>
        <w:pStyle w:val="Style28"/>
        <w:rPr>
          <w:b/>
          <w:b/>
          <w:bCs/>
        </w:rPr>
      </w:pPr>
      <w:r>
        <w:rPr/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Style28"/>
        <w:rPr>
          <w:b/>
          <w:b/>
          <w:bCs/>
        </w:rPr>
      </w:pPr>
      <w:r>
        <w:rPr/>
        <w:t>Содержание СРС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438"/>
        <w:gridCol w:w="3419"/>
        <w:gridCol w:w="1160"/>
        <w:gridCol w:w="2402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Style28"/>
        <w:rPr>
          <w:rFonts w:eastAsia="Times New Roman" w:cs="Times New Roman"/>
          <w:b/>
          <w:b/>
          <w:bCs/>
          <w:color w:val="000000"/>
          <w:kern w:val="0"/>
          <w:sz w:val="24"/>
          <w:szCs w:val="24"/>
          <w:lang w:val="ru-RU" w:eastAsia="zh-CN" w:bidi="ar-SA"/>
        </w:rPr>
      </w:pPr>
      <w:r>
        <w:rPr/>
        <w:t>5. Методические указания для обучающихся по освоению дисциплины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left="0" w:right="0" w:firstLine="709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81"/>
        <w:gridCol w:w="1759"/>
        <w:gridCol w:w="1881"/>
      </w:tblGrid>
      <w:tr>
        <w:trPr/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81"/>
        <w:gridCol w:w="1759"/>
        <w:gridCol w:w="1881"/>
      </w:tblGrid>
      <w:tr>
        <w:trPr/>
        <w:tc>
          <w:tcPr>
            <w:tcW w:w="6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2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Style28"/>
        <w:rPr>
          <w:b/>
          <w:b/>
          <w:bCs/>
          <w:color w:val="000000"/>
        </w:rPr>
      </w:pPr>
      <w:r>
        <w:rPr/>
        <w:t>6.1. Показатели, критерии и шкала оценивания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75"/>
        <w:gridCol w:w="1607"/>
        <w:gridCol w:w="1968"/>
        <w:gridCol w:w="1525"/>
        <w:gridCol w:w="1925"/>
        <w:gridCol w:w="1420"/>
      </w:tblGrid>
      <w:tr>
        <w:trPr/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>
      <w:pPr>
        <w:pStyle w:val="Style28"/>
        <w:rPr>
          <w:b/>
          <w:b/>
          <w:bCs/>
          <w:color w:val="000000"/>
        </w:rPr>
      </w:pPr>
      <w:r>
        <w:rPr>
          <w:b/>
          <w:bCs/>
          <w:color w:val="000000"/>
        </w:rPr>
        <w:t>6.2. Примерные контрольные задания (вопросы) для промежуточной аттестации</w:t>
      </w:r>
      <w:r>
        <w:rPr>
          <w:bCs/>
        </w:rPr>
        <w:t>{% for item in course.controls %}</w:t>
      </w:r>
    </w:p>
    <w:p>
      <w:pPr>
        <w:pStyle w:val="Style28"/>
        <w:rPr/>
      </w:pPr>
      <w:r>
        <w:rPr/>
        <w:t>{{r item[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'подзаголовок'</w:t>
      </w:r>
      <w:r>
        <w:rPr/>
        <w:t>] }}</w:t>
      </w:r>
    </w:p>
    <w:p>
      <w:pPr>
        <w:pStyle w:val="Style23"/>
        <w:shd w:val="clear" w:fill="FFFFFF"/>
        <w:ind w:left="0" w:right="0" w:hanging="0"/>
        <w:jc w:val="both"/>
        <w:rPr/>
      </w:pPr>
      <w:r>
        <w:rPr>
          <w:bCs/>
        </w:rPr>
        <w:t>{{r item[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'</w:t>
      </w:r>
      <w:r>
        <w:rPr>
          <w:bCs/>
        </w:rPr>
        <w:t>содержание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']</w:t>
      </w:r>
      <w:r>
        <w:rPr>
          <w:bCs/>
        </w:rPr>
        <w:t xml:space="preserve"> }}{% endfor %}</w:t>
      </w:r>
    </w:p>
    <w:p>
      <w:pPr>
        <w:pStyle w:val="Style28"/>
        <w:rPr>
          <w:b/>
          <w:b/>
          <w:bCs/>
          <w:color w:val="000000"/>
        </w:rPr>
      </w:pPr>
      <w:r>
        <w:rPr/>
        <w:t>6.3. Методические материалы, определяющие процедуры оценивания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/>
          <w:bCs/>
        </w:rPr>
        <w:t xml:space="preserve">Форма итоговой аттестации: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{{ subject.get_controls() }}.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Промежуточное и и</w:t>
      </w:r>
      <w:r>
        <w:rPr>
          <w:b/>
          <w:bCs/>
        </w:rPr>
        <w:t>тоговое тестирование</w:t>
      </w:r>
      <w:r>
        <w:rPr>
          <w:bCs/>
        </w:rPr>
        <w:t>. Данн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ые</w:t>
      </w:r>
      <w:r>
        <w:rPr>
          <w:bCs/>
        </w:rPr>
        <w:t xml:space="preserve"> форм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</w:t>
      </w:r>
      <w:r>
        <w:rPr>
          <w:bCs/>
        </w:rPr>
        <w:t xml:space="preserve"> контроля направлен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</w:t>
      </w:r>
      <w:r>
        <w:rPr>
          <w:bCs/>
        </w:rPr>
        <w:t xml:space="preserve"> на оценку основных теоретических знаний обучающегося соответственно, во время и после освоения основных разделов дисциплины. 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=""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>
      <w:pPr>
        <w:pStyle w:val="Style28"/>
        <w:rPr>
          <w:b/>
          <w:b/>
          <w:bCs/>
        </w:rPr>
      </w:pPr>
      <w:r>
        <w:rPr/>
        <w:t xml:space="preserve">7. 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3996"/>
        <w:gridCol w:w="1407"/>
        <w:gridCol w:w="1964"/>
        <w:gridCol w:w="1841"/>
      </w:tblGrid>
      <w:tr>
        <w:trPr>
          <w:trHeight w:val="1683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</w:tbl>
    <w:p>
      <w:pPr>
        <w:pStyle w:val="Style28"/>
        <w:rPr/>
      </w:pPr>
      <w:r>
        <w:rPr/>
        <w:t xml:space="preserve">8. Перечень </w:t>
      </w:r>
      <w:bookmarkStart w:id="0" w:name="_GoBack"/>
      <w:bookmarkEnd w:id="0"/>
      <w:r>
        <w:rPr/>
        <w:t xml:space="preserve">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необходим доступ к</w:t>
      </w:r>
      <w:r>
        <w:rPr>
          <w:b w:val="false"/>
          <w:bCs w:val="false"/>
        </w:rPr>
        <w:t xml:space="preserve"> следующим ресурсам информационно-телекоммуникационной сети «Интернет»:{%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websites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</w:t>
      </w:r>
    </w:p>
    <w:p>
      <w:pPr>
        <w:pStyle w:val="Style28"/>
        <w:rPr>
          <w:b/>
          <w:b/>
          <w:bCs/>
        </w:rPr>
      </w:pPr>
      <w:r>
        <w:rPr/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left="0" w:right="0"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left="0" w:right="0"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kern w:val="0"/>
          <w:sz w:val="24"/>
          <w:szCs w:val="22"/>
          <w:lang w:val="ru-RU" w:eastAsia="en-US" w:bidi="ar-SA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kern w:val="0"/>
          <w:sz w:val="24"/>
          <w:szCs w:val="22"/>
          <w:lang w:val="ru-RU" w:eastAsia="en-US" w:bidi="ar-SA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Style28"/>
        <w:rPr>
          <w:b/>
          <w:b/>
          <w:bCs/>
        </w:rPr>
      </w:pPr>
      <w:r>
        <w:rPr/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Style28"/>
        <w:rPr>
          <w:b/>
          <w:b/>
          <w:bCs/>
        </w:rPr>
      </w:pPr>
      <w:r>
        <w:rPr/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выполнение лабораторных работ на виртуальных машинах;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публикация учебных материалов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сдача тестов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Style28"/>
        <w:rPr/>
      </w:pPr>
      <w:r>
        <w:rPr>
          <w:b/>
          <w:bCs/>
        </w:rPr>
        <w:t>{% if course.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/>
          <w:bCs/>
        </w:rPr>
        <w:t xml:space="preserve"> %}10.2. Перечень программного обеспечения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доступ студентов к компьютерам со следующим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программным обеспечением</w:t>
      </w:r>
      <w:r>
        <w:rPr>
          <w:b w:val="false"/>
          <w:bCs w:val="false"/>
        </w:rPr>
        <w:t xml:space="preserve">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</w:p>
    <w:p>
      <w:pPr>
        <w:pStyle w:val="Style28"/>
        <w:rPr>
          <w:b/>
          <w:b/>
          <w:bCs/>
        </w:rPr>
      </w:pPr>
      <w:r>
        <w:rPr/>
        <w:t>{% if course.infosystems %}10.3. Перечень информационных справочных систем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доступ студентов к следующим информационным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справочным системам</w:t>
      </w:r>
      <w:r>
        <w:rPr>
          <w:b w:val="false"/>
          <w:bCs w:val="false"/>
        </w:rPr>
        <w:t xml:space="preserve">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course.infosystems %}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  <w:r>
        <w:br w:type="page"/>
      </w:r>
    </w:p>
    <w:p>
      <w:pPr>
        <w:pStyle w:val="Style28"/>
        <w:rPr>
          <w:b/>
          <w:b/>
          <w:bCs/>
        </w:rPr>
      </w:pPr>
      <w:r>
        <w:rPr/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>{{ subject.code }} {{ subject.name }}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4261"/>
        <w:gridCol w:w="1886"/>
        <w:gridCol w:w="2643"/>
      </w:tblGrid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кафедры(дата,номер), ФИО зав.кафедрой, подпись</w:t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  <w:sz w:val="20"/>
      <w:szCs w:val="20"/>
    </w:rPr>
  </w:style>
  <w:style w:type="character" w:styleId="WW8Num12z2">
    <w:name w:val="WW8Num12z2"/>
    <w:qFormat/>
    <w:rPr>
      <w:rFonts w:ascii="Wingdings" w:hAnsi="Wingdings" w:cs="Wingdings"/>
      <w:sz w:val="20"/>
      <w:szCs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highlight w:val="cy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table">
    <w:name w:val="submenu-table"/>
    <w:basedOn w:val="Style14"/>
    <w:qFormat/>
    <w:rPr/>
  </w:style>
  <w:style w:type="character" w:styleId="Style16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Pr>
      <w:vertAlign w:val="superscript"/>
    </w:rPr>
  </w:style>
  <w:style w:type="character" w:styleId="Style17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22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  <w:lang w:val="ru-RU"/>
    </w:rPr>
  </w:style>
  <w:style w:type="paragraph" w:styleId="21">
    <w:name w:val="Основной текст с отступом 21"/>
    <w:basedOn w:val="Normal"/>
    <w:qFormat/>
    <w:pPr>
      <w:widowControl w:val="false"/>
      <w:spacing w:lineRule="auto" w:line="480" w:before="0" w:after="120"/>
      <w:ind w:left="283" w:right="0" w:firstLine="440"/>
    </w:pPr>
    <w:rPr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23">
    <w:name w:val="Абзац списка"/>
    <w:basedOn w:val="Normal"/>
    <w:qFormat/>
    <w:pPr>
      <w:ind w:left="720" w:right="0" w:hanging="0"/>
    </w:pPr>
    <w:rPr/>
  </w:style>
  <w:style w:type="paragraph" w:styleId="Style24">
    <w:name w:val="Обычный (веб)"/>
    <w:basedOn w:val="Normal"/>
    <w:qFormat/>
    <w:pPr>
      <w:suppressAutoHyphens w:val="false"/>
      <w:spacing w:before="280" w:after="280"/>
    </w:pPr>
    <w:rPr/>
  </w:style>
  <w:style w:type="paragraph" w:styleId="Footnote">
    <w:name w:val="Footnote Text"/>
    <w:basedOn w:val="Normal"/>
    <w:pPr/>
    <w:rPr>
      <w:rFonts w:eastAsia="Calibri"/>
      <w:sz w:val="20"/>
      <w:szCs w:val="20"/>
      <w:lang w:val="ru-RU"/>
    </w:rPr>
  </w:style>
  <w:style w:type="paragraph" w:styleId="Style25">
    <w:name w:val="Текст выноски"/>
    <w:basedOn w:val="Normal"/>
    <w:qFormat/>
    <w:pPr/>
    <w:rPr>
      <w:rFonts w:eastAsia="Calibri"/>
      <w:sz w:val="2"/>
      <w:szCs w:val="2"/>
      <w:lang w:val="ru-RU"/>
    </w:rPr>
  </w:style>
  <w:style w:type="paragraph" w:styleId="Footer">
    <w:name w:val="Footer"/>
    <w:basedOn w:val="Normal"/>
    <w:pPr/>
    <w:rPr>
      <w:rFonts w:eastAsia="Calibri"/>
      <w:lang w:val="ru-RU"/>
    </w:rPr>
  </w:style>
  <w:style w:type="paragraph" w:styleId="Style26">
    <w:name w:val="Текст примечания"/>
    <w:basedOn w:val="Normal"/>
    <w:qFormat/>
    <w:pPr/>
    <w:rPr>
      <w:rFonts w:eastAsia="Calibri"/>
      <w:sz w:val="20"/>
      <w:szCs w:val="20"/>
      <w:lang w:val="ru-RU"/>
    </w:rPr>
  </w:style>
  <w:style w:type="paragraph" w:styleId="Style27">
    <w:name w:val="Тема примечания"/>
    <w:basedOn w:val="Style26"/>
    <w:next w:val="Style26"/>
    <w:qFormat/>
    <w:pPr/>
    <w:rPr>
      <w:b/>
      <w:bCs/>
    </w:rPr>
  </w:style>
  <w:style w:type="paragraph" w:styleId="Endnote">
    <w:name w:val="Endnote Text"/>
    <w:basedOn w:val="Normal"/>
    <w:pPr/>
    <w:rPr>
      <w:sz w:val="20"/>
      <w:szCs w:val="20"/>
      <w:lang w:val="ru-RU"/>
    </w:rPr>
  </w:style>
  <w:style w:type="paragraph" w:styleId="TableContents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suppressAutoHyphens w:val="false"/>
      <w:jc w:val="center"/>
    </w:pPr>
    <w:rPr>
      <w:b w:val="false"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text">
    <w:name w:val="Table text"/>
    <w:qFormat/>
    <w:pPr>
      <w:widowControl/>
      <w:suppressAutoHyphens w:val="false"/>
      <w:overflowPunct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>
    <w:name w:val="Table List"/>
    <w:qFormat/>
    <w:pPr>
      <w:widowControl/>
      <w:tabs>
        <w:tab w:val="clear" w:pos="720"/>
      </w:tabs>
      <w:suppressAutoHyphens w:val="true"/>
      <w:overflowPunct w:val="false"/>
      <w:bidi w:val="0"/>
      <w:spacing w:before="0" w:after="0"/>
      <w:ind w:left="170" w:right="0" w:hanging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">
    <w:name w:val="Table List 8"/>
    <w:basedOn w:val="TableList"/>
    <w:qFormat/>
    <w:pPr/>
    <w:rPr>
      <w:sz w:val="16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28">
    <w:name w:val="Подзаголовок"/>
    <w:basedOn w:val="Default"/>
    <w:qFormat/>
    <w:pPr>
      <w:spacing w:before="113" w:after="113"/>
      <w:jc w:val="center"/>
    </w:pPr>
    <w:rPr>
      <w:b/>
    </w:rPr>
  </w:style>
  <w:style w:type="numbering" w:styleId="Bullet">
    <w:name w:val="Bullet •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Application>LibreOffice/6.4.3.2$Linux_X86_64 LibreOffice_project/40$Build-2</Application>
  <Pages>7</Pages>
  <Words>1432</Words>
  <Characters>10325</Characters>
  <CharactersWithSpaces>11544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2020-05-14T12:19:37Z</dcterms:modified>
  <cp:revision>187</cp:revision>
  <dc:subject/>
  <dc:title>Министерство образования и науки Российской Федерации</dc:title>
</cp:coreProperties>
</file>