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2"/>
        <w:gridCol w:w="3313"/>
        <w:gridCol w:w="3316"/>
      </w:tblGrid>
      <w:tr>
        <w:trPr/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Style28"/>
        <w:rPr>
          <w:b/>
          <w:b/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Style28"/>
        <w:rPr>
          <w:b/>
          <w:b/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4"/>
        <w:gridCol w:w="2321"/>
        <w:gridCol w:w="2069"/>
        <w:gridCol w:w="2365"/>
        <w:gridCol w:w="1502"/>
      </w:tblGrid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89"/>
        <w:gridCol w:w="826"/>
        <w:gridCol w:w="2487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8"/>
        <w:rPr>
          <w:b/>
          <w:b/>
        </w:rPr>
      </w:pPr>
      <w:r>
        <w:rPr/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8"/>
        <w:rPr>
          <w:b/>
          <w:b/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5"/>
        <w:gridCol w:w="2197"/>
        <w:gridCol w:w="1920"/>
      </w:tblGrid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8"/>
        <w:rPr>
          <w:b/>
          <w:b/>
          <w:bCs/>
        </w:rPr>
      </w:pPr>
      <w:r>
        <w:rPr/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1"/>
        <w:gridCol w:w="422"/>
        <w:gridCol w:w="418"/>
        <w:gridCol w:w="692"/>
        <w:gridCol w:w="416"/>
        <w:gridCol w:w="552"/>
        <w:gridCol w:w="419"/>
        <w:gridCol w:w="420"/>
        <w:gridCol w:w="412"/>
        <w:gridCol w:w="412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8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8"/>
        <w:rPr>
          <w:b/>
          <w:b/>
          <w:bCs/>
        </w:rPr>
      </w:pPr>
      <w:r>
        <w:rPr/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1"/>
        <w:gridCol w:w="3416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Style28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7"/>
        <w:gridCol w:w="2977"/>
        <w:gridCol w:w="330"/>
        <w:gridCol w:w="1429"/>
        <w:gridCol w:w="1878"/>
      </w:tblGrid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8"/>
        <w:rPr>
          <w:b/>
          <w:b/>
          <w:bCs/>
          <w:color w:val="000000"/>
        </w:rPr>
      </w:pPr>
      <w:r>
        <w:rPr/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  <w:r>
        <w:rPr>
          <w:bCs/>
        </w:rPr>
        <w:t>{% for item in course.controls %}</w:t>
      </w:r>
    </w:p>
    <w:p>
      <w:pPr>
        <w:pStyle w:val="Style28"/>
        <w:rPr/>
      </w:pPr>
      <w:r>
        <w:rPr/>
        <w:t>{{</w:t>
      </w:r>
      <w:r>
        <w:rPr/>
        <w:t>r</w:t>
      </w:r>
      <w:r>
        <w:rPr/>
        <w:t xml:space="preserve"> item[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'подзаголовок'</w:t>
      </w:r>
      <w:r>
        <w:rPr/>
        <w:t>] }}</w:t>
      </w:r>
    </w:p>
    <w:p>
      <w:pPr>
        <w:pStyle w:val="Style23"/>
        <w:shd w:val="clear" w:fill="FFFFFF"/>
        <w:ind w:left="0" w:right="0" w:hanging="0"/>
        <w:jc w:val="both"/>
        <w:rPr/>
      </w:pPr>
      <w:r>
        <w:rPr>
          <w:bCs/>
        </w:rPr>
        <w:t>{{</w:t>
      </w:r>
      <w:r>
        <w:rPr>
          <w:bCs/>
        </w:rPr>
        <w:t>r</w:t>
      </w:r>
      <w:r>
        <w:rPr>
          <w:bCs/>
        </w:rPr>
        <w:t xml:space="preserve"> item[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</w:t>
      </w:r>
      <w:r>
        <w:rPr>
          <w:bCs/>
        </w:rPr>
        <w:t>содержание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']</w:t>
      </w:r>
      <w:r>
        <w:rPr>
          <w:bCs/>
        </w:rPr>
        <w:t xml:space="preserve"> }}{% endfor %}</w:t>
      </w:r>
    </w:p>
    <w:p>
      <w:pPr>
        <w:pStyle w:val="Style23"/>
        <w:shd w:val="clear" w:fill="FFFFFF"/>
        <w:ind w:left="0" w:right="0" w:firstLine="567"/>
        <w:jc w:val="both"/>
        <w:rPr/>
      </w:pPr>
      <w:r>
        <w:rPr/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33"/>
        <w:gridCol w:w="2152"/>
        <w:gridCol w:w="1747"/>
        <w:gridCol w:w="2915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  <w:highlight w:val="magenta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4"/>
        <w:gridCol w:w="1841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Style28"/>
        <w:rPr/>
      </w:pPr>
      <w:r>
        <w:rPr/>
        <w:t xml:space="preserve">8. Перечень </w:t>
      </w:r>
      <w:bookmarkStart w:id="0" w:name="_GoBack"/>
      <w:bookmarkEnd w:id="0"/>
      <w:r>
        <w:rPr/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следующим ресурсам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Style28"/>
        <w:rPr>
          <w:b/>
          <w:b/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Style28"/>
        <w:rPr>
          <w:b/>
          <w:b/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Style28"/>
        <w:rPr>
          <w:b/>
          <w:b/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Style28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компьютерам со следующим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Style28"/>
        <w:rPr>
          <w:b/>
          <w:b/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следующим информационным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4257"/>
        <w:gridCol w:w="1885"/>
        <w:gridCol w:w="264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overflowPunct w:val="tru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overflowPunct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8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Application>LibreOffice/6.4.3.2$Linux_X86_64 LibreOffice_project/40$Build-2</Application>
  <Pages>7</Pages>
  <Words>1450</Words>
  <Characters>10318</Characters>
  <CharactersWithSpaces>11527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2020-04-21T19:52:22Z</dcterms:modified>
  <cp:revision>177</cp:revision>
  <dc:subject/>
  <dc:title>Министерство образования и науки Российской Федерации</dc:title>
</cp:coreProperties>
</file>