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highlight w:val="cyan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10"/>
        <w:gridCol w:w="3316"/>
      </w:tblGrid>
      <w:tr>
        <w:trPr/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 АННОТАЦИЯ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 рабочей программе дисциплины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Normal"/>
        <w:spacing w:before="113" w:after="0"/>
        <w:jc w:val="center"/>
        <w:rPr/>
      </w:pPr>
      <w:r>
        <w:rPr>
          <w:b/>
          <w:bCs/>
        </w:rPr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/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7"/>
        <w:gridCol w:w="2318"/>
        <w:gridCol w:w="2072"/>
        <w:gridCol w:w="2365"/>
        <w:gridCol w:w="1499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color w:val="000000"/>
                <w:highlight w:val="magenta"/>
                <w:lang w:eastAsia="ru-RU"/>
              </w:rPr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</w:rPr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  <w:highlight w:val="magenta"/>
              </w:rPr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  <w:lang w:eastAsia="ru-RU"/>
              </w:rPr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lang w:eastAsia="ru-RU"/>
              </w:rPr>
            </w:pPr>
            <w:r>
              <w:rPr/>
              <w:t>Оценочные средства</w:t>
            </w:r>
          </w:p>
        </w:tc>
      </w:tr>
    </w:tbl>
    <w:p>
      <w:pPr>
        <w:pStyle w:val="Normal"/>
        <w:tabs>
          <w:tab w:val="clear" w:pos="720"/>
          <w:tab w:val="left" w:pos="0" w:leader="none"/>
        </w:tabs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92"/>
        <w:gridCol w:w="826"/>
        <w:gridCol w:w="2484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/>
              <w:t>{{ subject.code }}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subject.get_semesters() }}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3"/>
        <w:spacing w:before="113" w:after="113"/>
        <w:ind w:left="0" w:hanging="0"/>
        <w:jc w:val="both"/>
        <w:rPr/>
      </w:pPr>
      <w:r>
        <w:rPr>
          <w:b/>
        </w:rPr>
        <w:t>1.4. Язык преподавания</w:t>
      </w:r>
    </w:p>
    <w:p>
      <w:pPr>
        <w:pStyle w:val="Style23"/>
        <w:ind w:left="720" w:hanging="0"/>
        <w:rPr/>
      </w:pPr>
      <w:r>
        <w:rPr/>
        <w:t>Русский</w:t>
      </w:r>
    </w:p>
    <w:p>
      <w:pPr>
        <w:pStyle w:val="Style23"/>
        <w:spacing w:before="113" w:after="113"/>
        <w:ind w:left="0" w:hanging="0"/>
        <w:jc w:val="center"/>
        <w:rPr/>
      </w:pPr>
      <w:r>
        <w:rPr>
          <w:b/>
          <w:bCs/>
        </w:rP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8"/>
        <w:gridCol w:w="2194"/>
        <w:gridCol w:w="1920"/>
      </w:tblGrid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2"/>
        <w:gridCol w:w="422"/>
        <w:gridCol w:w="416"/>
        <w:gridCol w:w="692"/>
        <w:gridCol w:w="416"/>
        <w:gridCol w:w="553"/>
        <w:gridCol w:w="418"/>
        <w:gridCol w:w="419"/>
        <w:gridCol w:w="414"/>
        <w:gridCol w:w="413"/>
        <w:gridCol w:w="842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/>
            </w:pPr>
            <w:r>
              <w:rPr>
                <w:bCs/>
              </w:rPr>
              <w:t xml:space="preserve">Тема 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4"/>
        <w:gridCol w:w="3413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>
          <w:sz w:val="22"/>
          <w:szCs w:val="22"/>
        </w:rPr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7"/>
        <w:gridCol w:w="1759"/>
        <w:gridCol w:w="1875"/>
      </w:tblGrid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8"/>
        <w:gridCol w:w="1762"/>
        <w:gridCol w:w="1871"/>
      </w:tblGrid>
      <w:tr>
        <w:trPr/>
        <w:tc>
          <w:tcPr>
            <w:tcW w:w="6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3"/>
        <w:shd w:val="clear" w:fill="FFFFFF"/>
        <w:spacing w:before="113" w:after="113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6.1. Показатели, критерии и шкала оценивания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29"/>
        <w:gridCol w:w="1593"/>
        <w:gridCol w:w="1282"/>
        <w:gridCol w:w="2350"/>
        <w:gridCol w:w="1613"/>
      </w:tblGrid>
      <w:tr>
        <w:trPr/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УК-1, …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отлично</w:t>
            </w:r>
          </w:p>
        </w:tc>
      </w:tr>
      <w:tr>
        <w:trPr/>
        <w:tc>
          <w:tcPr>
            <w:tcW w:w="1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хорошо</w:t>
            </w:r>
          </w:p>
        </w:tc>
      </w:tr>
      <w:tr>
        <w:trPr/>
        <w:tc>
          <w:tcPr>
            <w:tcW w:w="1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удовлетво-рительно</w:t>
            </w:r>
          </w:p>
        </w:tc>
      </w:tr>
      <w:tr>
        <w:trPr/>
        <w:tc>
          <w:tcPr>
            <w:tcW w:w="1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неудовлетво-рительно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ОПК-1,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spacing w:val="-1"/>
              </w:rPr>
            </w:pPr>
            <w:r>
              <w:rPr>
                <w:rFonts w:cs="Calibri"/>
                <w:spacing w:val="-1"/>
              </w:rPr>
              <w:t>ПК-2,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spacing w:val="-1"/>
              </w:rPr>
            </w:pPr>
            <w:r>
              <w:rPr>
                <w:rFonts w:cs="Calibri"/>
                <w:bCs/>
                <w:spacing w:val="-1"/>
              </w:rPr>
            </w:r>
          </w:p>
        </w:tc>
      </w:tr>
    </w:tbl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529"/>
        <w:gridCol w:w="1607"/>
        <w:gridCol w:w="1291"/>
        <w:gridCol w:w="2406"/>
        <w:gridCol w:w="1535"/>
      </w:tblGrid>
      <w:tr>
        <w:trPr/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>
          <w:trHeight w:val="70" w:hRule="atLeast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</w:t>
            </w:r>
            <w:r>
              <w:rPr>
                <w:rFonts w:cs="Calibri"/>
                <w:spacing w:val="-1"/>
              </w:rPr>
              <w:t>, …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Высокий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(отлично)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Базовый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</w:rPr>
              <w:t>Зачтено (хорошо)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Мини-мальный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>Зачтено (удовлетво-рительно)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Не освоены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Не зачтено </w:t>
            </w:r>
          </w:p>
        </w:tc>
      </w:tr>
    </w:tbl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529"/>
        <w:gridCol w:w="1638"/>
        <w:gridCol w:w="1315"/>
        <w:gridCol w:w="2505"/>
        <w:gridCol w:w="1381"/>
      </w:tblGrid>
      <w:tr>
        <w:trPr/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5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rPr/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1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Уметь …</w:t>
            </w:r>
          </w:p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  <w:i/>
                <w:color w:val="000000"/>
              </w:rPr>
              <w:t>Владеть…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Освоено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Зачтено</w:t>
            </w:r>
          </w:p>
        </w:tc>
      </w:tr>
      <w:tr>
        <w:trPr/>
        <w:tc>
          <w:tcPr>
            <w:tcW w:w="15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Не освоено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  <w:highlight w:val="magenta"/>
              </w:rPr>
            </w:pPr>
            <w:r>
              <w:rPr>
                <w:rFonts w:cs="Calibri"/>
                <w:bCs/>
                <w:highlight w:val="magenta"/>
              </w:rPr>
              <w:t>…</w:t>
            </w:r>
            <w:r>
              <w:rPr>
                <w:rFonts w:cs="Calibri"/>
                <w:bCs/>
                <w:highlight w:val="magenta"/>
              </w:rPr>
              <w:t>..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magenta"/>
              </w:rPr>
              <w:t>Не зачтено</w:t>
            </w:r>
          </w:p>
        </w:tc>
      </w:tr>
    </w:tbl>
    <w:p>
      <w:pPr>
        <w:pStyle w:val="Style23"/>
        <w:shd w:val="clear" w:fill="FFFFFF"/>
        <w:spacing w:before="113" w:after="113"/>
        <w:ind w:left="0" w:hanging="0"/>
        <w:jc w:val="center"/>
        <w:rPr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</w:p>
    <w:p>
      <w:pPr>
        <w:pStyle w:val="Style23"/>
        <w:shd w:val="clear" w:fill="FFFFFF"/>
        <w:ind w:left="0" w:firstLine="567"/>
        <w:jc w:val="both"/>
        <w:rPr>
          <w:bCs/>
          <w:highlight w:val="cyan"/>
        </w:rPr>
      </w:pPr>
      <w:r>
        <w:rPr>
          <w:bCs/>
          <w:highlight w:val="cyan"/>
        </w:rPr>
        <w:t>[Преподаватель может самостоятельно сформировать наполнение п.6.2. в зависимости от формы проведения промежуточной аттестации. Например, если экзамен проводится в форме собеседования по экзаменационным билетам, то в в п.6.2 включаются «Примерные</w:t>
      </w:r>
      <w:r>
        <w:rPr>
          <w:bCs/>
          <w:color w:val="FF0000"/>
          <w:highlight w:val="cyan"/>
        </w:rPr>
        <w:t xml:space="preserve"> </w:t>
      </w:r>
      <w:r>
        <w:rPr>
          <w:bCs/>
          <w:highlight w:val="cyan"/>
        </w:rPr>
        <w:t xml:space="preserve">вопросы для экзамена». Если экзамен проводится в форме тестирования, то в п.6.2. включаются образцы тестовых заданий либо по темам, либо по типам тестовых заданий. </w:t>
      </w:r>
    </w:p>
    <w:p>
      <w:pPr>
        <w:pStyle w:val="Style23"/>
        <w:shd w:val="clear" w:fill="FFFFFF"/>
        <w:ind w:left="0" w:firstLine="567"/>
        <w:jc w:val="both"/>
        <w:rPr>
          <w:bCs/>
        </w:rPr>
      </w:pPr>
      <w:r>
        <w:rPr>
          <w:bCs/>
          <w:highlight w:val="cyan"/>
        </w:rPr>
        <w:t>При этом необходимо обеспечить согласованность п.6.2. с пп.6.1. и 6.3. в части оцениваемых результатов обучения, критериев оценивания и процедуры проведения промежуточной аттестации]</w:t>
      </w:r>
      <w:r>
        <w:rPr>
          <w:bCs/>
        </w:rPr>
        <w:t>.</w:t>
      </w:r>
    </w:p>
    <w:p>
      <w:pPr>
        <w:pStyle w:val="Style23"/>
        <w:shd w:val="clear" w:fill="FFFFFF"/>
        <w:ind w:left="0" w:firstLine="567"/>
        <w:jc w:val="both"/>
        <w:rPr>
          <w:bCs/>
          <w:i/>
          <w:i/>
        </w:rPr>
      </w:pPr>
      <w:r>
        <w:rPr>
          <w:bCs/>
          <w:i/>
          <w:highlight w:val="cyan"/>
        </w:rPr>
        <w:t>Примерный образец оформления (при необходимости таблица может быть скорректирована преподавателем либо заменена):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31"/>
        <w:gridCol w:w="2155"/>
        <w:gridCol w:w="1747"/>
        <w:gridCol w:w="2912"/>
      </w:tblGrid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  <w:highlight w:val="magenta"/>
        </w:rPr>
        <w:t>6.3. Методические материалы, определяющие процедуры оценивания</w:t>
      </w:r>
    </w:p>
    <w:p>
      <w:pPr>
        <w:pStyle w:val="Normal"/>
        <w:ind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Normal"/>
        <w:ind w:firstLine="567"/>
        <w:jc w:val="both"/>
        <w:rPr>
          <w:bCs/>
        </w:rPr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  <w:r>
        <w:br w:type="page"/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7"/>
        <w:gridCol w:w="1406"/>
        <w:gridCol w:w="1967"/>
        <w:gridCol w:w="1838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 xml:space="preserve">8. Перечень </w:t>
      </w:r>
      <w:bookmarkStart w:id="0" w:name="_GoBack"/>
      <w:bookmarkEnd w:id="0"/>
      <w:r>
        <w:rPr>
          <w:b/>
          <w:bCs/>
        </w:rPr>
        <w:t>ресурсов информационно-телекоммуникационной сети «Интернет» (далее сеть-Интернет), необходимых для освоения дисциплины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Наименование Интернет-ресурса. Авторы (разработчики) //</w:t>
      </w:r>
      <w:r>
        <w:rPr>
          <w:highlight w:val="cyan"/>
          <w:u w:val="single"/>
        </w:rPr>
        <w:t>Ссылка (</w:t>
      </w:r>
      <w:r>
        <w:rPr>
          <w:highlight w:val="cyan"/>
          <w:u w:val="single"/>
          <w:lang w:val="en-US"/>
        </w:rPr>
        <w:t>URL</w:t>
      </w:r>
      <w:r>
        <w:rPr>
          <w:highlight w:val="cyan"/>
          <w:u w:val="single"/>
        </w:rPr>
        <w:t>): на Интернет ресурс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  <w:highlight w:val="cyan"/>
        </w:rPr>
        <w:t>В разделе указываем необходимое материально-техническое обеспечение по дисциплине (помещения и оборудование) в соответствии с ФГОС ВО, с учетом типов учебных занятий (лекционные, семинарские и т.п.), форм их проведения, а также применяемых информационных и образовательных технологий, в т.ч. ДОТ и электронного обучения.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10.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  <w:r>
        <w:rPr>
          <w:b/>
          <w:bCs/>
          <w:highlight w:val="cyan"/>
        </w:rPr>
        <w:t>(при необходимости)</w:t>
      </w:r>
    </w:p>
    <w:p>
      <w:pPr>
        <w:pStyle w:val="Normal"/>
        <w:jc w:val="center"/>
        <w:rPr>
          <w:bCs/>
        </w:rPr>
      </w:pPr>
      <w:r>
        <w:rPr>
          <w:bCs/>
        </w:rPr>
        <w:t>10.1. Перечень информационных технологий, используемых при осуществлении образовательного процесса по дисциплине</w:t>
      </w:r>
      <w:r>
        <w:rPr>
          <w:rStyle w:val="FootnoteAnchor"/>
          <w:bCs/>
        </w:rPr>
        <w:footnoteReference w:id="2"/>
      </w:r>
    </w:p>
    <w:p>
      <w:pPr>
        <w:pStyle w:val="Normal"/>
        <w:ind w:firstLine="540"/>
        <w:jc w:val="both"/>
        <w:rPr>
          <w:highlight w:val="cyan"/>
        </w:rPr>
      </w:pPr>
      <w:r>
        <w:rPr>
          <w:highlight w:val="cyan"/>
        </w:rPr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использование специализированных и офисных программ, информационных (справочных) систем;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 xml:space="preserve">организация взаимодействия с обучающимися посредством электронной почты и СДО </w:t>
      </w:r>
      <w:r>
        <w:rPr>
          <w:highlight w:val="cyan"/>
          <w:lang w:val="en-US"/>
        </w:rPr>
        <w:t>Moodle</w:t>
      </w:r>
      <w:r>
        <w:rPr>
          <w:highlight w:val="cyan"/>
        </w:rPr>
        <w:t>.</w:t>
      </w:r>
    </w:p>
    <w:p>
      <w:pPr>
        <w:pStyle w:val="Normal"/>
        <w:jc w:val="both"/>
        <w:rPr>
          <w:bCs/>
          <w:highlight w:val="cyan"/>
        </w:rPr>
      </w:pPr>
      <w:r>
        <w:rPr>
          <w:bCs/>
          <w:highlight w:val="cyan"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10.2. Перечень программного обеспечения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Указывается только то ПО, на которое университет имеет лицензию.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10.3. Перечень информационных справочных систем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Консультант+, Гарант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>
          <w:highlight w:val="cyan"/>
        </w:rPr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4253"/>
        <w:gridCol w:w="1884"/>
        <w:gridCol w:w="2647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  <w:iCs/>
          <w:sz w:val="20"/>
          <w:szCs w:val="20"/>
        </w:rPr>
      </w:pPr>
      <w:r>
        <w:rPr/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335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2.75pt;margin-top:0.05pt;width:10.4pt;height:11.9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t>9</w: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jc w:val="both"/>
        <w:rPr/>
      </w:pPr>
      <w:r>
        <w:rPr>
          <w:rStyle w:val="FootnoteCharacters"/>
        </w:rPr>
        <w:footnoteRef/>
      </w:r>
      <w:r>
        <w:rPr>
          <w:sz w:val="16"/>
          <w:szCs w:val="16"/>
          <w:highlight w:val="cyan"/>
        </w:rPr>
        <w:t>В перечне могут быть указаны такие информационные технологии, как использование на занятиях электронных изданий (чтение лекций с использованием слайд-презентаций, электронного курса лекций, графических объектов, видео- аудио- материалов (через Интернет), виртуальных лабораторий, практикумов), специализированных и офисных программ, информационных (справочных) систем, баз данных, организация взаимодействия с обучающимися посредством электронной почты, форумов, Интернет-групп, скайп, чаты, видеоконференцсвязь, компьютерное тестирование, дистанционные занятия (олимпиады, конференции), вебинар (семинар, организованный через Интернет), подготовка проектов сиспользованием электронного офиса или оболочки) и т.п.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0" w:hanging="0"/>
      </w:pPr>
      <w:rPr>
        <w:rFonts w:ascii="Symbol" w:hAnsi="Symbol" w:cs="Symbol" w:hint="default"/>
        <w:highlight w:val="cyan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LibreOffice/6.4.3.2$Linux_X86_64 LibreOffice_project/40$Build-2</Application>
  <Pages>9</Pages>
  <Words>1594</Words>
  <Characters>11577</Characters>
  <CharactersWithSpaces>12895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2020-04-19T11:39:11Z</dcterms:modified>
  <cp:revision>133</cp:revision>
  <dc:subject/>
  <dc:title>Министерство образования и науки Российской Федерации</dc:title>
</cp:coreProperties>
</file>